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80"/>
      </w:pPr>
      <w:r>
        <w:rPr>
          <w:rFonts w:ascii="Calibri" w:hAnsi="Calibri"/>
          <w:b/>
          <w:color w:val="1B365D"/>
          <w:sz w:val="44"/>
        </w:rPr>
        <w:t>JT SOMWARU</w:t>
      </w:r>
    </w:p>
    <w:p>
      <w:pPr>
        <w:jc w:val="center"/>
        <w:spacing w:before="0" w:after="120"/>
        <w:pBdr>
          <w:bottom w:val="single" w:sz="6" w:space="4" w:color="1B365D"/>
        </w:pBdr>
      </w:pPr>
      <w:r>
        <w:rPr>
          <w:rFonts w:ascii="Calibri" w:hAnsi="Calibri"/>
          <w:color w:val="555555"/>
          <w:sz w:val="20"/>
        </w:rPr>
        <w:t>New York City · jtsomwaru@gmail.com · linkedin.com/in/jon-trevor-somwaru · jtsomwaru.com</w:t>
      </w:r>
    </w:p>
    <w:p>
      <w:pPr>
        <w:spacing w:before="200" w:after="60"/>
        <w:pBdr>
          <w:bottom w:val="single" w:sz="6" w:space="4" w:color="1B365D"/>
        </w:pBdr>
      </w:pPr>
      <w:r>
        <w:rPr>
          <w:rFonts w:ascii="Calibri" w:hAnsi="Calibri"/>
          <w:b/>
          <w:color w:val="1B365D"/>
          <w:sz w:val="24"/>
          <w:spacing w:val="20"/>
        </w:rPr>
        <w:t>PROFESSIONAL SUMMARY</w:t>
      </w:r>
    </w:p>
    <w:p>
      <w:pPr>
        <w:spacing w:before="80" w:after="120" w:line="276" w:lineRule="auto"/>
      </w:pPr>
      <w:r>
        <w:rPr>
          <w:rFonts w:ascii="Calibri" w:hAnsi="Calibri"/>
          <w:color w:val="1A1A1A"/>
          <w:sz w:val="21"/>
        </w:rPr>
        <w:t>AI Implementation Specialist with 6+ years of enterprise systems implementation, business process analysis, change enablement, and cross-functional delivery experience. Builds practical agents and workflow automations with low-code and no-code tools, then pairs them with success measures, human review, documentation, and adoption support. Combines Spectrum Enterprise implementation discipline with hands-on AI delivery across multiple platforms, including n8n, Agentforce, Claude, OpenAI, Gemini, and multi-model orchestration.</w:t>
      </w:r>
    </w:p>
    <w:p>
      <w:pPr>
        <w:spacing w:before="200" w:after="60"/>
        <w:pBdr>
          <w:bottom w:val="single" w:sz="6" w:space="4" w:color="1B365D"/>
        </w:pBdr>
      </w:pPr>
      <w:r>
        <w:rPr>
          <w:rFonts w:ascii="Calibri" w:hAnsi="Calibri"/>
          <w:b/>
          <w:color w:val="1B365D"/>
          <w:sz w:val="24"/>
          <w:spacing w:val="20"/>
        </w:rPr>
        <w:t>EXPERIENCE</w:t>
      </w:r>
    </w:p>
    <w:p>
      <w:pPr>
        <w:spacing w:before="160" w:after="20"/>
        <w:tabs>
          <w:tab w:val="right" w:pos="10080"/>
        </w:tabs>
      </w:pPr>
      <w:r>
        <w:rPr>
          <w:rFonts w:ascii="Calibri" w:hAnsi="Calibri"/>
          <w:b/>
          <w:color w:val="1A1A1A"/>
          <w:sz w:val="22"/>
        </w:rPr>
        <w:t>AI Implementation Specialist</w:t>
      </w:r>
      <w:r>
        <w:tab/>
      </w:r>
      <w:r>
        <w:rPr>
          <w:rFonts w:ascii="Calibri" w:hAnsi="Calibri"/>
          <w:color w:val="555555"/>
          <w:sz w:val="21"/>
        </w:rPr>
        <w:t>New York</w:t>
      </w:r>
    </w:p>
    <w:p>
      <w:pPr>
        <w:spacing w:before="0" w:after="20"/>
        <w:tabs>
          <w:tab w:val="right" w:pos="10080"/>
        </w:tabs>
      </w:pPr>
      <w:r>
        <w:rPr>
          <w:rFonts w:ascii="Calibri" w:hAnsi="Calibri"/>
          <w:color w:val="555555"/>
          <w:sz w:val="21"/>
        </w:rPr>
        <w:t>Independent Consulting</w:t>
      </w:r>
      <w:r>
        <w:tab/>
      </w:r>
      <w:r>
        <w:rPr>
          <w:rFonts w:ascii="Calibri" w:hAnsi="Calibri"/>
          <w:color w:val="555555"/>
          <w:sz w:val="21"/>
        </w:rPr>
        <w:t>2025-Present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Discover, scope, and prioritize AI opportunities with operators and business stakeholders, mapping current workflows before deciding whether each problem needs AI, automation, or process redesign.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Build working agents and multi-step workflow automations with n8n, Agentforce, APIs, webhooks, structured data sources, approval routing, exception handling, and human-in-the-loop controls.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Delivered all four workstreams in an 80-hour enterprise analytics-platform engagement, including dashboard implementation, a reusable creation playbook, and automated quality assurance; the client technical lead independently re-verified and accepted the full scope.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Built 500+ tests across six quality checks and 224 mutation-tested behaviors, giving stakeholders transparent measures of quality, risk, and implementation readiness instead of relying on subjective confidence.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Designed a property-operations dashboard that consolidated tracking across 32 buildings and 313 rooms into structured daily decision views, leading to follow-on implementation work and a client referral.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Create reusable prompts, solution patterns, operating guides, training materials, and acceptance criteria so nontechnical teams can adopt and maintain AI-assisted workflows after handoff.</w:t>
      </w:r>
    </w:p>
    <w:p>
      <w:pPr>
        <w:spacing w:before="160" w:after="20"/>
        <w:tabs>
          <w:tab w:val="right" w:pos="10080"/>
        </w:tabs>
      </w:pPr>
      <w:r>
        <w:rPr>
          <w:rFonts w:ascii="Calibri" w:hAnsi="Calibri"/>
          <w:b/>
          <w:color w:val="1A1A1A"/>
          <w:sz w:val="22"/>
        </w:rPr>
        <w:t>Business Systems Analyst</w:t>
      </w:r>
      <w:r>
        <w:tab/>
      </w:r>
      <w:r>
        <w:rPr>
          <w:rFonts w:ascii="Calibri" w:hAnsi="Calibri"/>
          <w:color w:val="555555"/>
          <w:sz w:val="21"/>
        </w:rPr>
        <w:t>New York</w:t>
      </w:r>
    </w:p>
    <w:p>
      <w:pPr>
        <w:spacing w:before="0" w:after="20"/>
        <w:tabs>
          <w:tab w:val="right" w:pos="10080"/>
        </w:tabs>
      </w:pPr>
      <w:r>
        <w:rPr>
          <w:rFonts w:ascii="Calibri" w:hAnsi="Calibri"/>
          <w:color w:val="555555"/>
          <w:sz w:val="21"/>
        </w:rPr>
        <w:t>Spectrum Enterprise / Charter Communications</w:t>
      </w:r>
      <w:r>
        <w:tab/>
      </w:r>
      <w:r>
        <w:rPr>
          <w:rFonts w:ascii="Calibri" w:hAnsi="Calibri"/>
          <w:color w:val="555555"/>
          <w:sz w:val="21"/>
        </w:rPr>
        <w:t>2019-2025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Coordinated enterprise systems implementations and product catalog changes across 6+ business, product, engineering, QA, sales operations, support, finance, and legal teams.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Mapped complex quote-to-order, CRM, billing, and product catalog workflows, translating business pain points into requirements, configuration rules, process maps, test plans, and implementation priorities.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Led stakeholder working sessions and executive-ready briefings for senior leaders and distributed teams, explaining technical tradeoffs, risks, expected benefits, and decisions needed without formal authority.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Produced standard operating procedures, user guides, training materials, and post-launch support documentation that helped nontechnical users adopt new system behavior.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Ran cross-functional issue triage across configuration, data quality, workflow design, training, and downstream dependencies, identifying root causes and coordinating safe resolution before and after launch.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Supported technology adoption through user acceptance testing, launch-readiness checks, feedback loops, escalation paths, and clear ownership for post-launch outcomes.</w:t>
      </w:r>
    </w:p>
    <w:p>
      <w:pPr>
        <w:spacing w:before="200" w:after="60"/>
        <w:pBdr>
          <w:bottom w:val="single" w:sz="6" w:space="4" w:color="1B365D"/>
        </w:pBdr>
      </w:pPr>
      <w:r>
        <w:rPr>
          <w:rFonts w:ascii="Calibri" w:hAnsi="Calibri"/>
          <w:b/>
          <w:color w:val="1B365D"/>
          <w:sz w:val="24"/>
          <w:spacing w:val="20"/>
        </w:rPr>
        <w:t>SKILLS</w:t>
      </w:r>
    </w:p>
    <w:p>
      <w:pPr>
        <w:spacing w:before="0" w:after="60"/>
      </w:pPr>
      <w:r>
        <w:rPr>
          <w:rFonts w:ascii="Calibri" w:hAnsi="Calibri"/>
          <w:b/>
          <w:color w:val="1A1A1A"/>
          <w:sz w:val="21"/>
        </w:rPr>
        <w:t xml:space="preserve">AI Enablement and Adoption: </w:t>
      </w:r>
      <w:r>
        <w:rPr>
          <w:rFonts w:ascii="Calibri" w:hAnsi="Calibri"/>
          <w:b w:val="0"/>
          <w:color w:val="1A1A1A"/>
          <w:sz w:val="21"/>
        </w:rPr>
        <w:t>AI opportunity discovery, workflow mapping, change management, technology adoption, stakeholder coaching, executive briefings, playbook development, value tracking</w:t>
      </w:r>
    </w:p>
    <w:p>
      <w:pPr>
        <w:spacing w:before="0" w:after="60"/>
      </w:pPr>
      <w:r>
        <w:rPr>
          <w:rFonts w:ascii="Calibri" w:hAnsi="Calibri"/>
          <w:b/>
          <w:color w:val="1A1A1A"/>
          <w:sz w:val="21"/>
        </w:rPr>
        <w:t xml:space="preserve">Low-Code AI and Automation: </w:t>
      </w:r>
      <w:r>
        <w:rPr>
          <w:rFonts w:ascii="Calibri" w:hAnsi="Calibri"/>
          <w:b w:val="0"/>
          <w:color w:val="1A1A1A"/>
          <w:sz w:val="21"/>
        </w:rPr>
        <w:t>n8n, Salesforce Agentforce, workflow automation, agent architecture, prompt engineering, API integrations, webhooks, human-in-the-loop design</w:t>
      </w:r>
    </w:p>
    <w:p>
      <w:pPr>
        <w:spacing w:before="0" w:after="60"/>
      </w:pPr>
      <w:r>
        <w:rPr>
          <w:rFonts w:ascii="Calibri" w:hAnsi="Calibri"/>
          <w:b/>
          <w:color w:val="1A1A1A"/>
          <w:sz w:val="21"/>
        </w:rPr>
        <w:t xml:space="preserve">AI Platforms and Governance: </w:t>
      </w:r>
      <w:r>
        <w:rPr>
          <w:rFonts w:ascii="Calibri" w:hAnsi="Calibri"/>
          <w:b w:val="0"/>
          <w:color w:val="1A1A1A"/>
          <w:sz w:val="21"/>
        </w:rPr>
        <w:t>Claude, OpenAI, Gemini, Grok, multi-model orchestration, responsible AI, confidence-based routing, audit trails, explainability, data privacy controls</w:t>
      </w:r>
    </w:p>
    <w:p>
      <w:pPr>
        <w:spacing w:before="0" w:after="60"/>
      </w:pPr>
      <w:r>
        <w:rPr>
          <w:rFonts w:ascii="Calibri" w:hAnsi="Calibri"/>
          <w:b/>
          <w:color w:val="1A1A1A"/>
          <w:sz w:val="21"/>
        </w:rPr>
        <w:t xml:space="preserve">Enterprise Delivery: </w:t>
      </w:r>
      <w:r>
        <w:rPr>
          <w:rFonts w:ascii="Calibri" w:hAnsi="Calibri"/>
          <w:b w:val="0"/>
          <w:color w:val="1A1A1A"/>
          <w:sz w:val="21"/>
        </w:rPr>
        <w:t>Business analysis, requirements gathering, process design, user acceptance testing, launch readiness, solution documentation, cross-functional stakeholder management</w:t>
      </w:r>
    </w:p>
    <w:p>
      <w:pPr>
        <w:spacing w:before="0" w:after="60"/>
      </w:pPr>
      <w:r>
        <w:rPr>
          <w:rFonts w:ascii="Calibri" w:hAnsi="Calibri"/>
          <w:b/>
          <w:color w:val="1A1A1A"/>
          <w:sz w:val="21"/>
        </w:rPr>
        <w:t xml:space="preserve">Microsoft Ecosystem: </w:t>
      </w:r>
      <w:r>
        <w:rPr>
          <w:rFonts w:ascii="Calibri" w:hAnsi="Calibri"/>
          <w:b w:val="0"/>
          <w:color w:val="1A1A1A"/>
          <w:sz w:val="21"/>
        </w:rPr>
        <w:t>Microsoft 365, Teams, Excel, PowerPoint; transferable low-code implementation experience for Copilot Studio, Power Automate, Power Apps, and Power Platform</w:t>
      </w:r>
    </w:p>
    <w:p>
      <w:pPr>
        <w:spacing w:before="200" w:after="60"/>
        <w:pBdr>
          <w:bottom w:val="single" w:sz="6" w:space="4" w:color="1B365D"/>
        </w:pBdr>
      </w:pPr>
      <w:r>
        <w:rPr>
          <w:rFonts w:ascii="Calibri" w:hAnsi="Calibri"/>
          <w:b/>
          <w:color w:val="1B365D"/>
          <w:sz w:val="24"/>
          <w:spacing w:val="20"/>
        </w:rPr>
        <w:t>KEY PROJECTS</w:t>
      </w:r>
    </w:p>
    <w:p>
      <w:pPr>
        <w:spacing w:before="60" w:after="60" w:line="264" w:lineRule="auto"/>
      </w:pPr>
      <w:r>
        <w:rPr>
          <w:rFonts w:ascii="Calibri" w:hAnsi="Calibri"/>
          <w:b/>
          <w:color w:val="1A1A1A"/>
          <w:sz w:val="21"/>
        </w:rPr>
        <w:t xml:space="preserve">AgentGuard, Decision Routing: </w:t>
      </w:r>
      <w:r>
        <w:rPr>
          <w:rFonts w:ascii="Calibri" w:hAnsi="Calibri"/>
          <w:b w:val="0"/>
          <w:color w:val="1A1A1A"/>
          <w:sz w:val="21"/>
        </w:rPr>
        <w:t>Designed a confidence-gated AI governance system that routes higher-confidence outputs forward and sends lower-confidence cases to human review at a defined threshold.</w:t>
      </w:r>
    </w:p>
    <w:p>
      <w:pPr>
        <w:spacing w:before="60" w:after="60" w:line="264" w:lineRule="auto"/>
      </w:pPr>
      <w:r>
        <w:rPr>
          <w:rFonts w:ascii="Calibri" w:hAnsi="Calibri"/>
          <w:b/>
          <w:color w:val="1A1A1A"/>
          <w:sz w:val="21"/>
        </w:rPr>
        <w:t xml:space="preserve">AgentGuard, Human Oversight: </w:t>
      </w:r>
      <w:r>
        <w:rPr>
          <w:rFonts w:ascii="Calibri" w:hAnsi="Calibri"/>
          <w:b w:val="0"/>
          <w:color w:val="1A1A1A"/>
          <w:sz w:val="21"/>
        </w:rPr>
        <w:t>Implemented reviewer queues, override controls, and clear action boundaries so accountable people retain authority over sensitive AI-assisted decisions.</w:t>
      </w:r>
    </w:p>
    <w:p>
      <w:pPr>
        <w:spacing w:before="60" w:after="60" w:line="264" w:lineRule="auto"/>
      </w:pPr>
      <w:r>
        <w:rPr>
          <w:rFonts w:ascii="Calibri" w:hAnsi="Calibri"/>
          <w:b/>
          <w:color w:val="1A1A1A"/>
          <w:sz w:val="21"/>
        </w:rPr>
        <w:t xml:space="preserve">AgentGuard, Auditability: </w:t>
      </w:r>
      <w:r>
        <w:rPr>
          <w:rFonts w:ascii="Calibri" w:hAnsi="Calibri"/>
          <w:b w:val="0"/>
          <w:color w:val="1A1A1A"/>
          <w:sz w:val="21"/>
        </w:rPr>
        <w:t>Built audit trails and explainability output that preserve the source, model result, confidence, reviewer decision, and final disposition for responsible delivery.</w:t>
      </w:r>
    </w:p>
    <w:p>
      <w:pPr>
        <w:spacing w:before="60" w:after="60" w:line="264" w:lineRule="auto"/>
      </w:pPr>
      <w:r>
        <w:rPr>
          <w:rFonts w:ascii="Calibri" w:hAnsi="Calibri"/>
          <w:b/>
          <w:color w:val="1A1A1A"/>
          <w:sz w:val="21"/>
        </w:rPr>
        <w:t xml:space="preserve">Enterprise Analytics Implementation and QA: </w:t>
      </w:r>
      <w:r>
        <w:rPr>
          <w:rFonts w:ascii="Calibri" w:hAnsi="Calibri"/>
          <w:b w:val="0"/>
          <w:color w:val="1A1A1A"/>
          <w:sz w:val="21"/>
        </w:rPr>
        <w:t>Delivered four accepted workstreams inside a fixed 80-hour scope, supported by 500+ tests, six quality checks, and 224 mutation-tested behaviors.</w:t>
      </w:r>
    </w:p>
    <w:p>
      <w:pPr>
        <w:spacing w:before="60" w:after="60" w:line="264" w:lineRule="auto"/>
      </w:pPr>
      <w:r>
        <w:rPr>
          <w:rFonts w:ascii="Calibri" w:hAnsi="Calibri"/>
          <w:b/>
          <w:color w:val="1A1A1A"/>
          <w:sz w:val="21"/>
        </w:rPr>
        <w:t xml:space="preserve">Nash Satoshi: </w:t>
      </w:r>
      <w:r>
        <w:rPr>
          <w:rFonts w:ascii="Calibri" w:hAnsi="Calibri"/>
          <w:b w:val="0"/>
          <w:color w:val="1A1A1A"/>
          <w:sz w:val="21"/>
        </w:rPr>
        <w:t>Built a production 4-LLM ensemble using Claude, GPT-4, Gemini, and Grok for cross-model validation and consensus ranking, demonstrating agent orchestration and model-bias mitigation.</w:t>
      </w:r>
    </w:p>
    <w:p>
      <w:pPr>
        <w:spacing w:before="200" w:after="60"/>
        <w:pBdr>
          <w:bottom w:val="single" w:sz="6" w:space="4" w:color="1B365D"/>
        </w:pBdr>
      </w:pPr>
      <w:r>
        <w:rPr>
          <w:rFonts w:ascii="Calibri" w:hAnsi="Calibri"/>
          <w:b/>
          <w:color w:val="1B365D"/>
          <w:sz w:val="24"/>
          <w:spacing w:val="20"/>
        </w:rPr>
        <w:t>EDUCATION</w:t>
      </w:r>
    </w:p>
    <w:p>
      <w:pPr>
        <w:spacing w:before="80" w:after="40"/>
      </w:pPr>
      <w:r>
        <w:rPr>
          <w:rFonts w:ascii="Calibri" w:hAnsi="Calibri"/>
          <w:b/>
          <w:color w:val="1A1A1A"/>
          <w:sz w:val="21"/>
        </w:rPr>
        <w:t>Ithaca College</w:t>
      </w:r>
      <w:r>
        <w:rPr>
          <w:rFonts w:ascii="Calibri" w:hAnsi="Calibri"/>
          <w:b w:val="0"/>
          <w:color w:val="555555"/>
          <w:sz w:val="21"/>
        </w:rPr>
        <w:t>, BS, Sport Management, Legal Studies Minor, 2018</w:t>
      </w:r>
    </w:p>
    <w:p>
      <w:pPr>
        <w:spacing w:before="80" w:after="40"/>
      </w:pPr>
      <w:r>
        <w:rPr>
          <w:rFonts w:ascii="Calibri" w:hAnsi="Calibri"/>
          <w:b/>
          <w:color w:val="1A1A1A"/>
          <w:sz w:val="21"/>
        </w:rPr>
        <w:t>Northeastern University</w:t>
      </w:r>
      <w:r>
        <w:rPr>
          <w:rFonts w:ascii="Calibri" w:hAnsi="Calibri"/>
          <w:b w:val="0"/>
          <w:color w:val="555555"/>
          <w:sz w:val="21"/>
        </w:rPr>
        <w:t>, Data Analytics Certificate, 2019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