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/>
      </w:pPr>
      <w:r>
        <w:rPr>
          <w:rFonts w:ascii="Calibri" w:hAnsi="Calibri"/>
          <w:b/>
          <w:color w:val="1B365D"/>
          <w:sz w:val="44"/>
        </w:rPr>
        <w:t>JT SOMWARU</w:t>
      </w:r>
    </w:p>
    <w:p>
      <w:pPr>
        <w:jc w:val="center"/>
        <w:spacing w:before="0" w:after="120"/>
        <w:pBdr>
          <w:bottom w:val="single" w:sz="6" w:space="4" w:color="1B365D"/>
        </w:pBdr>
      </w:pPr>
      <w:r>
        <w:rPr>
          <w:rFonts w:ascii="Calibri" w:hAnsi="Calibri"/>
          <w:color w:val="555555"/>
          <w:sz w:val="20"/>
        </w:rPr>
        <w:t>AI Program Manager | AI Implementation Specialist | New York, NY | jtsomwaru@gmail.com | linkedin.com/in/jon-trevor-somwaru | jtsomwaru.com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PROFESSIONAL SUMMARY</w:t>
      </w:r>
    </w:p>
    <w:p>
      <w:pPr>
        <w:spacing w:before="80" w:after="120" w:line="276" w:lineRule="auto"/>
      </w:pPr>
      <w:r>
        <w:rPr>
          <w:rFonts w:ascii="Calibri" w:hAnsi="Calibri"/>
          <w:color w:val="1A1A1A"/>
          <w:sz w:val="21"/>
        </w:rPr>
        <w:t>AI Program Manager and AI Implementation Specialist with 6+ years of experience coordinating cross-functional business and technology initiatives, maintaining project plans and status reporting, and moving complex work from intake through launch. Combines enterprise implementation discipline from Spectrum Enterprise with hands-on AI program execution across workflow automation, agentic tooling, dashboards, quality assurance, governance checkpoints, and reusable playbooks. Strong bridge between business stakeholders and technical partners, with a record of surfacing risks early, clarifying ownership, and leaving teams with practical operating documentation.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EXPERIENCE</w:t>
      </w:r>
    </w:p>
    <w:p>
      <w:pPr>
        <w:spacing w:before="160" w:after="20"/>
        <w:tabs>
          <w:tab w:val="right" w:pos="10080"/>
        </w:tabs>
      </w:pPr>
      <w:r>
        <w:rPr>
          <w:rFonts w:ascii="Calibri" w:hAnsi="Calibri"/>
          <w:b/>
          <w:color w:val="1A1A1A"/>
          <w:sz w:val="22"/>
        </w:rPr>
        <w:t>AI Implementation Specialist</w:t>
      </w:r>
      <w:r>
        <w:tab/>
      </w:r>
      <w:r>
        <w:rPr>
          <w:rFonts w:ascii="Calibri" w:hAnsi="Calibri"/>
          <w:color w:val="555555"/>
          <w:sz w:val="21"/>
        </w:rPr>
        <w:t>New York</w:t>
      </w:r>
    </w:p>
    <w:p>
      <w:pPr>
        <w:spacing w:before="0" w:after="20"/>
        <w:tabs>
          <w:tab w:val="right" w:pos="10080"/>
        </w:tabs>
      </w:pPr>
      <w:r>
        <w:rPr>
          <w:rFonts w:ascii="Calibri" w:hAnsi="Calibri"/>
          <w:color w:val="555555"/>
          <w:sz w:val="21"/>
        </w:rPr>
        <w:t>Independent Consulting</w:t>
      </w:r>
      <w:r>
        <w:tab/>
      </w:r>
      <w:r>
        <w:rPr>
          <w:rFonts w:ascii="Calibri" w:hAnsi="Calibri"/>
          <w:color w:val="555555"/>
          <w:sz w:val="21"/>
        </w:rPr>
        <w:t>2025-Present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Managed a portfolio of concurrent AI and workflow initiatives across operations-heavy organizations, defining scope, owners, milestones, dependencies, review checkpoints, and acceptance criteria from discovery through handoff.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Delivered all four workstreams in an 80-hour enterprise analytics engagement, including dashboard implementation, a reusable creation playbook, and automated quality assurance; the client technical lead independently re-verified and accepted the full scope.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Built 500+ automated tests across six quality checks and 224 mutation-tested behaviors, giving stakeholders transparent status, risk, and implementation-readiness evidence instead of subjective progress reporting.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Designed a property-operations dashboard that consolidated tracking across 32 buildings and 313 rooms into structured daily decision views, leading to follow-on implementation work.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Created reusable project templates, runbooks, checklists, training materials, and knowledge resources so nontechnical teams could adopt and maintain AI-assisted workflows after handoff.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Coordinated business stakeholders and technical delivery across n8n, Salesforce Agentforce, APIs, webhooks, structured data sources, approval routing, exception handling, and human review.</w:t>
      </w:r>
    </w:p>
    <w:p>
      <w:pPr>
        <w:spacing w:before="160" w:after="20"/>
        <w:tabs>
          <w:tab w:val="right" w:pos="10080"/>
        </w:tabs>
      </w:pPr>
      <w:r>
        <w:rPr>
          <w:rFonts w:ascii="Calibri" w:hAnsi="Calibri"/>
          <w:b/>
          <w:color w:val="1A1A1A"/>
          <w:sz w:val="22"/>
        </w:rPr>
        <w:t>Business Systems Analyst</w:t>
      </w:r>
      <w:r>
        <w:tab/>
      </w:r>
      <w:r>
        <w:rPr>
          <w:rFonts w:ascii="Calibri" w:hAnsi="Calibri"/>
          <w:color w:val="555555"/>
          <w:sz w:val="21"/>
        </w:rPr>
        <w:t>New York</w:t>
      </w:r>
    </w:p>
    <w:p>
      <w:pPr>
        <w:spacing w:before="0" w:after="20"/>
        <w:tabs>
          <w:tab w:val="right" w:pos="10080"/>
        </w:tabs>
      </w:pPr>
      <w:r>
        <w:rPr>
          <w:rFonts w:ascii="Calibri" w:hAnsi="Calibri"/>
          <w:color w:val="555555"/>
          <w:sz w:val="21"/>
        </w:rPr>
        <w:t>Spectrum Enterprise / Charter Communications</w:t>
      </w:r>
      <w:r>
        <w:tab/>
      </w:r>
      <w:r>
        <w:rPr>
          <w:rFonts w:ascii="Calibri" w:hAnsi="Calibri"/>
          <w:color w:val="555555"/>
          <w:sz w:val="21"/>
        </w:rPr>
        <w:t>2019-2025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Coordinated enterprise systems implementations and product-catalog changes across 6+ business, product, engineering, QA, sales operations, support, finance, legal, and billing teams.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Managed requirements, project timelines, dependencies, owners, testing plans, risks, action items, and launch-readiness checkpoints for changes affecting a $1B+ enterprise services portfolio.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Mapped quote-to-order, Customer Relationship Management (CRM), billing, and product-catalog workflows, translating business requests into configuration rules, process maps, test plans, and sequenced implementation work.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Organized cross-functional working sessions and executive-ready status briefings, documenting decisions, escalating blockers, and following mitigation actions through closure without formal authority.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Produced standard operating procedures, user guides, training materials, and post-launch support documentation that helped nontechnical users adopt new system behavior.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Supported organizational change through user acceptance testing, launch-readiness reviews, feedback loops, escalation paths, and clear ownership for post-launch outcomes.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SKILLS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AI Program Management: </w:t>
      </w:r>
      <w:r>
        <w:rPr>
          <w:rFonts w:ascii="Calibri" w:hAnsi="Calibri"/>
          <w:b w:val="0"/>
          <w:color w:val="1A1A1A"/>
          <w:sz w:val="21"/>
        </w:rPr>
        <w:t>Portfolio tracking, project intake, prioritization, project plans, timelines, dependency sequencing, risk and issue tracking, status reporting, roadmap management, action-item follow-through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Project Tools and Practices: </w:t>
      </w:r>
      <w:r>
        <w:rPr>
          <w:rFonts w:ascii="Calibri" w:hAnsi="Calibri"/>
          <w:b w:val="0"/>
          <w:color w:val="1A1A1A"/>
          <w:sz w:val="21"/>
        </w:rPr>
        <w:t>Structured project trackers, project plans, risk and issue logs, status templates, user acceptance testing, Agile delivery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AI Enablement and Adoption: </w:t>
      </w:r>
      <w:r>
        <w:rPr>
          <w:rFonts w:ascii="Calibri" w:hAnsi="Calibri"/>
          <w:b w:val="0"/>
          <w:color w:val="1A1A1A"/>
          <w:sz w:val="21"/>
        </w:rPr>
        <w:t>Change management, process onboarding, training materials, user guides, playbook development, knowledge resources, lessons learned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AI and Workflow Systems: </w:t>
      </w:r>
      <w:r>
        <w:rPr>
          <w:rFonts w:ascii="Calibri" w:hAnsi="Calibri"/>
          <w:b w:val="0"/>
          <w:color w:val="1A1A1A"/>
          <w:sz w:val="21"/>
        </w:rPr>
        <w:t>Agentic workflows, workflow automation, n8n, Salesforce Agentforce, OpenAI, Claude, Gemini, Grok, API integrations, webhooks, human-in-the-loop design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Governance and Quality: </w:t>
      </w:r>
      <w:r>
        <w:rPr>
          <w:rFonts w:ascii="Calibri" w:hAnsi="Calibri"/>
          <w:b w:val="0"/>
          <w:color w:val="1A1A1A"/>
          <w:sz w:val="21"/>
        </w:rPr>
        <w:t>Approval checkpoints, compliance coordination, data-access controls, acceptance criteria, quality assurance, audit trails, exception handling, operational risk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Enterprise Delivery: </w:t>
      </w:r>
      <w:r>
        <w:rPr>
          <w:rFonts w:ascii="Calibri" w:hAnsi="Calibri"/>
          <w:b w:val="0"/>
          <w:color w:val="1A1A1A"/>
          <w:sz w:val="21"/>
        </w:rPr>
        <w:t>Cross-functional stakeholder management, business analysis, requirements gathering, user acceptance testing, launch readiness, executive communication, Agile delivery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KEY PROJECTS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Enterprise Analytics Implementation and QA: </w:t>
      </w:r>
      <w:r>
        <w:rPr>
          <w:rFonts w:ascii="Calibri" w:hAnsi="Calibri"/>
          <w:b w:val="0"/>
          <w:color w:val="1A1A1A"/>
          <w:sz w:val="21"/>
        </w:rPr>
        <w:t>Coordinated four accepted workstreams inside a fixed 80-hour scope, including a dashboard, reusable creation playbook, and automated QA backed by 500+ tests, six quality checks, and 224 mutation-tested behaviors.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Property Operations Decision Dashboard: </w:t>
      </w:r>
      <w:r>
        <w:rPr>
          <w:rFonts w:ascii="Calibri" w:hAnsi="Calibri"/>
          <w:b w:val="0"/>
          <w:color w:val="1A1A1A"/>
          <w:sz w:val="21"/>
        </w:rPr>
        <w:t>Built a structured operating view across 32 buildings and 313 rooms, replacing fragmented tracking with daily decision views and leading to follow-on implementation work.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Nash Satoshi: </w:t>
      </w:r>
      <w:r>
        <w:rPr>
          <w:rFonts w:ascii="Calibri" w:hAnsi="Calibri"/>
          <w:b w:val="0"/>
          <w:color w:val="1A1A1A"/>
          <w:sz w:val="21"/>
        </w:rPr>
        <w:t>Built a production 4-LLM ensemble using Claude, GPT-4, Gemini, and Grok for cross-model validation and consensus ranking, demonstrating agent orchestration and model-bias mitigation.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EDUCATION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1"/>
        </w:rPr>
        <w:t>Ithaca College</w:t>
      </w:r>
      <w:r>
        <w:rPr>
          <w:rFonts w:ascii="Calibri" w:hAnsi="Calibri"/>
          <w:b w:val="0"/>
          <w:color w:val="555555"/>
          <w:sz w:val="21"/>
        </w:rPr>
        <w:t>, BS, Sport Management, Legal Studies Minor, 2018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1"/>
        </w:rPr>
        <w:t>Northeastern University</w:t>
      </w:r>
      <w:r>
        <w:rPr>
          <w:rFonts w:ascii="Calibri" w:hAnsi="Calibri"/>
          <w:b w:val="0"/>
          <w:color w:val="555555"/>
          <w:sz w:val="21"/>
        </w:rPr>
        <w:t>, Data Analytics Certificate, 2019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