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ble-mesh web：https://blog.csdn.net/zhanghuaishu0/article/details/78770486</w:t>
      </w:r>
    </w:p>
    <w:p>
      <w:pPr>
        <w:numPr>
          <w:ilvl w:val="0"/>
          <w:numId w:val="0"/>
        </w:numPr>
        <w:rPr>
          <w:rFonts w:hint="eastAsia"/>
          <w:lang w:val="en-US" w:eastAsia="zh-CN"/>
        </w:rPr>
      </w:pPr>
      <w:r>
        <w:rPr>
          <w:rFonts w:hint="eastAsia"/>
          <w:lang w:val="en-US" w:eastAsia="zh-CN"/>
        </w:rPr>
        <w:t>1.1以消息为中心的通信。</w:t>
      </w:r>
    </w:p>
    <w:p>
      <w:pPr>
        <w:numPr>
          <w:ilvl w:val="0"/>
          <w:numId w:val="0"/>
        </w:numPr>
        <w:rPr>
          <w:rFonts w:hint="eastAsia"/>
          <w:lang w:val="en-US" w:eastAsia="zh-CN"/>
        </w:rPr>
      </w:pPr>
      <w:r>
        <w:rPr>
          <w:rFonts w:hint="eastAsia"/>
          <w:lang w:val="en-US" w:eastAsia="zh-CN"/>
        </w:rPr>
        <w:t>1.2 TTL 进行传送距离的改变</w:t>
      </w:r>
    </w:p>
    <w:p>
      <w:pPr>
        <w:numPr>
          <w:ilvl w:val="0"/>
          <w:numId w:val="0"/>
        </w:numPr>
        <w:rPr>
          <w:rFonts w:hint="eastAsia"/>
          <w:lang w:val="en-US" w:eastAsia="zh-CN"/>
        </w:rPr>
      </w:pPr>
      <w:r>
        <w:rPr>
          <w:rFonts w:hint="eastAsia"/>
          <w:lang w:val="en-US" w:eastAsia="zh-CN"/>
        </w:rPr>
        <w:t>1.3 协议栈</w:t>
      </w:r>
    </w:p>
    <w:p>
      <w:pPr>
        <w:numPr>
          <w:ilvl w:val="0"/>
          <w:numId w:val="0"/>
        </w:numPr>
        <w:rPr>
          <w:rFonts w:hint="eastAsia"/>
          <w:lang w:val="en-US" w:eastAsia="zh-CN"/>
        </w:rPr>
      </w:pPr>
      <w:r>
        <w:rPr>
          <w:rFonts w:hint="eastAsia"/>
          <w:lang w:val="en-US" w:eastAsia="zh-CN"/>
        </w:rPr>
        <w:drawing>
          <wp:inline distT="0" distB="0" distL="114300" distR="114300">
            <wp:extent cx="2441575" cy="2346325"/>
            <wp:effectExtent l="0" t="0" r="15875" b="15875"/>
            <wp:docPr id="1" name="图片 1" descr="微信截图_2019022817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228174800"/>
                    <pic:cNvPicPr>
                      <a:picLocks noChangeAspect="1"/>
                    </pic:cNvPicPr>
                  </pic:nvPicPr>
                  <pic:blipFill>
                    <a:blip r:embed="rId4"/>
                    <a:stretch>
                      <a:fillRect/>
                    </a:stretch>
                  </pic:blipFill>
                  <pic:spPr>
                    <a:xfrm>
                      <a:off x="0" y="0"/>
                      <a:ext cx="2441575" cy="234632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5410200" cy="3740150"/>
            <wp:effectExtent l="0" t="0" r="0" b="12700"/>
            <wp:docPr id="2" name="图片 2" descr="微信截图_2019022817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228174817"/>
                    <pic:cNvPicPr>
                      <a:picLocks noChangeAspect="1"/>
                    </pic:cNvPicPr>
                  </pic:nvPicPr>
                  <pic:blipFill>
                    <a:blip r:embed="rId5"/>
                    <a:stretch>
                      <a:fillRect/>
                    </a:stretch>
                  </pic:blipFill>
                  <pic:spPr>
                    <a:xfrm>
                      <a:off x="0" y="0"/>
                      <a:ext cx="5410200" cy="37401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1.4 节点模型</w:t>
      </w:r>
    </w:p>
    <w:p>
      <w:pPr>
        <w:numPr>
          <w:ilvl w:val="0"/>
          <w:numId w:val="0"/>
        </w:numPr>
      </w:pPr>
      <w:r>
        <w:drawing>
          <wp:inline distT="0" distB="0" distL="114300" distR="114300">
            <wp:extent cx="2604770" cy="1636395"/>
            <wp:effectExtent l="0" t="0" r="508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604770" cy="1636395"/>
                    </a:xfrm>
                    <a:prstGeom prst="rect">
                      <a:avLst/>
                    </a:prstGeom>
                    <a:noFill/>
                    <a:ln w="9525">
                      <a:noFill/>
                    </a:ln>
                  </pic:spPr>
                </pic:pic>
              </a:graphicData>
            </a:graphic>
          </wp:inline>
        </w:drawing>
      </w:r>
      <w:r>
        <w:drawing>
          <wp:inline distT="0" distB="0" distL="114300" distR="114300">
            <wp:extent cx="1016000" cy="1536700"/>
            <wp:effectExtent l="0" t="0" r="1270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016000" cy="15367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每个模型都有唯一的标识符。蓝牙技术联盟采用16位的模型，而供应商采用32位。</w:t>
      </w:r>
    </w:p>
    <w:p>
      <w:pPr>
        <w:numPr>
          <w:ilvl w:val="0"/>
          <w:numId w:val="0"/>
        </w:numPr>
        <w:rPr>
          <w:rFonts w:hint="eastAsia"/>
          <w:lang w:val="en-US" w:eastAsia="zh-CN"/>
        </w:rPr>
      </w:pPr>
      <w:r>
        <w:rPr>
          <w:rFonts w:hint="eastAsia"/>
          <w:lang w:val="en-US" w:eastAsia="zh-CN"/>
        </w:rPr>
        <w:t>蓝牙mesh网络可借助消息，通过客户端 - 服务器架构进行通信</w:t>
      </w:r>
    </w:p>
    <w:p>
      <w:pPr>
        <w:numPr>
          <w:ilvl w:val="0"/>
          <w:numId w:val="0"/>
        </w:numPr>
        <w:rPr>
          <w:rFonts w:hint="eastAsia"/>
          <w:lang w:val="en-US" w:eastAsia="zh-CN"/>
        </w:rPr>
      </w:pPr>
      <w:r>
        <w:rPr>
          <w:rFonts w:hint="eastAsia"/>
          <w:lang w:val="en-US" w:eastAsia="zh-CN"/>
        </w:rPr>
        <w:t>元素是节点内唯一可被寻址的实体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1.5 地址相关</w:t>
      </w:r>
    </w:p>
    <w:p>
      <w:pPr>
        <w:numPr>
          <w:ilvl w:val="0"/>
          <w:numId w:val="0"/>
        </w:numPr>
      </w:pPr>
      <w:r>
        <w:drawing>
          <wp:inline distT="0" distB="0" distL="114300" distR="114300">
            <wp:extent cx="5269865" cy="1674495"/>
            <wp:effectExtent l="0" t="0" r="698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9865" cy="167449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3982720" cy="3072765"/>
            <wp:effectExtent l="0" t="0" r="17780" b="133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982720" cy="3072765"/>
                    </a:xfrm>
                    <a:prstGeom prst="rect">
                      <a:avLst/>
                    </a:prstGeom>
                    <a:noFill/>
                    <a:ln w="9525">
                      <a:noFill/>
                    </a:ln>
                  </pic:spPr>
                </pic:pic>
              </a:graphicData>
            </a:graphic>
          </wp:inline>
        </w:drawing>
      </w:r>
    </w:p>
    <w:p>
      <w:pPr>
        <w:numPr>
          <w:ilvl w:val="0"/>
          <w:numId w:val="0"/>
        </w:numPr>
      </w:pPr>
      <w:r>
        <w:drawing>
          <wp:inline distT="0" distB="0" distL="114300" distR="114300">
            <wp:extent cx="4076700" cy="2713990"/>
            <wp:effectExtent l="0" t="0" r="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076700" cy="271399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1.6 message</w:t>
      </w:r>
    </w:p>
    <w:p>
      <w:pPr>
        <w:numPr>
          <w:ilvl w:val="0"/>
          <w:numId w:val="0"/>
        </w:numPr>
        <w:rPr>
          <w:rFonts w:hint="eastAsia"/>
          <w:lang w:val="en-US" w:eastAsia="zh-CN"/>
        </w:rPr>
      </w:pPr>
      <w:r>
        <w:rPr>
          <w:rFonts w:hint="eastAsia"/>
          <w:lang w:val="en-US" w:eastAsia="zh-CN"/>
        </w:rPr>
        <w:t>1.6.1 消息的本地</w:t>
      </w:r>
    </w:p>
    <w:p>
      <w:pPr>
        <w:numPr>
          <w:ilvl w:val="0"/>
          <w:numId w:val="2"/>
        </w:numPr>
        <w:ind w:left="420" w:leftChars="0" w:hanging="420" w:firstLineChars="0"/>
        <w:rPr>
          <w:rFonts w:hint="eastAsia"/>
          <w:lang w:val="en-US" w:eastAsia="zh-CN"/>
        </w:rPr>
      </w:pPr>
      <w:r>
        <w:rPr>
          <w:rFonts w:hint="eastAsia"/>
          <w:lang w:val="en-US" w:eastAsia="zh-CN"/>
        </w:rPr>
        <w:t>控制消息（Control Message） - 与蓝牙mesh网络操作有关的消息，例如心跳（heartbeat）和friend的请求消息。</w:t>
      </w:r>
    </w:p>
    <w:p>
      <w:pPr>
        <w:numPr>
          <w:ilvl w:val="0"/>
          <w:numId w:val="2"/>
        </w:numPr>
        <w:ind w:left="420" w:leftChars="0" w:hanging="420" w:firstLineChars="0"/>
        <w:rPr>
          <w:rFonts w:hint="eastAsia"/>
          <w:lang w:val="en-US" w:eastAsia="zh-CN"/>
        </w:rPr>
      </w:pPr>
      <w:r>
        <w:rPr>
          <w:rFonts w:hint="eastAsia"/>
          <w:lang w:val="en-US" w:eastAsia="zh-CN"/>
        </w:rPr>
        <w:t>接入消息（Access Message） - 该类消息允许客户端模型检索或设置服务器模型中的状态值，或被服务器用于报告状态值。接入消息分为两类：经确认的(acknowledged)和未经确认的(unacknowledged)。</w:t>
      </w:r>
    </w:p>
    <w:p>
      <w:pPr>
        <w:numPr>
          <w:ilvl w:val="0"/>
          <w:numId w:val="2"/>
        </w:numPr>
        <w:ind w:left="420" w:leftChars="0" w:hanging="420" w:firstLineChars="0"/>
        <w:rPr>
          <w:rFonts w:hint="eastAsia"/>
          <w:lang w:val="en-US" w:eastAsia="zh-CN"/>
        </w:rPr>
      </w:pPr>
      <w:r>
        <w:rPr>
          <w:rFonts w:hint="eastAsia"/>
          <w:lang w:val="en-US" w:eastAsia="zh-CN"/>
        </w:rPr>
        <w:t>消息可被操作码（opcode）识别，并具有相关参数。操作码可识别消息的操作。</w:t>
      </w:r>
    </w:p>
    <w:p>
      <w:pPr>
        <w:numPr>
          <w:ilvl w:val="0"/>
          <w:numId w:val="0"/>
        </w:numPr>
        <w:rPr>
          <w:rFonts w:hint="eastAsia"/>
          <w:lang w:val="en-US" w:eastAsia="zh-CN"/>
        </w:rPr>
      </w:pPr>
      <w:r>
        <w:rPr>
          <w:rFonts w:hint="eastAsia"/>
          <w:lang w:val="en-US" w:eastAsia="zh-CN"/>
        </w:rPr>
        <w:t>例如：</w:t>
      </w:r>
      <w:r>
        <w:rPr>
          <w:rFonts w:hint="eastAsia"/>
          <w:lang w:val="en-US" w:eastAsia="zh-CN"/>
        </w:rPr>
        <w:tab/>
      </w:r>
    </w:p>
    <w:p>
      <w:pPr>
        <w:numPr>
          <w:ilvl w:val="0"/>
          <w:numId w:val="0"/>
        </w:numPr>
        <w:rPr>
          <w:rFonts w:hint="eastAsia"/>
          <w:lang w:val="en-US" w:eastAsia="zh-CN"/>
        </w:rPr>
      </w:pPr>
      <w:r>
        <w:rPr>
          <w:rFonts w:hint="eastAsia"/>
          <w:lang w:val="en-US" w:eastAsia="zh-CN"/>
        </w:rPr>
        <w:t>Generic OnOff Get – 用于为通用模型识别OnOff状态Generic。</w:t>
      </w:r>
    </w:p>
    <w:p>
      <w:pPr>
        <w:numPr>
          <w:ilvl w:val="0"/>
          <w:numId w:val="0"/>
        </w:numPr>
        <w:rPr>
          <w:rFonts w:hint="eastAsia"/>
          <w:lang w:val="en-US" w:eastAsia="zh-CN"/>
        </w:rPr>
      </w:pPr>
      <w:r>
        <w:rPr>
          <w:rFonts w:hint="eastAsia"/>
          <w:lang w:val="en-US" w:eastAsia="zh-CN"/>
        </w:rPr>
        <w:t>Generic OnOff Set – 用于设置通用模型的OnOff状态</w:t>
      </w:r>
    </w:p>
    <w:p>
      <w:pPr>
        <w:numPr>
          <w:ilvl w:val="0"/>
          <w:numId w:val="0"/>
        </w:numPr>
        <w:rPr>
          <w:rFonts w:hint="eastAsia"/>
          <w:lang w:val="en-US" w:eastAsia="zh-CN"/>
        </w:rPr>
      </w:pPr>
      <w:r>
        <w:rPr>
          <w:rFonts w:hint="eastAsia"/>
          <w:lang w:val="en-US" w:eastAsia="zh-CN"/>
        </w:rPr>
        <w:t>参数:</w:t>
      </w:r>
    </w:p>
    <w:p>
      <w:pPr>
        <w:numPr>
          <w:ilvl w:val="0"/>
          <w:numId w:val="0"/>
        </w:numPr>
        <w:rPr>
          <w:rFonts w:hint="eastAsia"/>
          <w:lang w:val="en-US" w:eastAsia="zh-CN"/>
        </w:rPr>
      </w:pPr>
      <w:r>
        <w:rPr>
          <w:rFonts w:hint="eastAsia"/>
          <w:lang w:val="en-US" w:eastAsia="zh-CN"/>
        </w:rPr>
        <w:t>OnOff – 目标值（开或关）</w:t>
      </w:r>
    </w:p>
    <w:p>
      <w:pPr>
        <w:numPr>
          <w:ilvl w:val="0"/>
          <w:numId w:val="0"/>
        </w:numPr>
        <w:rPr>
          <w:rFonts w:hint="eastAsia"/>
          <w:lang w:val="en-US" w:eastAsia="zh-CN"/>
        </w:rPr>
      </w:pPr>
      <w:r>
        <w:rPr>
          <w:rFonts w:hint="eastAsia"/>
          <w:lang w:val="en-US" w:eastAsia="zh-CN"/>
        </w:rPr>
        <w:t>TID – 事务标识符（Transaction Identifier）– 消息是新的还是转发的</w:t>
      </w:r>
    </w:p>
    <w:p>
      <w:pPr>
        <w:numPr>
          <w:ilvl w:val="0"/>
          <w:numId w:val="0"/>
        </w:numPr>
        <w:rPr>
          <w:rFonts w:hint="eastAsia"/>
          <w:lang w:val="en-US" w:eastAsia="zh-CN"/>
        </w:rPr>
      </w:pPr>
      <w:r>
        <w:rPr>
          <w:rFonts w:hint="eastAsia"/>
          <w:lang w:val="en-US" w:eastAsia="zh-CN"/>
        </w:rPr>
        <w:t>转换时间（Transition Time）– 元素从一种状态转换到另一种状态所需时长</w:t>
      </w:r>
    </w:p>
    <w:p>
      <w:pPr>
        <w:numPr>
          <w:ilvl w:val="0"/>
          <w:numId w:val="0"/>
        </w:numPr>
        <w:rPr>
          <w:rFonts w:hint="eastAsia"/>
          <w:lang w:val="en-US" w:eastAsia="zh-CN"/>
        </w:rPr>
      </w:pPr>
      <w:r>
        <w:rPr>
          <w:rFonts w:hint="eastAsia"/>
          <w:lang w:val="en-US" w:eastAsia="zh-CN"/>
        </w:rPr>
        <w:t>延迟（Delay）– 消息执行延迟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1.6.2 消息的安全</w:t>
      </w:r>
    </w:p>
    <w:p>
      <w:pPr>
        <w:numPr>
          <w:ilvl w:val="0"/>
          <w:numId w:val="0"/>
        </w:numPr>
        <w:rPr>
          <w:rFonts w:hint="eastAsia"/>
          <w:lang w:val="en-US" w:eastAsia="zh-CN"/>
        </w:rPr>
      </w:pPr>
      <w:r>
        <w:rPr>
          <w:rFonts w:hint="eastAsia"/>
          <w:lang w:val="en-US" w:eastAsia="zh-CN"/>
        </w:rPr>
        <w:t>所有蓝牙mesh网络消息的安全保障都来自网络密钥（NetKey）和应用密钥（AppKey）对消息的加密和验证。</w:t>
      </w:r>
    </w:p>
    <w:p>
      <w:pPr>
        <w:numPr>
          <w:ilvl w:val="0"/>
          <w:numId w:val="0"/>
        </w:numPr>
        <w:rPr>
          <w:rFonts w:hint="eastAsia"/>
          <w:lang w:val="en-US" w:eastAsia="zh-CN"/>
        </w:rPr>
      </w:pPr>
      <w:r>
        <w:rPr>
          <w:rFonts w:hint="eastAsia"/>
          <w:lang w:val="en-US" w:eastAsia="zh-CN"/>
        </w:rPr>
        <w:t>NetKey用于网络层通信。假设蓝牙mesh网络没有子网，则该mesh网络内的所有通信都使用相同的网络密钥。</w:t>
      </w:r>
    </w:p>
    <w:p>
      <w:pPr>
        <w:numPr>
          <w:ilvl w:val="0"/>
          <w:numId w:val="0"/>
        </w:numPr>
        <w:rPr>
          <w:rFonts w:hint="eastAsia"/>
          <w:lang w:val="en-US" w:eastAsia="zh-CN"/>
        </w:rPr>
      </w:pPr>
      <w:r>
        <w:rPr>
          <w:rFonts w:hint="eastAsia"/>
          <w:lang w:val="en-US" w:eastAsia="zh-CN"/>
        </w:rPr>
        <w:t>AppKey用于应用程序的数据。网络中的一些节点具有特定应用，并且根据应用的需要对一些潜在敏感数据的访问进行限制。如 中继节点（relay node）（如灯泡或墙壁开关）通常具有有效的NetKey，能够在网络内中继敏感性消息。然而，这些节点无法访问各种限制区域（如楼宇控制或HVAC系统）的特定AppKey，，亦无法解密应用程序的数据。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1.6.3 消息交换</w:t>
      </w:r>
    </w:p>
    <w:p>
      <w:pPr>
        <w:numPr>
          <w:ilvl w:val="0"/>
          <w:numId w:val="0"/>
        </w:numPr>
        <w:rPr>
          <w:rFonts w:hint="eastAsia"/>
          <w:lang w:val="en-US" w:eastAsia="zh-CN"/>
        </w:rPr>
      </w:pPr>
      <w:r>
        <w:rPr>
          <w:rFonts w:hint="eastAsia"/>
          <w:lang w:val="en-US" w:eastAsia="zh-CN"/>
        </w:rPr>
        <w:t>蓝牙mesh网络使用发布/订阅 (publish/subscribe) 模型来进行消息传输。生成消息的节点会发布消息。需要接收消息的节点会订阅它们所需的地址。</w:t>
      </w:r>
    </w:p>
    <w:p>
      <w:pPr>
        <w:numPr>
          <w:ilvl w:val="0"/>
          <w:numId w:val="0"/>
        </w:numPr>
        <w:rPr>
          <w:rFonts w:hint="eastAsia"/>
          <w:lang w:val="en-US" w:eastAsia="zh-CN"/>
        </w:rPr>
      </w:pPr>
      <w:r>
        <w:rPr>
          <w:rFonts w:hint="eastAsia"/>
          <w:lang w:val="en-US" w:eastAsia="zh-CN"/>
        </w:rPr>
        <w:t>消息可被发布至单播、群组或虚拟地址。如：当模型发送回复消息时，使用消息始发处的源地址作为目标地址。发送非请求消息时，模型将使用模型的发布地址作为目标地址。节点中的每个模型都有一个发布地址。</w:t>
      </w:r>
    </w:p>
    <w:p>
      <w:pPr>
        <w:numPr>
          <w:ilvl w:val="0"/>
          <w:numId w:val="0"/>
        </w:numPr>
        <w:rPr>
          <w:rFonts w:hint="eastAsia"/>
          <w:lang w:val="en-US" w:eastAsia="zh-CN"/>
        </w:rPr>
      </w:pPr>
      <w:r>
        <w:rPr>
          <w:rFonts w:hint="eastAsia"/>
          <w:lang w:val="en-US" w:eastAsia="zh-CN"/>
        </w:rPr>
        <w:t>订阅消息的模型使用模型的订阅列表来定义用于接收消息的有效地址。</w:t>
      </w:r>
    </w:p>
    <w:p>
      <w:pPr>
        <w:numPr>
          <w:ilvl w:val="0"/>
          <w:numId w:val="0"/>
        </w:numPr>
      </w:pPr>
      <w:r>
        <w:drawing>
          <wp:inline distT="0" distB="0" distL="114300" distR="114300">
            <wp:extent cx="5271135" cy="1953260"/>
            <wp:effectExtent l="0" t="0" r="5715"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71135" cy="19532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1.7 Friend 节点</w:t>
      </w:r>
    </w:p>
    <w:p>
      <w:pPr>
        <w:numPr>
          <w:ilvl w:val="0"/>
          <w:numId w:val="0"/>
        </w:numPr>
        <w:rPr>
          <w:rFonts w:hint="eastAsia"/>
          <w:lang w:val="en-US" w:eastAsia="zh-CN"/>
        </w:rPr>
      </w:pPr>
      <w:r>
        <w:drawing>
          <wp:inline distT="0" distB="0" distL="114300" distR="114300">
            <wp:extent cx="5271135" cy="1704340"/>
            <wp:effectExtent l="0" t="0" r="571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71135" cy="1704340"/>
                    </a:xfrm>
                    <a:prstGeom prst="rect">
                      <a:avLst/>
                    </a:prstGeom>
                    <a:noFill/>
                    <a:ln w="9525">
                      <a:noFill/>
                    </a:ln>
                  </pic:spPr>
                </pic:pic>
              </a:graphicData>
            </a:graphic>
          </wp:inline>
        </w:drawing>
      </w:r>
      <w:r>
        <w:rPr>
          <w:rFonts w:hint="eastAsia"/>
        </w:rPr>
        <w:t>“友谊”可在某些情况下终止：</w:t>
      </w:r>
      <w:r>
        <w:rPr>
          <w:rFonts w:hint="eastAsia"/>
          <w:lang w:val="en-US" w:eastAsia="zh-CN"/>
        </w:rPr>
        <w:t xml:space="preserve"> </w:t>
      </w:r>
    </w:p>
    <w:p>
      <w:pPr>
        <w:numPr>
          <w:ilvl w:val="0"/>
          <w:numId w:val="0"/>
        </w:numPr>
        <w:rPr>
          <w:rFonts w:hint="eastAsia"/>
          <w:lang w:val="en-US" w:eastAsia="zh-CN"/>
        </w:rPr>
      </w:pPr>
      <w:r>
        <w:rPr>
          <w:rFonts w:hint="eastAsia"/>
          <w:lang w:val="en-US" w:eastAsia="zh-CN"/>
        </w:rPr>
        <w:t>如果在PollTimeout计时结束之前，好友节点未收到“ 好友轮询”、“好友订阅列表添加”或“好友订阅列表删除”消息，则友谊终止。</w:t>
      </w:r>
    </w:p>
    <w:p>
      <w:pPr>
        <w:numPr>
          <w:ilvl w:val="0"/>
          <w:numId w:val="0"/>
        </w:numPr>
        <w:rPr>
          <w:rFonts w:hint="eastAsia"/>
          <w:lang w:val="en-US" w:eastAsia="zh-CN"/>
        </w:rPr>
      </w:pPr>
      <w:r>
        <w:rPr>
          <w:rFonts w:hint="eastAsia"/>
          <w:lang w:val="en-US" w:eastAsia="zh-CN"/>
        </w:rPr>
        <w:t>LPN可以通过将“好友清除”消息发送给好友节点，以启动友谊终止程序，“友谊”就会被好友节点终止。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1.8 新设备入网过程（配置过程）</w:t>
      </w:r>
    </w:p>
    <w:p>
      <w:pPr>
        <w:numPr>
          <w:ilvl w:val="0"/>
          <w:numId w:val="0"/>
        </w:numPr>
      </w:pPr>
      <w:r>
        <w:drawing>
          <wp:inline distT="0" distB="0" distL="114300" distR="114300">
            <wp:extent cx="1211580" cy="3799840"/>
            <wp:effectExtent l="0" t="0" r="7620" b="1016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1211580" cy="37998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1.9 mesh安全机制</w:t>
      </w:r>
    </w:p>
    <w:p>
      <w:pPr>
        <w:numPr>
          <w:ilvl w:val="0"/>
          <w:numId w:val="2"/>
        </w:numPr>
        <w:ind w:left="420" w:leftChars="0" w:hanging="420" w:firstLineChars="0"/>
        <w:rPr>
          <w:rFonts w:hint="eastAsia"/>
          <w:lang w:val="en-US" w:eastAsia="zh-CN"/>
        </w:rPr>
      </w:pPr>
      <w:r>
        <w:rPr>
          <w:rFonts w:hint="eastAsia"/>
          <w:lang w:val="en-US" w:eastAsia="zh-CN"/>
        </w:rPr>
        <w:t>蓝牙mesh采用称为“应用密钥（AppKey） ”的安全密钥来保护应用层消息。</w:t>
      </w:r>
    </w:p>
    <w:p>
      <w:pPr>
        <w:numPr>
          <w:ilvl w:val="0"/>
          <w:numId w:val="2"/>
        </w:numPr>
        <w:ind w:left="420" w:leftChars="0" w:hanging="420" w:firstLineChars="0"/>
        <w:rPr>
          <w:rFonts w:hint="eastAsia"/>
          <w:lang w:val="en-US" w:eastAsia="zh-CN"/>
        </w:rPr>
      </w:pPr>
      <w:r>
        <w:rPr>
          <w:rFonts w:hint="eastAsia"/>
          <w:lang w:val="en-US" w:eastAsia="zh-CN"/>
        </w:rPr>
        <w:t>蓝牙mesh网络中的所有节点都拥有一个或多个网络密钥（NetKey），每个网络密钥对应一个子网，它也可能是主要子网</w:t>
      </w:r>
    </w:p>
    <w:p>
      <w:pPr>
        <w:numPr>
          <w:ilvl w:val="0"/>
          <w:numId w:val="2"/>
        </w:numPr>
        <w:ind w:left="420" w:leftChars="0" w:hanging="420" w:firstLineChars="0"/>
        <w:rPr>
          <w:rFonts w:hint="eastAsia"/>
          <w:lang w:val="en-US" w:eastAsia="zh-CN"/>
        </w:rPr>
      </w:pPr>
      <w:r>
        <w:rPr>
          <w:rFonts w:hint="eastAsia"/>
          <w:lang w:val="en-US" w:eastAsia="zh-CN"/>
        </w:rPr>
        <w:t>节点还拥有一个唯一的安全密钥，称为设备密钥（DevKey），用于节点的启动配置（Provisioning）和配置流程。</w:t>
      </w:r>
    </w:p>
    <w:p>
      <w:pPr>
        <w:numPr>
          <w:ilvl w:val="0"/>
          <w:numId w:val="2"/>
        </w:numPr>
        <w:ind w:left="420" w:leftChars="0" w:hanging="420" w:firstLineChars="0"/>
        <w:rPr>
          <w:rFonts w:hint="eastAsia"/>
          <w:lang w:val="en-US" w:eastAsia="zh-CN"/>
        </w:rPr>
      </w:pPr>
      <w:r>
        <w:rPr>
          <w:rFonts w:hint="eastAsia"/>
          <w:lang w:val="en-US" w:eastAsia="zh-CN"/>
        </w:rPr>
        <w:t>由NetKey导出的隐私密钥(Private Key)用于对网络PDU (Payload Data Unit) 的报头值进行模糊化</w:t>
      </w:r>
    </w:p>
    <w:p>
      <w:pPr>
        <w:numPr>
          <w:ilvl w:val="0"/>
          <w:numId w:val="2"/>
        </w:numPr>
        <w:ind w:left="420" w:leftChars="0" w:hanging="420" w:firstLineChars="0"/>
        <w:rPr>
          <w:rFonts w:hint="eastAsia"/>
          <w:lang w:val="en-US" w:eastAsia="zh-CN"/>
        </w:rPr>
      </w:pPr>
      <w:r>
        <w:rPr>
          <w:rFonts w:hint="eastAsia"/>
          <w:lang w:val="en-US" w:eastAsia="zh-CN"/>
        </w:rPr>
        <w:t>这种保护是基于分别称为序列号（SEQ, Sequence Number）和IV索引(IV Index)的两个网络PDU字段。每次发布消息时，元素会增加SEQ值。节点从元素接收消息，如果元素包含的SEQ值小于或等于上一个有效消息中的SEQ值，则节点会将消息丢弃，因为这则消息可能与中继攻击有关。</w:t>
      </w:r>
    </w:p>
    <w:p>
      <w:pPr>
        <w:numPr>
          <w:numId w:val="0"/>
        </w:numPr>
        <w:ind w:leftChars="0"/>
        <w:rPr>
          <w:rFonts w:hint="eastAsia"/>
          <w:lang w:val="en-US" w:eastAsia="zh-CN"/>
        </w:rPr>
      </w:pPr>
      <w:r>
        <w:drawing>
          <wp:inline distT="0" distB="0" distL="114300" distR="114300">
            <wp:extent cx="5270500" cy="5687060"/>
            <wp:effectExtent l="0" t="0" r="6350" b="889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5270500" cy="5687060"/>
                    </a:xfrm>
                    <a:prstGeom prst="rect">
                      <a:avLst/>
                    </a:prstGeom>
                    <a:noFill/>
                    <a:ln>
                      <a:noFill/>
                    </a:ln>
                  </pic:spPr>
                </pic:pic>
              </a:graphicData>
            </a:graphic>
          </wp:inline>
        </w:drawing>
      </w:r>
      <w:bookmarkStart w:id="0" w:name="_GoBack"/>
      <w:bookmarkEnd w:id="0"/>
    </w:p>
    <w:p>
      <w:pPr>
        <w:numPr>
          <w:ilvl w:val="0"/>
          <w:numId w:val="0"/>
        </w:numPr>
        <w:rPr>
          <w:rFonts w:hint="eastAsia"/>
          <w:lang w:val="en-US" w:eastAsia="zh-CN"/>
        </w:rPr>
      </w:pPr>
      <w:r>
        <w:rPr>
          <w:rFonts w:hint="eastAsia"/>
          <w:lang w:val="en-US" w:eastAsia="zh-CN"/>
        </w:rPr>
        <w:t>1.10 sences</w:t>
      </w:r>
    </w:p>
    <w:p>
      <w:pPr>
        <w:numPr>
          <w:ilvl w:val="0"/>
          <w:numId w:val="0"/>
        </w:numPr>
        <w:rPr>
          <w:rFonts w:hint="eastAsia"/>
          <w:lang w:val="en-US" w:eastAsia="zh-CN"/>
        </w:rPr>
      </w:pPr>
      <w:r>
        <w:rPr>
          <w:rFonts w:hint="eastAsia"/>
          <w:lang w:val="en-US" w:eastAsia="zh-CN"/>
        </w:rPr>
        <w:t xml:space="preserve"> 16-bit scenes number</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Microsoft YaHei UI" w:hAnsi="Microsoft YaHei UI" w:eastAsia="Microsoft YaHei UI" w:cs="Microsoft YaHei UI"/>
          <w:i w:val="0"/>
          <w:caps w:val="0"/>
          <w:color w:val="333333"/>
          <w:spacing w:val="8"/>
          <w:sz w:val="21"/>
          <w:szCs w:val="21"/>
          <w:shd w:val="clear" w:fill="FFFFFF"/>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958D5"/>
    <w:multiLevelType w:val="singleLevel"/>
    <w:tmpl w:val="8FE958D5"/>
    <w:lvl w:ilvl="0" w:tentative="0">
      <w:start w:val="1"/>
      <w:numFmt w:val="decimal"/>
      <w:lvlText w:val="%1."/>
      <w:lvlJc w:val="left"/>
      <w:pPr>
        <w:tabs>
          <w:tab w:val="left" w:pos="312"/>
        </w:tabs>
      </w:pPr>
    </w:lvl>
  </w:abstractNum>
  <w:abstractNum w:abstractNumId="1">
    <w:nsid w:val="F688538C"/>
    <w:multiLevelType w:val="singleLevel"/>
    <w:tmpl w:val="F688538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40392"/>
    <w:rsid w:val="022667AF"/>
    <w:rsid w:val="0271273F"/>
    <w:rsid w:val="029102AF"/>
    <w:rsid w:val="0AA7564E"/>
    <w:rsid w:val="16B33344"/>
    <w:rsid w:val="18CF16C4"/>
    <w:rsid w:val="215D59F8"/>
    <w:rsid w:val="21A536F4"/>
    <w:rsid w:val="24024746"/>
    <w:rsid w:val="26753384"/>
    <w:rsid w:val="2B4722BA"/>
    <w:rsid w:val="2D091A18"/>
    <w:rsid w:val="30E62782"/>
    <w:rsid w:val="322F4BA8"/>
    <w:rsid w:val="33FD6FCB"/>
    <w:rsid w:val="345D4059"/>
    <w:rsid w:val="34E86EB4"/>
    <w:rsid w:val="487A3743"/>
    <w:rsid w:val="4C0D123A"/>
    <w:rsid w:val="4C6F7BBC"/>
    <w:rsid w:val="50570C16"/>
    <w:rsid w:val="50F40392"/>
    <w:rsid w:val="523F54B7"/>
    <w:rsid w:val="5FEF4E25"/>
    <w:rsid w:val="6B5B1204"/>
    <w:rsid w:val="6F390118"/>
    <w:rsid w:val="724D72B3"/>
    <w:rsid w:val="7653295F"/>
    <w:rsid w:val="785D34E7"/>
    <w:rsid w:val="7BB25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2019-03-06T01:52:00Z</dcterms:created>
  <dc:creator>孙思远</dc:creator>
  <cp:lastModifiedBy>孙思远</cp:lastModifiedBy>
  <dcterms:modified xsi:type="dcterms:W3CDTF">2019-03-20T07:19:28Z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