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PRD-016 – Audit Logging</w:t>
      </w:r>
    </w:p>
    <w:p>
      <w:r>
        <w:t>**Requirement Group:** Audit &amp; Compliance</w:t>
      </w:r>
    </w:p>
    <w:p>
      <w:r>
        <w:t>Define immutable audit logging requirements for security, compliance, troubleshooting and operational visibility.</w:t>
      </w:r>
    </w:p>
    <w:p>
      <w:r>
        <w:t>Audit the following:</w:t>
      </w:r>
    </w:p>
    <w:p>
      <w:pPr>
        <w:pStyle w:val="ListBullet"/>
      </w:pPr>
      <w:r>
        <w:t>User login/logout</w:t>
      </w:r>
    </w:p>
    <w:p>
      <w:pPr>
        <w:pStyle w:val="ListBullet"/>
      </w:pPr>
      <w:r>
        <w:t>Failed authentication</w:t>
      </w:r>
    </w:p>
    <w:p>
      <w:pPr>
        <w:pStyle w:val="ListBullet"/>
      </w:pPr>
      <w:r>
        <w:t>MFA changes</w:t>
      </w:r>
    </w:p>
    <w:p>
      <w:pPr>
        <w:pStyle w:val="ListBullet"/>
      </w:pPr>
      <w:r>
        <w:t>Workspace creation/deletion</w:t>
      </w:r>
    </w:p>
    <w:p>
      <w:pPr>
        <w:pStyle w:val="ListBullet"/>
      </w:pPr>
      <w:r>
        <w:t>Role assignments</w:t>
      </w:r>
    </w:p>
    <w:p>
      <w:pPr>
        <w:pStyle w:val="ListBullet"/>
      </w:pPr>
      <w:r>
        <w:t>Storage provider connections</w:t>
      </w:r>
    </w:p>
    <w:p>
      <w:pPr>
        <w:pStyle w:val="ListBullet"/>
      </w:pPr>
      <w:r>
        <w:t>File operations (where applicable)</w:t>
      </w:r>
    </w:p>
    <w:p>
      <w:pPr>
        <w:pStyle w:val="ListBullet"/>
      </w:pPr>
      <w:r>
        <w:t>Administrative actions</w:t>
      </w:r>
    </w:p>
    <w:p>
      <w:pPr>
        <w:pStyle w:val="ListBullet"/>
      </w:pPr>
      <w:r>
        <w:t>Policy changes</w:t>
      </w:r>
    </w:p>
    <w:p>
      <w:r>
        <w:t>Each record includes:</w:t>
      </w:r>
    </w:p>
    <w:p>
      <w:pPr>
        <w:pStyle w:val="ListBullet"/>
      </w:pPr>
      <w:r>
        <w:t>Audit ID</w:t>
      </w:r>
    </w:p>
    <w:p>
      <w:pPr>
        <w:pStyle w:val="ListBullet"/>
      </w:pPr>
      <w:r>
        <w:t>Timestamp (UTC)</w:t>
      </w:r>
    </w:p>
    <w:p>
      <w:pPr>
        <w:pStyle w:val="ListBullet"/>
      </w:pPr>
      <w:r>
        <w:t>User ID</w:t>
      </w:r>
    </w:p>
    <w:p>
      <w:pPr>
        <w:pStyle w:val="ListBullet"/>
      </w:pPr>
      <w:r>
        <w:t>Workspace ID</w:t>
      </w:r>
    </w:p>
    <w:p>
      <w:pPr>
        <w:pStyle w:val="ListBullet"/>
      </w:pPr>
      <w:r>
        <w:t>Device ID</w:t>
      </w:r>
    </w:p>
    <w:p>
      <w:pPr>
        <w:pStyle w:val="ListBullet"/>
      </w:pPr>
      <w:r>
        <w:t>Action</w:t>
      </w:r>
    </w:p>
    <w:p>
      <w:pPr>
        <w:pStyle w:val="ListBullet"/>
      </w:pPr>
      <w:r>
        <w:t>Target resource</w:t>
      </w:r>
    </w:p>
    <w:p>
      <w:pPr>
        <w:pStyle w:val="ListBullet"/>
      </w:pPr>
      <w:r>
        <w:t>Result (Success/Failure)</w:t>
      </w:r>
    </w:p>
    <w:p>
      <w:pPr>
        <w:pStyle w:val="ListBullet"/>
      </w:pPr>
      <w:r>
        <w:t>Source IP (where applicable)</w:t>
      </w:r>
    </w:p>
    <w:p>
      <w:r>
        <w:t>Audit records cannot be edited or deleted by standard users.</w:t>
      </w:r>
    </w:p>
    <w:p>
      <w:r>
        <w:t>Support filtering by:</w:t>
      </w:r>
    </w:p>
    <w:p>
      <w:pPr>
        <w:pStyle w:val="ListBullet"/>
      </w:pPr>
      <w:r>
        <w:t>Date</w:t>
      </w:r>
    </w:p>
    <w:p>
      <w:pPr>
        <w:pStyle w:val="ListBullet"/>
      </w:pPr>
      <w:r>
        <w:t>User</w:t>
      </w:r>
    </w:p>
    <w:p>
      <w:pPr>
        <w:pStyle w:val="ListBullet"/>
      </w:pPr>
      <w:r>
        <w:t>Workspace</w:t>
      </w:r>
    </w:p>
    <w:p>
      <w:pPr>
        <w:pStyle w:val="ListBullet"/>
      </w:pPr>
      <w:r>
        <w:t>Device</w:t>
      </w:r>
    </w:p>
    <w:p>
      <w:pPr>
        <w:pStyle w:val="ListBullet"/>
      </w:pPr>
      <w:r>
        <w:t>Action</w:t>
      </w:r>
    </w:p>
    <w:p>
      <w:pPr>
        <w:pStyle w:val="ListBullet"/>
      </w:pPr>
      <w:r>
        <w:t>Result</w:t>
      </w:r>
    </w:p>
    <w:p>
      <w:r>
        <w:t>Administrators may export audit logs in CSV or JSON formats (future: PDF).</w:t>
      </w:r>
    </w:p>
    <w:p>
      <w:r>
        <w:t>Retention policies are configurable by workspace or organization.</w:t>
      </w:r>
    </w:p>
    <w:p>
      <w:r>
        <w:t>US-1401: Review who deleted a shared folder.</w:t>
      </w:r>
    </w:p>
    <w:p>
      <w:r>
        <w:t>US-1402: Export login history for compliance review.</w:t>
      </w:r>
    </w:p>
    <w:p>
      <w:pPr>
        <w:pStyle w:val="ListBullet"/>
      </w:pPr>
      <w:r>
        <w:t>Every privileged action generates an audit record.</w:t>
      </w:r>
    </w:p>
    <w:p>
      <w:pPr>
        <w:pStyle w:val="ListBullet"/>
      </w:pPr>
      <w:r>
        <w:t>Audit timestamps use UTC.</w:t>
      </w:r>
    </w:p>
    <w:p>
      <w:pPr>
        <w:pStyle w:val="ListBullet"/>
      </w:pPr>
      <w:r>
        <w:t>Export respects permissions.</w:t>
      </w:r>
    </w:p>
    <w:p>
      <w:pPr>
        <w:pStyle w:val="ListBullet"/>
      </w:pPr>
      <w:r>
        <w:t>Audit data remains tamper-evident.</w:t>
      </w:r>
    </w:p>
    <w:p>
      <w:r>
        <w:t>GET /audit</w:t>
      </w:r>
    </w:p>
    <w:p>
      <w:r>
        <w:t>GET /audit/{id}</w:t>
      </w:r>
    </w:p>
    <w:p>
      <w:r>
        <w:t>POST /audit/export</w:t>
      </w:r>
    </w:p>
    <w:p>
      <w:r>
        <w:t>PRD-017 – Permissions &amp; RBAC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