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9</w:t>
      </w:r>
      <w:r>
        <w:rPr>
          <w:rFonts w:ascii="Arial Rounded MT Bold" w:hAnsi="Arial Rounded MT Bold"/>
          <w:b w:val="0"/>
          <w:bCs/>
          <w:u w:val="single"/>
        </w:rPr>
        <w:t>/2º-BIM/D-03</w:t>
      </w:r>
    </w:p>
    <w:p w14:paraId="000F9F30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GENERAMOS PROTOTIPOS PARA EMPRENDEDORES DE NUESTRA LOCALIDAD Y DEN A CONOCER SUS PRODUCTOS EN LAS REDES SOCIALES (FASE EVALUAR)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26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8EC01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26C239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evaluamos lo prototipado utilizando diversas técnicas en la fase evaluar todo dentro del marco de la metodología Desing Thinking.</w:t>
            </w:r>
          </w:p>
          <w:p w14:paraId="299D83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1ACCF7E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44EB1B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A052CD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17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prototipo y realiza mejoras finales con expertos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F67176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0FA5CB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1FC44B40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48879D82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15B25F9B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770A7128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del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84B821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3CBA95E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272D474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0F14374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5985E8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116F377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30F120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43475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B8FAE7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evaluar realizando las actividades como: lectura del PDF para sintetizar la técnica malla receptora de información, luego realizar mejoras al prototipo para presentarla nuevamente, todo esto dentro del marco de la metodología Desing Thinking.</w:t>
            </w:r>
          </w:p>
          <w:p w14:paraId="422412A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CED205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evaluar.</w:t>
            </w:r>
          </w:p>
          <w:p w14:paraId="2FFF350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6CA20BA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prototipo para realizar mejoras y seguimos implementa el portafolio de CyE.</w:t>
            </w:r>
          </w:p>
          <w:p w14:paraId="1FA61C2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91C74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quinta sesión, se procederá a realizar las siguientes actividades dentro del marco de la metodología Desing Thinking:</w:t>
            </w:r>
          </w:p>
          <w:p w14:paraId="6D96A57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47579D2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0735AF6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197A78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220322C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6D5A68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B77A39A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7CC00D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84842C5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1736482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187B9A3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58D764A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implementando el portafolio de CyE</w:t>
            </w:r>
          </w:p>
          <w:p w14:paraId="5A3E2BF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E2AA5B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6CC7F18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evaluar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0E69D8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pdf para evaluar el prototipo y realizar las mejoras</w:t>
            </w:r>
          </w:p>
          <w:p w14:paraId="1A36A74E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3DBD0B9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C1A0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DC59B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(Evaluar)</w:t>
            </w:r>
          </w:p>
        </w:tc>
        <w:tc>
          <w:tcPr>
            <w:tcW w:w="2410" w:type="dxa"/>
            <w:vMerge w:val="continue"/>
            <w:vAlign w:val="center"/>
          </w:tcPr>
          <w:p w14:paraId="12E7A7B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75A7EA43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Cuadro de texto 16" o:spid="_x0000_s2053" o:spt="202" type="#_x0000_t202" style="position:absolute;left:0pt;margin-left:60.9pt;margin-top:13.05pt;height:16.7pt;width:638.2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 w14:paraId="6D6F0F5F">
                  <w:pPr>
                    <w:jc w:val="center"/>
                    <w:rPr>
                      <w:rFonts w:ascii="Patchwork Stitchlings Color" w:hAnsi="Patchwork Stitchlings Color"/>
                      <w:color w:val="C00000"/>
                      <w:sz w:val="16"/>
                      <w:szCs w:val="16"/>
                    </w:rPr>
                  </w:pPr>
                </w:p>
                <w:p w14:paraId="58AD94F7"/>
              </w:txbxContent>
            </v:textbox>
          </v:shape>
        </w:pic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4" o:spid="_x0000_s2052" o:spt="2" style="position:absolute;left:0pt;margin-left:5.8pt;margin-top:2.1pt;height:31.5pt;width:688.25pt;z-index:-251655168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1AC80F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INSTRUMENTO DE EVALUACIÓN – LISTA DE COTEJO – SEMANA 1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9</w:t>
                  </w: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DIA 03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I</w:t>
                  </w:r>
                </w:p>
              </w:txbxContent>
            </v:textbox>
          </v:roundrect>
        </w:pict>
      </w:r>
    </w:p>
    <w:tbl>
      <w:tblPr>
        <w:tblStyle w:val="11"/>
        <w:tblpPr w:leftFromText="141" w:rightFromText="141" w:vertAnchor="page" w:horzAnchor="margin" w:tblpXSpec="center" w:tblpY="282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D12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B3F24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50726565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4FA8A6A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119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1A9AC8D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3A7519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44F1F6D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6879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FCB169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3D2DD5CD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528B7A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468B32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FACEFD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4ED2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10CAAD0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4A5C383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5112870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EF3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AD3BD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23B48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D2C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EF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BE01C5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FAD484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5BA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8F7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A22D0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49D690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5D3B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BA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ED9E6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6E93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51F6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B2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A102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F225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A05A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8ED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6626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67E84133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GARAY VILLALVA JANSS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41A31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CC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7D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CB9720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158E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869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1011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32F7A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8638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98D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790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02643C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0314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B31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982AC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0AD2F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EF929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D7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446E8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4273D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624B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268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B544C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31B754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F701F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D7E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10C83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5ADF187D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BBB5A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664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DA18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8DA902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D82C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D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98126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AE868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6C43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5B67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0C9B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CB21FB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876D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FEA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F268DCC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3DDDFE9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0" w:type="auto"/>
          </w:tcPr>
          <w:p w14:paraId="664C20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B1D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F84D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5063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8997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43F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F940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2376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1070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4E95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161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42FC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9C78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33D8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76BA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7404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AD06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F3AA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CA6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E3FD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0DB7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8783BBB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1AF9686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04944B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061A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F4F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CED4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865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4D47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B7C5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51B2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D527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11EF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C89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E144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D95E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3868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D86A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F835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676CB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15E1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E0EF6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BEEBF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50EC7818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3" w:name="_GoBack"/>
      <w:bookmarkEnd w:id="3"/>
    </w:p>
    <w:sectPr>
      <w:pgSz w:w="16838" w:h="11906" w:orient="landscape"/>
      <w:pgMar w:top="1702" w:right="1418" w:bottom="40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22AF"/>
    <w:rsid w:val="00003794"/>
    <w:rsid w:val="00007D6F"/>
    <w:rsid w:val="00012CFC"/>
    <w:rsid w:val="00025436"/>
    <w:rsid w:val="00031694"/>
    <w:rsid w:val="00035D98"/>
    <w:rsid w:val="00037FB4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D1C2C"/>
    <w:rsid w:val="000E59B8"/>
    <w:rsid w:val="000F4BA1"/>
    <w:rsid w:val="000F5402"/>
    <w:rsid w:val="00100EA3"/>
    <w:rsid w:val="00102541"/>
    <w:rsid w:val="00140877"/>
    <w:rsid w:val="0014700F"/>
    <w:rsid w:val="00153E35"/>
    <w:rsid w:val="001709D3"/>
    <w:rsid w:val="0017222E"/>
    <w:rsid w:val="00186443"/>
    <w:rsid w:val="00192C31"/>
    <w:rsid w:val="00197A14"/>
    <w:rsid w:val="001B1CD2"/>
    <w:rsid w:val="001C0BD2"/>
    <w:rsid w:val="001C1449"/>
    <w:rsid w:val="001D261A"/>
    <w:rsid w:val="001D2E68"/>
    <w:rsid w:val="001D7E45"/>
    <w:rsid w:val="00206150"/>
    <w:rsid w:val="00211942"/>
    <w:rsid w:val="00214D03"/>
    <w:rsid w:val="00215C5C"/>
    <w:rsid w:val="002172E2"/>
    <w:rsid w:val="00232531"/>
    <w:rsid w:val="00241BE4"/>
    <w:rsid w:val="00243F8C"/>
    <w:rsid w:val="00257B5A"/>
    <w:rsid w:val="00264EA8"/>
    <w:rsid w:val="00273E47"/>
    <w:rsid w:val="00274BAE"/>
    <w:rsid w:val="002813BC"/>
    <w:rsid w:val="002929D0"/>
    <w:rsid w:val="00296BDC"/>
    <w:rsid w:val="002B0803"/>
    <w:rsid w:val="002B563A"/>
    <w:rsid w:val="002C12D7"/>
    <w:rsid w:val="002D0ED3"/>
    <w:rsid w:val="002D46E3"/>
    <w:rsid w:val="002D5A15"/>
    <w:rsid w:val="002F25AB"/>
    <w:rsid w:val="002F7EFF"/>
    <w:rsid w:val="00302254"/>
    <w:rsid w:val="003171F8"/>
    <w:rsid w:val="00317328"/>
    <w:rsid w:val="00320300"/>
    <w:rsid w:val="00334A7D"/>
    <w:rsid w:val="00341ED8"/>
    <w:rsid w:val="003469F5"/>
    <w:rsid w:val="00352C62"/>
    <w:rsid w:val="00360367"/>
    <w:rsid w:val="00362C30"/>
    <w:rsid w:val="003839B6"/>
    <w:rsid w:val="00383D8B"/>
    <w:rsid w:val="0038728B"/>
    <w:rsid w:val="003B100F"/>
    <w:rsid w:val="003C16DB"/>
    <w:rsid w:val="003C758D"/>
    <w:rsid w:val="003E1841"/>
    <w:rsid w:val="003E2D96"/>
    <w:rsid w:val="003F05FB"/>
    <w:rsid w:val="003F5889"/>
    <w:rsid w:val="004019EE"/>
    <w:rsid w:val="00413921"/>
    <w:rsid w:val="00415374"/>
    <w:rsid w:val="00423DF6"/>
    <w:rsid w:val="00426BF3"/>
    <w:rsid w:val="00427504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90A"/>
    <w:rsid w:val="00494701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4AF9"/>
    <w:rsid w:val="00520147"/>
    <w:rsid w:val="00522672"/>
    <w:rsid w:val="00523905"/>
    <w:rsid w:val="005309AB"/>
    <w:rsid w:val="00547EA4"/>
    <w:rsid w:val="00553845"/>
    <w:rsid w:val="005702F9"/>
    <w:rsid w:val="00570D6C"/>
    <w:rsid w:val="00571525"/>
    <w:rsid w:val="00572BFB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3018"/>
    <w:rsid w:val="00612668"/>
    <w:rsid w:val="006139A3"/>
    <w:rsid w:val="00615A76"/>
    <w:rsid w:val="00621F54"/>
    <w:rsid w:val="00631613"/>
    <w:rsid w:val="00640D67"/>
    <w:rsid w:val="006422FF"/>
    <w:rsid w:val="00644D21"/>
    <w:rsid w:val="0065114A"/>
    <w:rsid w:val="006519CE"/>
    <w:rsid w:val="00652AD8"/>
    <w:rsid w:val="00657A64"/>
    <w:rsid w:val="00662A00"/>
    <w:rsid w:val="00676466"/>
    <w:rsid w:val="006A4AD9"/>
    <w:rsid w:val="006A6151"/>
    <w:rsid w:val="006D661A"/>
    <w:rsid w:val="006E6DBC"/>
    <w:rsid w:val="0070151E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D28B0"/>
    <w:rsid w:val="007F73CE"/>
    <w:rsid w:val="0080569F"/>
    <w:rsid w:val="0081480C"/>
    <w:rsid w:val="00821769"/>
    <w:rsid w:val="00831AAF"/>
    <w:rsid w:val="0083464A"/>
    <w:rsid w:val="00835A8B"/>
    <w:rsid w:val="00856D98"/>
    <w:rsid w:val="0088303C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E5B0D"/>
    <w:rsid w:val="008F489D"/>
    <w:rsid w:val="008F48F9"/>
    <w:rsid w:val="009014FC"/>
    <w:rsid w:val="00904A79"/>
    <w:rsid w:val="00906C6C"/>
    <w:rsid w:val="00913BFA"/>
    <w:rsid w:val="00917ED4"/>
    <w:rsid w:val="00921E8B"/>
    <w:rsid w:val="009307D5"/>
    <w:rsid w:val="00935383"/>
    <w:rsid w:val="00950427"/>
    <w:rsid w:val="0096033F"/>
    <w:rsid w:val="009804C3"/>
    <w:rsid w:val="009846D9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15489"/>
    <w:rsid w:val="00A21898"/>
    <w:rsid w:val="00A221EB"/>
    <w:rsid w:val="00A43E6F"/>
    <w:rsid w:val="00A45BC9"/>
    <w:rsid w:val="00A45DF4"/>
    <w:rsid w:val="00A615B8"/>
    <w:rsid w:val="00A70199"/>
    <w:rsid w:val="00A74344"/>
    <w:rsid w:val="00A7451D"/>
    <w:rsid w:val="00A8224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F08F8"/>
    <w:rsid w:val="00AF5163"/>
    <w:rsid w:val="00B00354"/>
    <w:rsid w:val="00B16656"/>
    <w:rsid w:val="00B2665E"/>
    <w:rsid w:val="00B31094"/>
    <w:rsid w:val="00B41E0F"/>
    <w:rsid w:val="00B42471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6423"/>
    <w:rsid w:val="00BC6C9B"/>
    <w:rsid w:val="00BD51FB"/>
    <w:rsid w:val="00BD70EA"/>
    <w:rsid w:val="00BE5616"/>
    <w:rsid w:val="00BF577E"/>
    <w:rsid w:val="00BF798E"/>
    <w:rsid w:val="00C0246F"/>
    <w:rsid w:val="00C03795"/>
    <w:rsid w:val="00C056F3"/>
    <w:rsid w:val="00C33A90"/>
    <w:rsid w:val="00C41BAD"/>
    <w:rsid w:val="00C441CD"/>
    <w:rsid w:val="00C65981"/>
    <w:rsid w:val="00C8226C"/>
    <w:rsid w:val="00C8325F"/>
    <w:rsid w:val="00C9329A"/>
    <w:rsid w:val="00CA0CBD"/>
    <w:rsid w:val="00CB0B60"/>
    <w:rsid w:val="00CB2202"/>
    <w:rsid w:val="00CB5D86"/>
    <w:rsid w:val="00CC204E"/>
    <w:rsid w:val="00CE47D8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A3F70"/>
    <w:rsid w:val="00DC02EF"/>
    <w:rsid w:val="00DC2B53"/>
    <w:rsid w:val="00DD588B"/>
    <w:rsid w:val="00DD7D94"/>
    <w:rsid w:val="00E06B70"/>
    <w:rsid w:val="00E0791F"/>
    <w:rsid w:val="00E10112"/>
    <w:rsid w:val="00E210E5"/>
    <w:rsid w:val="00E50D42"/>
    <w:rsid w:val="00E63FFD"/>
    <w:rsid w:val="00E702C6"/>
    <w:rsid w:val="00E719F4"/>
    <w:rsid w:val="00E864AE"/>
    <w:rsid w:val="00E960A6"/>
    <w:rsid w:val="00EA1FD6"/>
    <w:rsid w:val="00EA625C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57EFB"/>
    <w:rsid w:val="00F65602"/>
    <w:rsid w:val="00F72684"/>
    <w:rsid w:val="00F75BD9"/>
    <w:rsid w:val="00F87D95"/>
    <w:rsid w:val="00F962E2"/>
    <w:rsid w:val="00FB0942"/>
    <w:rsid w:val="00FB3DC9"/>
    <w:rsid w:val="00FC7FB2"/>
    <w:rsid w:val="00FE4C30"/>
    <w:rsid w:val="00FE6664"/>
    <w:rsid w:val="00FF158E"/>
    <w:rsid w:val="1D4A0D8D"/>
    <w:rsid w:val="4FA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1760</Words>
  <Characters>9685</Characters>
  <Lines>80</Lines>
  <Paragraphs>22</Paragraphs>
  <TotalTime>0</TotalTime>
  <ScaleCrop>false</ScaleCrop>
  <LinksUpToDate>false</LinksUpToDate>
  <CharactersWithSpaces>11423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2023-03-23T03:57:00Z</dcterms:created>
  <dc:creator>julio cesar soria quispe</dc:creator>
  <cp:lastModifiedBy>julio soria</cp:lastModifiedBy>
  <cp:lastPrinted>2023-07-17T03:15:00Z</cp:lastPrinted>
  <dcterms:modified xsi:type="dcterms:W3CDTF">2024-07-21T22:04:02Z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D108EF1048C74E4E876B86CA45AFF046_12</vt:lpwstr>
  </property>
</Properties>
</file>