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28"/>
        </w:rPr>
        <w:t>APPENDIX C</w:t>
      </w:r>
    </w:p>
    <w:p>
      <w:pPr>
        <w:spacing w:after="80"/>
        <w:jc w:val="center"/>
      </w:pPr>
      <w:r>
        <w:rPr>
          <w:rFonts w:ascii="Times New Roman" w:hAnsi="Times New Roman"/>
          <w:b/>
          <w:sz w:val="26"/>
        </w:rPr>
        <w:t>User Manual</w:t>
      </w:r>
    </w:p>
    <w:p>
      <w:pPr>
        <w:spacing w:after="480"/>
        <w:jc w:val="center"/>
      </w:pPr>
      <w:r>
        <w:rPr>
          <w:rFonts w:ascii="Times New Roman" w:hAnsi="Times New Roman"/>
          <w:i/>
          <w:color w:val="475569"/>
          <w:sz w:val="22"/>
        </w:rPr>
        <w:t>Cabanatuan City Ordinance &amp; Legislative Portal</w:t>
      </w:r>
    </w:p>
    <w:p>
      <w:pPr>
        <w:keepNext/>
        <w:spacing w:before="360" w:after="80"/>
      </w:pPr>
      <w:r>
        <w:rPr>
          <w:rFonts w:ascii="Times New Roman" w:hAnsi="Times New Roman"/>
          <w:b/>
          <w:color w:val="0F172A"/>
          <w:sz w:val="26"/>
        </w:rPr>
        <w:t>Public Access &amp; Legislative Discovery</w:t>
      </w:r>
    </w:p>
    <w:p>
      <w:pPr>
        <w:keepNext/>
        <w:spacing w:before="160" w:after="80"/>
      </w:pPr>
      <w:r>
        <w:rPr>
          <w:rFonts w:ascii="Times New Roman" w:hAnsi="Times New Roman"/>
          <w:b/>
          <w:i/>
          <w:sz w:val="24"/>
        </w:rPr>
        <w:t>What the Public Welcome Portal &amp; Legislative Search Gateway Is For</w:t>
      </w:r>
    </w:p>
    <w:p>
      <w:pPr>
        <w:spacing w:line="276" w:lineRule="auto" w:after="160"/>
        <w:ind w:firstLine="720"/>
      </w:pPr>
      <w:r>
        <w:rPr>
          <w:rFonts w:ascii="Times New Roman" w:hAnsi="Times New Roman"/>
          <w:b w:val="0"/>
          <w:i w:val="0"/>
          <w:color w:val="0F172A"/>
          <w:sz w:val="24"/>
        </w:rPr>
        <w:t>The public welcome portal serves as the primary municipal gateway for Cabanatuan City's digital legislative repository. It provides unrestricted, zero-barrier public access for citizens, researchers, and local business owners to discover enacted city ordinances, municipal tax codes, traffic regulations, and public health policies without requiring prior account registration. The interface incorporates real-time full-text indexing, spatial 3D document visualization, and instant shortcuts to AI-assisted legal advisory tools. An essential architectural feature of this gateway is its strict public privacy boundary; internal administrative workflows, pending legislative deliberations, law enforcement sensitive reports, and barangay official contact directories remain inaccessible until an authenticated session is established.</w:t>
      </w:r>
    </w:p>
    <w:p>
      <w:pPr>
        <w:keepNext/>
        <w:spacing w:before="120" w:after="40"/>
      </w:pPr>
      <w:r>
        <w:rPr>
          <w:rFonts w:ascii="Times New Roman" w:hAnsi="Times New Roman"/>
          <w:b/>
          <w:sz w:val="22"/>
        </w:rPr>
        <w:t>Figure C-1.</w:t>
        <w:br/>
      </w:r>
      <w:r>
        <w:rPr>
          <w:rFonts w:ascii="Times New Roman" w:hAnsi="Times New Roman"/>
          <w:i/>
          <w:sz w:val="22"/>
        </w:rPr>
        <w:t>Public Welcome Portal &amp; Legislative Search Gateway</w:t>
      </w:r>
    </w:p>
    <w:p>
      <w:pPr>
        <w:keepNext/>
        <w:spacing w:before="80" w:after="160"/>
      </w:pPr>
      <w:r>
        <w:drawing>
          <wp:inline xmlns:a="http://schemas.openxmlformats.org/drawingml/2006/main" xmlns:pic="http://schemas.openxmlformats.org/drawingml/2006/picture">
            <wp:extent cx="5943600" cy="3737038"/>
            <wp:docPr id="1" name="Picture 1"/>
            <wp:cNvGraphicFramePr>
              <a:graphicFrameLocks noChangeAspect="1"/>
            </wp:cNvGraphicFramePr>
            <a:graphic>
              <a:graphicData uri="http://schemas.openxmlformats.org/drawingml/2006/picture">
                <pic:pic>
                  <pic:nvPicPr>
                    <pic:cNvPr id="0" name="fig_c01_public_welcome.png"/>
                    <pic:cNvPicPr/>
                  </pic:nvPicPr>
                  <pic:blipFill>
                    <a:blip r:embed="rId10"/>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Hero Ordinance Search Input Field — </w:t>
            </w:r>
            <w:r>
              <w:rPr>
                <w:rFonts w:ascii="Times New Roman" w:hAnsi="Times New Roman"/>
                <w:sz w:val="22"/>
              </w:rPr>
              <w:t>Text input field equipped with instant keyword matching. Citizens enter common topics, legal terms, or keywords (e.g., 'curfew', 'waste segregation', 'business permit', 'tricycle fare') to initiate legislative discovery across the municipal repository.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Search Execution Action Button — </w:t>
            </w:r>
            <w:r>
              <w:rPr>
                <w:rFonts w:ascii="Times New Roman" w:hAnsi="Times New Roman"/>
                <w:sz w:val="22"/>
              </w:rPr>
              <w:t>Primary search execution button styled with high-contrast emerald civic branding. Submits active keyword parameters to the search engine and seamlessly transitions the citizen into the categorized Ordinance Explorer interface.</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Ask AI Legal Assistant Action Button — </w:t>
            </w:r>
            <w:r>
              <w:rPr>
                <w:rFonts w:ascii="Times New Roman" w:hAnsi="Times New Roman"/>
                <w:sz w:val="22"/>
              </w:rPr>
              <w:t>Dedicated action button providing 1-click routing into the conversational AI Legal Assistant interface, allowing citizens to formulate natural-language legal inquiries in conversational Tagalog or English.</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Interactive 3D Ordinance Archive Canvas — </w:t>
            </w:r>
            <w:r>
              <w:rPr>
                <w:rFonts w:ascii="Times New Roman" w:hAnsi="Times New Roman"/>
                <w:sz w:val="22"/>
              </w:rPr>
              <w:t>Three.js hardware-accelerated 3D cylinder archive visualizing 42+ indexed municipal ordinances. Enables citizens to interactively rotate, inspect, and spatially browse legislative enactment volumes chronologically.</w:t>
            </w:r>
          </w:p>
        </w:tc>
      </w:tr>
    </w:tbl>
    <w:p>
      <w:pPr>
        <w:spacing w:before="0" w:after="240"/>
      </w:pPr>
    </w:p>
    <w:p>
      <w:pPr>
        <w:keepNext/>
        <w:spacing w:before="360" w:after="80"/>
      </w:pPr>
      <w:r>
        <w:rPr>
          <w:rFonts w:ascii="Times New Roman" w:hAnsi="Times New Roman"/>
          <w:b/>
          <w:color w:val="0F172A"/>
          <w:sz w:val="26"/>
        </w:rPr>
        <w:t>Account Access &amp; Authentication</w:t>
      </w:r>
    </w:p>
    <w:p>
      <w:pPr>
        <w:keepNext/>
        <w:spacing w:before="160" w:after="80"/>
      </w:pPr>
      <w:r>
        <w:rPr>
          <w:rFonts w:ascii="Times New Roman" w:hAnsi="Times New Roman"/>
          <w:b/>
          <w:i/>
          <w:sz w:val="24"/>
        </w:rPr>
        <w:t>What the Secure Multi-Role Portal Sign-In &amp; Authentication Is For</w:t>
      </w:r>
    </w:p>
    <w:p>
      <w:pPr>
        <w:spacing w:line="276" w:lineRule="auto" w:after="160"/>
        <w:ind w:firstLine="720"/>
      </w:pPr>
      <w:r>
        <w:rPr>
          <w:rFonts w:ascii="Times New Roman" w:hAnsi="Times New Roman"/>
          <w:b w:val="0"/>
          <w:i w:val="0"/>
          <w:color w:val="0F172A"/>
          <w:sz w:val="24"/>
        </w:rPr>
        <w:t>The portal authentication interface controls authorized access to restricted administrative modules, including legislative proposal drafting, ordinance review and ratification, and community incident triage. Built with Role-Based Access Control (RBAC), the authentication service validates government personnel and assigns security contexts corresponding to LGU Super Administrators, Barangay Officials, and Registered Citizens. Confidential government records, audit logs, and citizen whistleblower reports are strictly guarded behind session tokens.</w:t>
      </w:r>
    </w:p>
    <w:p>
      <w:pPr>
        <w:keepNext/>
        <w:spacing w:before="120" w:after="40"/>
      </w:pPr>
      <w:r>
        <w:rPr>
          <w:rFonts w:ascii="Times New Roman" w:hAnsi="Times New Roman"/>
          <w:b/>
          <w:sz w:val="22"/>
        </w:rPr>
        <w:t>Figure C-2.</w:t>
        <w:br/>
      </w:r>
      <w:r>
        <w:rPr>
          <w:rFonts w:ascii="Times New Roman" w:hAnsi="Times New Roman"/>
          <w:i/>
          <w:sz w:val="22"/>
        </w:rPr>
        <w:t>Secure Multi-Role Portal Sign-In &amp; Authentication</w:t>
      </w:r>
    </w:p>
    <w:p>
      <w:pPr>
        <w:keepNext/>
        <w:spacing w:before="80" w:after="160"/>
      </w:pPr>
      <w:r>
        <w:drawing>
          <wp:inline xmlns:a="http://schemas.openxmlformats.org/drawingml/2006/main" xmlns:pic="http://schemas.openxmlformats.org/drawingml/2006/picture">
            <wp:extent cx="5943600" cy="3737038"/>
            <wp:docPr id="2" name="Picture 2"/>
            <wp:cNvGraphicFramePr>
              <a:graphicFrameLocks noChangeAspect="1"/>
            </wp:cNvGraphicFramePr>
            <a:graphic>
              <a:graphicData uri="http://schemas.openxmlformats.org/drawingml/2006/picture">
                <pic:pic>
                  <pic:nvPicPr>
                    <pic:cNvPr id="0" name="fig_c02_secure_signin.png"/>
                    <pic:cNvPicPr/>
                  </pic:nvPicPr>
                  <pic:blipFill>
                    <a:blip r:embed="rId11"/>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Email Address Input Field — </w:t>
            </w:r>
            <w:r>
              <w:rPr>
                <w:rFonts w:ascii="Times New Roman" w:hAnsi="Times New Roman"/>
                <w:sz w:val="22"/>
              </w:rPr>
              <w:t>Validated input field capturing the official government or registered citizen email address. Implements live format checking and whitespace trimming to prevent authentication errors.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Encrypted Password Input Field — </w:t>
            </w:r>
            <w:r>
              <w:rPr>
                <w:rFonts w:ascii="Times New Roman" w:hAnsi="Times New Roman"/>
                <w:sz w:val="22"/>
              </w:rPr>
              <w:t>Masked credential input field securing passwords during entry. Enforces secure character masking and interacts directly with backend cryptographic hashing algorithms.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Sign In Primary Action CTA Button — </w:t>
            </w:r>
            <w:r>
              <w:rPr>
                <w:rFonts w:ascii="Times New Roman" w:hAnsi="Times New Roman"/>
                <w:sz w:val="22"/>
              </w:rPr>
              <w:t>Primary authentication trigger authenticating entered credentials against Firebase Auth. Upon successful token verification, the system inspects custom claims and routes users to their respective governance console.</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Quick Role Preset Access Chips — </w:t>
            </w:r>
            <w:r>
              <w:rPr>
                <w:rFonts w:ascii="Times New Roman" w:hAnsi="Times New Roman"/>
                <w:sz w:val="22"/>
              </w:rPr>
              <w:t>Pre-configured demonstration credentials allowing authorized evaluators and officials to rapidly test system workflows across LGU Superadmin, Barangay Official, and Citizen security tiers with a single tap.</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5</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Return to Public Portal Navigation Link — </w:t>
            </w:r>
            <w:r>
              <w:rPr>
                <w:rFonts w:ascii="Times New Roman" w:hAnsi="Times New Roman"/>
                <w:sz w:val="22"/>
              </w:rPr>
              <w:t>Direct safe-exit navigation link allowing unauthenticated visitors or citizens to return to the public search gateway without modifying session state.</w:t>
            </w:r>
          </w:p>
        </w:tc>
      </w:tr>
    </w:tbl>
    <w:p>
      <w:pPr>
        <w:spacing w:before="0" w:after="240"/>
      </w:pPr>
    </w:p>
    <w:p>
      <w:pPr>
        <w:keepNext/>
        <w:spacing w:before="360" w:after="80"/>
      </w:pPr>
      <w:r>
        <w:rPr>
          <w:rFonts w:ascii="Times New Roman" w:hAnsi="Times New Roman"/>
          <w:b/>
          <w:color w:val="0F172A"/>
          <w:sz w:val="26"/>
        </w:rPr>
        <w:t>Public Legal Search &amp; Discovery</w:t>
      </w:r>
    </w:p>
    <w:p>
      <w:pPr>
        <w:keepNext/>
        <w:spacing w:before="160" w:after="80"/>
      </w:pPr>
      <w:r>
        <w:rPr>
          <w:rFonts w:ascii="Times New Roman" w:hAnsi="Times New Roman"/>
          <w:b/>
          <w:i/>
          <w:sz w:val="24"/>
        </w:rPr>
        <w:t>What the Public Ordinance Explorer &amp; Multi-Criteria Legal Filtering Is For</w:t>
      </w:r>
    </w:p>
    <w:p>
      <w:pPr>
        <w:spacing w:line="276" w:lineRule="auto" w:after="160"/>
        <w:ind w:firstLine="720"/>
      </w:pPr>
      <w:r>
        <w:rPr>
          <w:rFonts w:ascii="Times New Roman" w:hAnsi="Times New Roman"/>
          <w:b w:val="0"/>
          <w:i w:val="0"/>
          <w:color w:val="0F172A"/>
          <w:sz w:val="24"/>
        </w:rPr>
        <w:t>The Public Ordinance Explorer represents the central discovery portal for municipal law. Citizens can filter hundreds of enacted city regulations and barangay resolutions through a multi-faceted search architecture. The explorer provides instant keyword matching, jurisdiction segmentation, category sorting, and enactment year filtering to help residents find applicable laws quickly.</w:t>
      </w:r>
    </w:p>
    <w:p>
      <w:pPr>
        <w:keepNext/>
        <w:spacing w:before="120" w:after="40"/>
      </w:pPr>
      <w:r>
        <w:rPr>
          <w:rFonts w:ascii="Times New Roman" w:hAnsi="Times New Roman"/>
          <w:b/>
          <w:sz w:val="22"/>
        </w:rPr>
        <w:t>Figure C-3.</w:t>
        <w:br/>
      </w:r>
      <w:r>
        <w:rPr>
          <w:rFonts w:ascii="Times New Roman" w:hAnsi="Times New Roman"/>
          <w:i/>
          <w:sz w:val="22"/>
        </w:rPr>
        <w:t>Public Ordinance Explorer &amp; Multi-Criteria Legal Filtering</w:t>
      </w:r>
    </w:p>
    <w:p>
      <w:pPr>
        <w:keepNext/>
        <w:spacing w:before="80" w:after="160"/>
      </w:pPr>
      <w:r>
        <w:drawing>
          <wp:inline xmlns:a="http://schemas.openxmlformats.org/drawingml/2006/main" xmlns:pic="http://schemas.openxmlformats.org/drawingml/2006/picture">
            <wp:extent cx="5943600" cy="3737038"/>
            <wp:docPr id="3" name="Picture 3"/>
            <wp:cNvGraphicFramePr>
              <a:graphicFrameLocks noChangeAspect="1"/>
            </wp:cNvGraphicFramePr>
            <a:graphic>
              <a:graphicData uri="http://schemas.openxmlformats.org/drawingml/2006/picture">
                <pic:pic>
                  <pic:nvPicPr>
                    <pic:cNvPr id="0" name="fig_c03_ordinance_explorer.png"/>
                    <pic:cNvPicPr/>
                  </pic:nvPicPr>
                  <pic:blipFill>
                    <a:blip r:embed="rId12"/>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Full-Text Legal Search Input Field — </w:t>
            </w:r>
            <w:r>
              <w:rPr>
                <w:rFonts w:ascii="Times New Roman" w:hAnsi="Times New Roman"/>
                <w:sz w:val="22"/>
              </w:rPr>
              <w:t>Real-time search field querying ordinance titles, official resolution numbers, executive summaries, and enacted provisions with live debounced filtering.</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Jurisdiction Scope Segmented Switcher — </w:t>
            </w:r>
            <w:r>
              <w:rPr>
                <w:rFonts w:ascii="Times New Roman" w:hAnsi="Times New Roman"/>
                <w:sz w:val="22"/>
              </w:rPr>
              <w:t>Segmented filter buttons allowing citizens to toggle search scope between 'Lahat' (All Laws), 'City Ordinances' (Sangguniang Panlungsod enactments), and 'Barangay Resolutions' (local council measures).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Policy Category Filter Dropdown — </w:t>
            </w:r>
            <w:r>
              <w:rPr>
                <w:rFonts w:ascii="Times New Roman" w:hAnsi="Times New Roman"/>
                <w:sz w:val="22"/>
              </w:rPr>
              <w:t>Dropdown selector categorizing legislation into civic policy domains including Traffic &amp; Transportation, Solid Waste Management, Curfew &amp; Youth Welfare, Health &amp; Sanitation, and Fiscal Revenue.</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Legislative Enactment Year Dropdown — </w:t>
            </w:r>
            <w:r>
              <w:rPr>
                <w:rFonts w:ascii="Times New Roman" w:hAnsi="Times New Roman"/>
                <w:sz w:val="22"/>
              </w:rPr>
              <w:t>Chronological dropdown filter allowing researchers to isolate ordinances passed in specific municipal legislative years from 2018 to 2026.</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5</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Interactive Ordinance Result Card — </w:t>
            </w:r>
            <w:r>
              <w:rPr>
                <w:rFonts w:ascii="Times New Roman" w:hAnsi="Times New Roman"/>
                <w:sz w:val="22"/>
              </w:rPr>
              <w:t>Responsive legislative preview card showcasing ordinance number, official title, category tag, enactment date, plain-language digest, and direct link to the codified detail record.</w:t>
            </w:r>
          </w:p>
        </w:tc>
      </w:tr>
    </w:tbl>
    <w:p>
      <w:pPr>
        <w:spacing w:before="0" w:after="240"/>
      </w:pPr>
    </w:p>
    <w:p>
      <w:pPr>
        <w:keepNext/>
        <w:spacing w:before="160" w:after="80"/>
      </w:pPr>
      <w:r>
        <w:rPr>
          <w:rFonts w:ascii="Times New Roman" w:hAnsi="Times New Roman"/>
          <w:b/>
          <w:i/>
          <w:sz w:val="24"/>
        </w:rPr>
        <w:t>What the Codified Ordinance Full Text &amp; Articles Viewer Is For</w:t>
      </w:r>
    </w:p>
    <w:p>
      <w:pPr>
        <w:spacing w:line="276" w:lineRule="auto" w:after="160"/>
        <w:ind w:firstLine="720"/>
      </w:pPr>
      <w:r>
        <w:rPr>
          <w:rFonts w:ascii="Times New Roman" w:hAnsi="Times New Roman"/>
          <w:b w:val="0"/>
          <w:i w:val="0"/>
          <w:color w:val="0F172A"/>
          <w:sz w:val="24"/>
        </w:rPr>
        <w:t>The codified ordinance view presents the authoritative legal text of an enacted measure in a modern digital reader format. Rather than forcing citizens to decipher complex legal terminology in dense scanned PDFs, the system parses the document into structured articles, sections, and penalty provisions, accompanied by an executive summary.</w:t>
      </w:r>
    </w:p>
    <w:p>
      <w:pPr>
        <w:keepNext/>
        <w:spacing w:before="120" w:after="40"/>
      </w:pPr>
      <w:r>
        <w:rPr>
          <w:rFonts w:ascii="Times New Roman" w:hAnsi="Times New Roman"/>
          <w:b/>
          <w:sz w:val="22"/>
        </w:rPr>
        <w:t>Figure C-4.</w:t>
        <w:br/>
      </w:r>
      <w:r>
        <w:rPr>
          <w:rFonts w:ascii="Times New Roman" w:hAnsi="Times New Roman"/>
          <w:i/>
          <w:sz w:val="22"/>
        </w:rPr>
        <w:t>Codified Ordinance Full Text &amp; Articles Viewer</w:t>
      </w:r>
    </w:p>
    <w:p>
      <w:pPr>
        <w:keepNext/>
        <w:spacing w:before="80" w:after="160"/>
      </w:pPr>
      <w:r>
        <w:drawing>
          <wp:inline xmlns:a="http://schemas.openxmlformats.org/drawingml/2006/main" xmlns:pic="http://schemas.openxmlformats.org/drawingml/2006/picture">
            <wp:extent cx="5943600" cy="3737038"/>
            <wp:docPr id="4" name="Picture 4"/>
            <wp:cNvGraphicFramePr>
              <a:graphicFrameLocks noChangeAspect="1"/>
            </wp:cNvGraphicFramePr>
            <a:graphic>
              <a:graphicData uri="http://schemas.openxmlformats.org/drawingml/2006/picture">
                <pic:pic>
                  <pic:nvPicPr>
                    <pic:cNvPr id="0" name="fig_c04_ordinance_detail.png"/>
                    <pic:cNvPicPr/>
                  </pic:nvPicPr>
                  <pic:blipFill>
                    <a:blip r:embed="rId13"/>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Ordinance Title &amp; Resolution Number — </w:t>
            </w:r>
            <w:r>
              <w:rPr>
                <w:rFonts w:ascii="Times New Roman" w:hAnsi="Times New Roman"/>
                <w:sz w:val="22"/>
              </w:rPr>
              <w:t>Header displaying the authoritative legislative title, certified resolution number, and sponsoring council committee.</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Legislative Metadata Bar — </w:t>
            </w:r>
            <w:r>
              <w:rPr>
                <w:rFonts w:ascii="Times New Roman" w:hAnsi="Times New Roman"/>
                <w:sz w:val="22"/>
              </w:rPr>
              <w:t>Metadata banner indicating the date of third-reading enactment, mayoral approval timestamp, and jurisdictional coverage across Cabanatuan City.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Executive Legal Summary &amp; Plain-Language Digest — </w:t>
            </w:r>
            <w:r>
              <w:rPr>
                <w:rFonts w:ascii="Times New Roman" w:hAnsi="Times New Roman"/>
                <w:sz w:val="22"/>
              </w:rPr>
              <w:t>Citizen-centric overview summarizing the purpose, community scope, obligations, and citizen rights established by the ordinance in non-technical terms.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View Official Scanned PDF Action Button — </w:t>
            </w:r>
            <w:r>
              <w:rPr>
                <w:rFonts w:ascii="Times New Roman" w:hAnsi="Times New Roman"/>
                <w:sz w:val="22"/>
              </w:rPr>
              <w:t>Primary action button launching the embedded official signed PDF document reader modal for certified legal inspection.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5</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Codified Articles &amp; Sections Hierarchical Accordion — </w:t>
            </w:r>
            <w:r>
              <w:rPr>
                <w:rFonts w:ascii="Times New Roman" w:hAnsi="Times New Roman"/>
                <w:sz w:val="22"/>
              </w:rPr>
              <w:t>Expandable legal section tree allowing users to browse individual codified articles, specific mandates, prohibited acts, and monetary/custodial penalty clauses.</w:t>
            </w:r>
          </w:p>
        </w:tc>
      </w:tr>
    </w:tbl>
    <w:p>
      <w:pPr>
        <w:spacing w:before="0" w:after="240"/>
      </w:pPr>
    </w:p>
    <w:p>
      <w:pPr>
        <w:keepNext/>
        <w:spacing w:before="360" w:after="80"/>
      </w:pPr>
      <w:r>
        <w:rPr>
          <w:rFonts w:ascii="Times New Roman" w:hAnsi="Times New Roman"/>
          <w:b/>
          <w:color w:val="0F172A"/>
          <w:sz w:val="26"/>
        </w:rPr>
        <w:t>Document Verification &amp; Official Assets</w:t>
      </w:r>
    </w:p>
    <w:p>
      <w:pPr>
        <w:keepNext/>
        <w:spacing w:before="160" w:after="80"/>
      </w:pPr>
      <w:r>
        <w:rPr>
          <w:rFonts w:ascii="Times New Roman" w:hAnsi="Times New Roman"/>
          <w:b/>
          <w:i/>
          <w:sz w:val="24"/>
        </w:rPr>
        <w:t>What the Official Legislative PDF Document Reader Modal Is For</w:t>
      </w:r>
    </w:p>
    <w:p>
      <w:pPr>
        <w:spacing w:line="276" w:lineRule="auto" w:after="160"/>
        <w:ind w:firstLine="720"/>
      </w:pPr>
      <w:r>
        <w:rPr>
          <w:rFonts w:ascii="Times New Roman" w:hAnsi="Times New Roman"/>
          <w:b w:val="0"/>
          <w:i w:val="0"/>
          <w:color w:val="0F172A"/>
          <w:sz w:val="24"/>
        </w:rPr>
        <w:t>The official document reader modal delivers certified verification of municipal legislation. When official evidence or legal citations are required for court proceedings, business licensing, or academic research, citizens can inspect the original scanned municipal document bearing the official seal and wet signatures of the City Mayor and City Secretary.</w:t>
      </w:r>
    </w:p>
    <w:p>
      <w:pPr>
        <w:keepNext/>
        <w:spacing w:before="120" w:after="40"/>
      </w:pPr>
      <w:r>
        <w:rPr>
          <w:rFonts w:ascii="Times New Roman" w:hAnsi="Times New Roman"/>
          <w:b/>
          <w:sz w:val="22"/>
        </w:rPr>
        <w:t>Figure C-5.</w:t>
        <w:br/>
      </w:r>
      <w:r>
        <w:rPr>
          <w:rFonts w:ascii="Times New Roman" w:hAnsi="Times New Roman"/>
          <w:i/>
          <w:sz w:val="22"/>
        </w:rPr>
        <w:t>Official Legislative PDF Document Reader Modal</w:t>
      </w:r>
    </w:p>
    <w:p>
      <w:pPr>
        <w:keepNext/>
        <w:spacing w:before="80" w:after="160"/>
      </w:pPr>
      <w:r>
        <w:drawing>
          <wp:inline xmlns:a="http://schemas.openxmlformats.org/drawingml/2006/main" xmlns:pic="http://schemas.openxmlformats.org/drawingml/2006/picture">
            <wp:extent cx="5943600" cy="3737038"/>
            <wp:docPr id="5" name="Picture 5"/>
            <wp:cNvGraphicFramePr>
              <a:graphicFrameLocks noChangeAspect="1"/>
            </wp:cNvGraphicFramePr>
            <a:graphic>
              <a:graphicData uri="http://schemas.openxmlformats.org/drawingml/2006/picture">
                <pic:pic>
                  <pic:nvPicPr>
                    <pic:cNvPr id="0" name="fig_c05_pdf_modal.png"/>
                    <pic:cNvPicPr/>
                  </pic:nvPicPr>
                  <pic:blipFill>
                    <a:blip r:embed="rId14"/>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Embedded Digital PDF Document Canvas — </w:t>
            </w:r>
            <w:r>
              <w:rPr>
                <w:rFonts w:ascii="Times New Roman" w:hAnsi="Times New Roman"/>
                <w:sz w:val="22"/>
              </w:rPr>
              <w:t>Hardware-accelerated PDF canvas rendering the authentic signed and sealed municipal ordinance document with pan, zoom, and multi-page navigation.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Direct PDF File Download Action Button — </w:t>
            </w:r>
            <w:r>
              <w:rPr>
                <w:rFonts w:ascii="Times New Roman" w:hAnsi="Times New Roman"/>
                <w:sz w:val="22"/>
              </w:rPr>
              <w:t>Action button allowing citizens to download the official PDF file directly to their local workstation or mobile device for offline reference.</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Open in Dedicated Full-Screen Tab Button — </w:t>
            </w:r>
            <w:r>
              <w:rPr>
                <w:rFonts w:ascii="Times New Roman" w:hAnsi="Times New Roman"/>
                <w:sz w:val="22"/>
              </w:rPr>
              <w:t>Navigation trigger opening the raw PDF asset in an isolated browser tab, enabling native browser print workflows and external annotation.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Modal Dismiss / Close Action (Esc) — </w:t>
            </w:r>
            <w:r>
              <w:rPr>
                <w:rFonts w:ascii="Times New Roman" w:hAnsi="Times New Roman"/>
                <w:sz w:val="22"/>
              </w:rPr>
              <w:t>Close trigger safely terminating the reader modal and returning the citizen to the active ordinance detail workspace.</w:t>
            </w:r>
          </w:p>
        </w:tc>
      </w:tr>
    </w:tbl>
    <w:p>
      <w:pPr>
        <w:spacing w:before="0" w:after="240"/>
      </w:pPr>
    </w:p>
    <w:p>
      <w:pPr>
        <w:keepNext/>
        <w:spacing w:before="360" w:after="80"/>
      </w:pPr>
      <w:r>
        <w:rPr>
          <w:rFonts w:ascii="Times New Roman" w:hAnsi="Times New Roman"/>
          <w:b/>
          <w:color w:val="0F172A"/>
          <w:sz w:val="26"/>
        </w:rPr>
        <w:t>AI-Powered Legal Advisory Services</w:t>
      </w:r>
    </w:p>
    <w:p>
      <w:pPr>
        <w:keepNext/>
        <w:spacing w:before="160" w:after="80"/>
      </w:pPr>
      <w:r>
        <w:rPr>
          <w:rFonts w:ascii="Times New Roman" w:hAnsi="Times New Roman"/>
          <w:b/>
          <w:i/>
          <w:sz w:val="24"/>
        </w:rPr>
        <w:t>What the AI Legal Assistant Interactive Inquiry Console Is For</w:t>
      </w:r>
    </w:p>
    <w:p>
      <w:pPr>
        <w:spacing w:line="276" w:lineRule="auto" w:after="160"/>
        <w:ind w:firstLine="720"/>
      </w:pPr>
      <w:r>
        <w:rPr>
          <w:rFonts w:ascii="Times New Roman" w:hAnsi="Times New Roman"/>
          <w:b w:val="0"/>
          <w:i w:val="0"/>
          <w:color w:val="0F172A"/>
          <w:sz w:val="24"/>
        </w:rPr>
        <w:t>The AI Legal Assistant employs Google Gemini multimodal intelligence paired with a Retrieval-Augmented Generation (RAG) pipeline over Cabanatuan City's codified ordinances. Citizens can ask practical questions in everyday language, and the assistant returns clear, verified explanations citing the exact ordinance and article numbers.</w:t>
      </w:r>
    </w:p>
    <w:p>
      <w:pPr>
        <w:keepNext/>
        <w:spacing w:before="120" w:after="40"/>
      </w:pPr>
      <w:r>
        <w:rPr>
          <w:rFonts w:ascii="Times New Roman" w:hAnsi="Times New Roman"/>
          <w:b/>
          <w:sz w:val="22"/>
        </w:rPr>
        <w:t>Figure C-6.</w:t>
        <w:br/>
      </w:r>
      <w:r>
        <w:rPr>
          <w:rFonts w:ascii="Times New Roman" w:hAnsi="Times New Roman"/>
          <w:i/>
          <w:sz w:val="22"/>
        </w:rPr>
        <w:t>AI Legal Assistant Interactive Inquiry Console</w:t>
      </w:r>
    </w:p>
    <w:p>
      <w:pPr>
        <w:keepNext/>
        <w:spacing w:before="80" w:after="160"/>
      </w:pPr>
      <w:r>
        <w:drawing>
          <wp:inline xmlns:a="http://schemas.openxmlformats.org/drawingml/2006/main" xmlns:pic="http://schemas.openxmlformats.org/drawingml/2006/picture">
            <wp:extent cx="5943600" cy="3737038"/>
            <wp:docPr id="6" name="Picture 6"/>
            <wp:cNvGraphicFramePr>
              <a:graphicFrameLocks noChangeAspect="1"/>
            </wp:cNvGraphicFramePr>
            <a:graphic>
              <a:graphicData uri="http://schemas.openxmlformats.org/drawingml/2006/picture">
                <pic:pic>
                  <pic:nvPicPr>
                    <pic:cNvPr id="0" name="fig_c06_ai_assistant.png"/>
                    <pic:cNvPicPr/>
                  </pic:nvPicPr>
                  <pic:blipFill>
                    <a:blip r:embed="rId15"/>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Preset Quick Action Inquiry Buttons — </w:t>
            </w:r>
            <w:r>
              <w:rPr>
                <w:rFonts w:ascii="Times New Roman" w:hAnsi="Times New Roman"/>
                <w:sz w:val="22"/>
              </w:rPr>
              <w:t>Curated prompt chips allowing citizens to query common legal concerns (e.g., 'Curfew para sa kabataan', 'Bawal bang mag-videoke sa gabi?', 'Tamang tapunan ng basura') with a single click.</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Bilingual Question Input Field — </w:t>
            </w:r>
            <w:r>
              <w:rPr>
                <w:rFonts w:ascii="Times New Roman" w:hAnsi="Times New Roman"/>
                <w:sz w:val="22"/>
              </w:rPr>
              <w:t>Text input area accepting conversational prompts in Tagalog, English, or Taglish regarding municipal rules, fines, and administrative procedures.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Send Inquiry Execution Action Button — </w:t>
            </w:r>
            <w:r>
              <w:rPr>
                <w:rFonts w:ascii="Times New Roman" w:hAnsi="Times New Roman"/>
                <w:sz w:val="22"/>
              </w:rPr>
              <w:t>Action trigger transmitting the query to the server-side RAG engine for vector similarity retrieval and grounded response generation.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AI Legal Analysis &amp; Verified Citation Feed — </w:t>
            </w:r>
            <w:r>
              <w:rPr>
                <w:rFonts w:ascii="Times New Roman" w:hAnsi="Times New Roman"/>
                <w:sz w:val="22"/>
              </w:rPr>
              <w:t>Conversational response container presenting synthesized answers with statutory article references, specific fine schedules, and official ordinance titles.</w:t>
            </w:r>
          </w:p>
        </w:tc>
      </w:tr>
    </w:tbl>
    <w:p>
      <w:pPr>
        <w:spacing w:before="0" w:after="240"/>
      </w:pPr>
    </w:p>
    <w:p>
      <w:pPr>
        <w:keepNext/>
        <w:spacing w:before="360" w:after="80"/>
      </w:pPr>
      <w:r>
        <w:rPr>
          <w:rFonts w:ascii="Times New Roman" w:hAnsi="Times New Roman"/>
          <w:b/>
          <w:color w:val="0F172A"/>
          <w:sz w:val="26"/>
        </w:rPr>
        <w:t>Community Grievance Reporting &amp; Civic Action</w:t>
      </w:r>
    </w:p>
    <w:p>
      <w:pPr>
        <w:keepNext/>
        <w:spacing w:before="160" w:after="80"/>
      </w:pPr>
      <w:r>
        <w:rPr>
          <w:rFonts w:ascii="Times New Roman" w:hAnsi="Times New Roman"/>
          <w:b/>
          <w:i/>
          <w:sz w:val="24"/>
        </w:rPr>
        <w:t>What the Citizen Community Incident &amp; Violation Reporting Form Is For</w:t>
      </w:r>
    </w:p>
    <w:p>
      <w:pPr>
        <w:spacing w:line="276" w:lineRule="auto" w:after="160"/>
        <w:ind w:firstLine="720"/>
      </w:pPr>
      <w:r>
        <w:rPr>
          <w:rFonts w:ascii="Times New Roman" w:hAnsi="Times New Roman"/>
          <w:b w:val="0"/>
          <w:i w:val="0"/>
          <w:color w:val="0F172A"/>
          <w:sz w:val="24"/>
        </w:rPr>
        <w:t>The community incident reporting system empowers Cabanatuan residents to actively participate in local governance by reporting non-emergency neighborhood violations directly to their respective barangay councils. This interface digitizes community grievances, routing them instantly to barangay triage desks.</w:t>
      </w:r>
    </w:p>
    <w:p>
      <w:pPr>
        <w:keepNext/>
        <w:spacing w:before="120" w:after="40"/>
      </w:pPr>
      <w:r>
        <w:rPr>
          <w:rFonts w:ascii="Times New Roman" w:hAnsi="Times New Roman"/>
          <w:b/>
          <w:sz w:val="22"/>
        </w:rPr>
        <w:t>Figure C-7.</w:t>
        <w:br/>
      </w:r>
      <w:r>
        <w:rPr>
          <w:rFonts w:ascii="Times New Roman" w:hAnsi="Times New Roman"/>
          <w:i/>
          <w:sz w:val="22"/>
        </w:rPr>
        <w:t>Citizen Community Incident &amp; Violation Reporting Form</w:t>
      </w:r>
    </w:p>
    <w:p>
      <w:pPr>
        <w:keepNext/>
        <w:spacing w:before="80" w:after="160"/>
      </w:pPr>
      <w:r>
        <w:drawing>
          <wp:inline xmlns:a="http://schemas.openxmlformats.org/drawingml/2006/main" xmlns:pic="http://schemas.openxmlformats.org/drawingml/2006/picture">
            <wp:extent cx="5943600" cy="3737038"/>
            <wp:docPr id="7" name="Picture 7"/>
            <wp:cNvGraphicFramePr>
              <a:graphicFrameLocks noChangeAspect="1"/>
            </wp:cNvGraphicFramePr>
            <a:graphic>
              <a:graphicData uri="http://schemas.openxmlformats.org/drawingml/2006/picture">
                <pic:pic>
                  <pic:nvPicPr>
                    <pic:cNvPr id="0" name="fig_c07_report_form.png"/>
                    <pic:cNvPicPr/>
                  </pic:nvPicPr>
                  <pic:blipFill>
                    <a:blip r:embed="rId16"/>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Emergency Hotline Numbers Banner — </w:t>
            </w:r>
            <w:r>
              <w:rPr>
                <w:rFonts w:ascii="Times New Roman" w:hAnsi="Times New Roman"/>
                <w:sz w:val="22"/>
              </w:rPr>
              <w:t>High-visibility alert panel detailing 24/7 emergency dispatch numbers (CDRRMO, PNP Cabanatuan, BFP Fire Station) for urgent life-safety situations.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Incident Subject / Title Input Field — </w:t>
            </w:r>
            <w:r>
              <w:rPr>
                <w:rFonts w:ascii="Times New Roman" w:hAnsi="Times New Roman"/>
                <w:sz w:val="22"/>
              </w:rPr>
              <w:t>Single-line text field capturing a concise headline of the community concern (e.g., 'Nakatambak na basura sa tapat ng paaralan').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Assigned Barangay Jurisdiction Dropdown — </w:t>
            </w:r>
            <w:r>
              <w:rPr>
                <w:rFonts w:ascii="Times New Roman" w:hAnsi="Times New Roman"/>
                <w:sz w:val="22"/>
              </w:rPr>
              <w:t>Mandatory dropdown mapping the complaint to one of Cabanatuan City's 89 barangays, establishing local jurisdictional responsibility.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Incident Category Selector Dropdown — </w:t>
            </w:r>
            <w:r>
              <w:rPr>
                <w:rFonts w:ascii="Times New Roman" w:hAnsi="Times New Roman"/>
                <w:sz w:val="22"/>
              </w:rPr>
              <w:t>Classification menu grouping complaints into Sanitation/Waste, Noise Disturbance, Public Right-of-Way Obstruction, Youth Curfew, or Other.</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5</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Incident Narrative &amp; Location Details Textarea — </w:t>
            </w:r>
            <w:r>
              <w:rPr>
                <w:rFonts w:ascii="Times New Roman" w:hAnsi="Times New Roman"/>
                <w:sz w:val="22"/>
              </w:rPr>
              <w:t>Multi-line narrative textarea capturing full incident context, exact street landmarks, recurring hours of violation, and observed circumstances.</w:t>
            </w:r>
          </w:p>
        </w:tc>
      </w:tr>
    </w:tbl>
    <w:p>
      <w:pPr>
        <w:spacing w:before="0" w:after="240"/>
      </w:pPr>
    </w:p>
    <w:p>
      <w:pPr>
        <w:keepNext/>
        <w:spacing w:before="160" w:after="80"/>
      </w:pPr>
      <w:r>
        <w:rPr>
          <w:rFonts w:ascii="Times New Roman" w:hAnsi="Times New Roman"/>
          <w:b/>
          <w:i/>
          <w:sz w:val="24"/>
        </w:rPr>
        <w:t>What the Community Report Submission Confirmation &amp; Incident Reference Is For</w:t>
      </w:r>
    </w:p>
    <w:p>
      <w:pPr>
        <w:spacing w:line="276" w:lineRule="auto" w:after="160"/>
        <w:ind w:firstLine="720"/>
      </w:pPr>
      <w:r>
        <w:rPr>
          <w:rFonts w:ascii="Times New Roman" w:hAnsi="Times New Roman"/>
          <w:b w:val="0"/>
          <w:i w:val="0"/>
          <w:color w:val="0F172A"/>
          <w:sz w:val="24"/>
        </w:rPr>
        <w:t>Upon successful incident report submission, the portal provides immediate verification to the citizen. This confirmation confirms delivery to the barangay council and establishes accountability for local investigation.</w:t>
      </w:r>
    </w:p>
    <w:p>
      <w:pPr>
        <w:keepNext/>
        <w:spacing w:before="120" w:after="40"/>
      </w:pPr>
      <w:r>
        <w:rPr>
          <w:rFonts w:ascii="Times New Roman" w:hAnsi="Times New Roman"/>
          <w:b/>
          <w:sz w:val="22"/>
        </w:rPr>
        <w:t>Figure C-8.</w:t>
        <w:br/>
      </w:r>
      <w:r>
        <w:rPr>
          <w:rFonts w:ascii="Times New Roman" w:hAnsi="Times New Roman"/>
          <w:i/>
          <w:sz w:val="22"/>
        </w:rPr>
        <w:t>Community Report Submission Confirmation &amp; Incident Reference</w:t>
      </w:r>
    </w:p>
    <w:p>
      <w:pPr>
        <w:keepNext/>
        <w:spacing w:before="80" w:after="160"/>
      </w:pPr>
      <w:r>
        <w:drawing>
          <wp:inline xmlns:a="http://schemas.openxmlformats.org/drawingml/2006/main" xmlns:pic="http://schemas.openxmlformats.org/drawingml/2006/picture">
            <wp:extent cx="5943600" cy="3737038"/>
            <wp:docPr id="8" name="Picture 8"/>
            <wp:cNvGraphicFramePr>
              <a:graphicFrameLocks noChangeAspect="1"/>
            </wp:cNvGraphicFramePr>
            <a:graphic>
              <a:graphicData uri="http://schemas.openxmlformats.org/drawingml/2006/picture">
                <pic:pic>
                  <pic:nvPicPr>
                    <pic:cNvPr id="0" name="fig_c08_report_confirmation.png"/>
                    <pic:cNvPicPr/>
                  </pic:nvPicPr>
                  <pic:blipFill>
                    <a:blip r:embed="rId17"/>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Submission Confirmation Alert Banner — </w:t>
            </w:r>
            <w:r>
              <w:rPr>
                <w:rFonts w:ascii="Times New Roman" w:hAnsi="Times New Roman"/>
                <w:sz w:val="22"/>
              </w:rPr>
              <w:t>Alert banner verifying successful transmission of the community report to the designated Barangay Hall dashboard.</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Draft Auto-Save Status Bar — </w:t>
            </w:r>
            <w:r>
              <w:rPr>
                <w:rFonts w:ascii="Times New Roman" w:hAnsi="Times New Roman"/>
                <w:sz w:val="22"/>
              </w:rPr>
              <w:t>System indicator confirming that browser local draft storage has been safely cleared following successful server persistence.</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Reset &amp; Clear Form Action Button — </w:t>
            </w:r>
            <w:r>
              <w:rPr>
                <w:rFonts w:ascii="Times New Roman" w:hAnsi="Times New Roman"/>
                <w:sz w:val="22"/>
              </w:rPr>
              <w:t>Action button resetting form state and clearing input fields to allow residents to log another incident report if needed.</w:t>
            </w:r>
          </w:p>
        </w:tc>
      </w:tr>
    </w:tbl>
    <w:p>
      <w:pPr>
        <w:spacing w:before="0" w:after="240"/>
      </w:pPr>
    </w:p>
    <w:p>
      <w:pPr>
        <w:keepNext/>
        <w:spacing w:before="360" w:after="80"/>
      </w:pPr>
      <w:r>
        <w:rPr>
          <w:rFonts w:ascii="Times New Roman" w:hAnsi="Times New Roman"/>
          <w:b/>
          <w:color w:val="0F172A"/>
          <w:sz w:val="26"/>
        </w:rPr>
        <w:t>Civic Information &amp; Public Communications</w:t>
      </w:r>
    </w:p>
    <w:p>
      <w:pPr>
        <w:keepNext/>
        <w:spacing w:before="160" w:after="80"/>
      </w:pPr>
      <w:r>
        <w:rPr>
          <w:rFonts w:ascii="Times New Roman" w:hAnsi="Times New Roman"/>
          <w:b/>
          <w:i/>
          <w:sz w:val="24"/>
        </w:rPr>
        <w:t>What the Civic News, Public Advisories &amp; Legislative Announcements Feed Is For</w:t>
      </w:r>
    </w:p>
    <w:p>
      <w:pPr>
        <w:spacing w:line="276" w:lineRule="auto" w:after="160"/>
        <w:ind w:firstLine="720"/>
      </w:pPr>
      <w:r>
        <w:rPr>
          <w:rFonts w:ascii="Times New Roman" w:hAnsi="Times New Roman"/>
          <w:b w:val="0"/>
          <w:i w:val="0"/>
          <w:color w:val="0F172A"/>
          <w:sz w:val="24"/>
        </w:rPr>
        <w:t>The Civic News feed delivers real-time official municipal announcements, public hearing advisories, newly ratified ordinance notices, and executive orders directly to the public, preventing misinformation.</w:t>
      </w:r>
    </w:p>
    <w:p>
      <w:pPr>
        <w:keepNext/>
        <w:spacing w:before="120" w:after="40"/>
      </w:pPr>
      <w:r>
        <w:rPr>
          <w:rFonts w:ascii="Times New Roman" w:hAnsi="Times New Roman"/>
          <w:b/>
          <w:sz w:val="22"/>
        </w:rPr>
        <w:t>Figure C-9.</w:t>
        <w:br/>
      </w:r>
      <w:r>
        <w:rPr>
          <w:rFonts w:ascii="Times New Roman" w:hAnsi="Times New Roman"/>
          <w:i/>
          <w:sz w:val="22"/>
        </w:rPr>
        <w:t>Civic News, Public Advisories &amp; Legislative Announcements Feed</w:t>
      </w:r>
    </w:p>
    <w:p>
      <w:pPr>
        <w:keepNext/>
        <w:spacing w:before="80" w:after="160"/>
      </w:pPr>
      <w:r>
        <w:drawing>
          <wp:inline xmlns:a="http://schemas.openxmlformats.org/drawingml/2006/main" xmlns:pic="http://schemas.openxmlformats.org/drawingml/2006/picture">
            <wp:extent cx="5943600" cy="3737038"/>
            <wp:docPr id="9" name="Picture 9"/>
            <wp:cNvGraphicFramePr>
              <a:graphicFrameLocks noChangeAspect="1"/>
            </wp:cNvGraphicFramePr>
            <a:graphic>
              <a:graphicData uri="http://schemas.openxmlformats.org/drawingml/2006/picture">
                <pic:pic>
                  <pic:nvPicPr>
                    <pic:cNvPr id="0" name="fig_c09_civic_news.png"/>
                    <pic:cNvPicPr/>
                  </pic:nvPicPr>
                  <pic:blipFill>
                    <a:blip r:embed="rId18"/>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LGU Public Authority Badge — </w:t>
            </w:r>
            <w:r>
              <w:rPr>
                <w:rFonts w:ascii="Times New Roman" w:hAnsi="Times New Roman"/>
                <w:sz w:val="22"/>
              </w:rPr>
              <w:t>Authoritative badge verifying that published advisories originate from authenticated Sangguniang Panlungsod and City Mayor desks.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Executive Advisory Card — </w:t>
            </w:r>
            <w:r>
              <w:rPr>
                <w:rFonts w:ascii="Times New Roman" w:hAnsi="Times New Roman"/>
                <w:sz w:val="22"/>
              </w:rPr>
              <w:t>Card container housing publication details, category classification tag, and headline for prominent municipal updates.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Publication Date &amp; Civic Category Badge — </w:t>
            </w:r>
            <w:r>
              <w:rPr>
                <w:rFonts w:ascii="Times New Roman" w:hAnsi="Times New Roman"/>
                <w:sz w:val="22"/>
              </w:rPr>
              <w:t>Attribution banner showing official posting date, sponsoring barangay or department, and functional category.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Executive Directive Content Narrative — </w:t>
            </w:r>
            <w:r>
              <w:rPr>
                <w:rFonts w:ascii="Times New Roman" w:hAnsi="Times New Roman"/>
                <w:sz w:val="22"/>
              </w:rPr>
              <w:t>Detailed body narrative of the advisory providing directives, compliance deadlines, implementation procedures, and public instructions.</w:t>
            </w:r>
          </w:p>
        </w:tc>
      </w:tr>
    </w:tbl>
    <w:p>
      <w:pPr>
        <w:spacing w:before="0" w:after="240"/>
      </w:pPr>
    </w:p>
    <w:p>
      <w:pPr>
        <w:keepNext/>
        <w:spacing w:before="360" w:after="80"/>
      </w:pPr>
      <w:r>
        <w:rPr>
          <w:rFonts w:ascii="Times New Roman" w:hAnsi="Times New Roman"/>
          <w:b/>
          <w:color w:val="0F172A"/>
          <w:sz w:val="26"/>
        </w:rPr>
        <w:t>Barangay Governance Console</w:t>
      </w:r>
    </w:p>
    <w:p>
      <w:pPr>
        <w:keepNext/>
        <w:spacing w:before="160" w:after="80"/>
      </w:pPr>
      <w:r>
        <w:rPr>
          <w:rFonts w:ascii="Times New Roman" w:hAnsi="Times New Roman"/>
          <w:b/>
          <w:i/>
          <w:sz w:val="24"/>
        </w:rPr>
        <w:t>What the Barangay Executive Governance Dashboard Is For</w:t>
      </w:r>
    </w:p>
    <w:p>
      <w:pPr>
        <w:spacing w:line="276" w:lineRule="auto" w:after="160"/>
        <w:ind w:firstLine="720"/>
      </w:pPr>
      <w:r>
        <w:rPr>
          <w:rFonts w:ascii="Times New Roman" w:hAnsi="Times New Roman"/>
          <w:b w:val="0"/>
          <w:i w:val="0"/>
          <w:color w:val="0F172A"/>
          <w:sz w:val="24"/>
        </w:rPr>
        <w:t>The Barangay Executive Dashboard provides local village officials with a real-time operational overview of their community's legislative output, pending city approvals, and resident grievances.</w:t>
      </w:r>
    </w:p>
    <w:p>
      <w:pPr>
        <w:keepNext/>
        <w:spacing w:before="120" w:after="40"/>
      </w:pPr>
      <w:r>
        <w:rPr>
          <w:rFonts w:ascii="Times New Roman" w:hAnsi="Times New Roman"/>
          <w:b/>
          <w:sz w:val="22"/>
        </w:rPr>
        <w:t>Figure C-10.</w:t>
        <w:br/>
      </w:r>
      <w:r>
        <w:rPr>
          <w:rFonts w:ascii="Times New Roman" w:hAnsi="Times New Roman"/>
          <w:i/>
          <w:sz w:val="22"/>
        </w:rPr>
        <w:t>Barangay Executive Governance Dashboard</w:t>
      </w:r>
    </w:p>
    <w:p>
      <w:pPr>
        <w:keepNext/>
        <w:spacing w:before="80" w:after="160"/>
      </w:pPr>
      <w:r>
        <w:drawing>
          <wp:inline xmlns:a="http://schemas.openxmlformats.org/drawingml/2006/main" xmlns:pic="http://schemas.openxmlformats.org/drawingml/2006/picture">
            <wp:extent cx="5943600" cy="3737038"/>
            <wp:docPr id="10" name="Picture 10"/>
            <wp:cNvGraphicFramePr>
              <a:graphicFrameLocks noChangeAspect="1"/>
            </wp:cNvGraphicFramePr>
            <a:graphic>
              <a:graphicData uri="http://schemas.openxmlformats.org/drawingml/2006/picture">
                <pic:pic>
                  <pic:nvPicPr>
                    <pic:cNvPr id="0" name="fig_c10_barangay_dashboard.png"/>
                    <pic:cNvPicPr/>
                  </pic:nvPicPr>
                  <pic:blipFill>
                    <a:blip r:embed="rId19"/>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Submit New Ordinance Quick Action Button — </w:t>
            </w:r>
            <w:r>
              <w:rPr>
                <w:rFonts w:ascii="Times New Roman" w:hAnsi="Times New Roman"/>
                <w:sz w:val="22"/>
              </w:rPr>
              <w:t>Primary call-to-action button launching the digital ordinance registration and drafting workflow for local council measures.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Local Enacted Ordinances Metric Card — </w:t>
            </w:r>
            <w:r>
              <w:rPr>
                <w:rFonts w:ascii="Times New Roman" w:hAnsi="Times New Roman"/>
                <w:sz w:val="22"/>
              </w:rPr>
              <w:t>Real-time KPI card tracking the total count of officially enacted and codified barangay ordinances.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Pending Legislative Proposals Metric Card — </w:t>
            </w:r>
            <w:r>
              <w:rPr>
                <w:rFonts w:ascii="Times New Roman" w:hAnsi="Times New Roman"/>
                <w:sz w:val="22"/>
              </w:rPr>
              <w:t>Status metric card highlighting legislative drafts currently submitted to the Sangguniang Panlungsod for legal review.</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Active Community Incident Reports Metric Card — </w:t>
            </w:r>
            <w:r>
              <w:rPr>
                <w:rFonts w:ascii="Times New Roman" w:hAnsi="Times New Roman"/>
                <w:sz w:val="22"/>
              </w:rPr>
              <w:t>Actionable alert card displaying the count of open resident grievances requiring barangay officer inspection and resolution.</w:t>
            </w:r>
          </w:p>
        </w:tc>
      </w:tr>
    </w:tbl>
    <w:p>
      <w:pPr>
        <w:spacing w:before="0" w:after="240"/>
      </w:pPr>
    </w:p>
    <w:p>
      <w:pPr>
        <w:keepNext/>
        <w:spacing w:before="360" w:after="80"/>
      </w:pPr>
      <w:r>
        <w:rPr>
          <w:rFonts w:ascii="Times New Roman" w:hAnsi="Times New Roman"/>
          <w:b/>
          <w:color w:val="0F172A"/>
          <w:sz w:val="26"/>
        </w:rPr>
        <w:t>Barangay Legislative Operations</w:t>
      </w:r>
    </w:p>
    <w:p>
      <w:pPr>
        <w:keepNext/>
        <w:spacing w:before="160" w:after="80"/>
      </w:pPr>
      <w:r>
        <w:rPr>
          <w:rFonts w:ascii="Times New Roman" w:hAnsi="Times New Roman"/>
          <w:b/>
          <w:i/>
          <w:sz w:val="24"/>
        </w:rPr>
        <w:t>What the Barangay Ordinance Management &amp; Status Tracking Roster Is For</w:t>
      </w:r>
    </w:p>
    <w:p>
      <w:pPr>
        <w:spacing w:line="276" w:lineRule="auto" w:after="160"/>
        <w:ind w:firstLine="720"/>
      </w:pPr>
      <w:r>
        <w:rPr>
          <w:rFonts w:ascii="Times New Roman" w:hAnsi="Times New Roman"/>
          <w:b w:val="0"/>
          <w:i w:val="0"/>
          <w:color w:val="0F172A"/>
          <w:sz w:val="24"/>
        </w:rPr>
        <w:t>The Ordinance Management module enables barangay legislative staff to maintain their local resolution records, monitor transmittal progress with the City Council, and initiate new proposals.</w:t>
      </w:r>
    </w:p>
    <w:p>
      <w:pPr>
        <w:keepNext/>
        <w:spacing w:before="120" w:after="40"/>
      </w:pPr>
      <w:r>
        <w:rPr>
          <w:rFonts w:ascii="Times New Roman" w:hAnsi="Times New Roman"/>
          <w:b/>
          <w:sz w:val="22"/>
        </w:rPr>
        <w:t>Figure C-11.</w:t>
        <w:br/>
      </w:r>
      <w:r>
        <w:rPr>
          <w:rFonts w:ascii="Times New Roman" w:hAnsi="Times New Roman"/>
          <w:i/>
          <w:sz w:val="22"/>
        </w:rPr>
        <w:t>Barangay Ordinance Management &amp; Status Tracking Roster</w:t>
      </w:r>
    </w:p>
    <w:p>
      <w:pPr>
        <w:keepNext/>
        <w:spacing w:before="80" w:after="160"/>
      </w:pPr>
      <w:r>
        <w:drawing>
          <wp:inline xmlns:a="http://schemas.openxmlformats.org/drawingml/2006/main" xmlns:pic="http://schemas.openxmlformats.org/drawingml/2006/picture">
            <wp:extent cx="5943600" cy="3737038"/>
            <wp:docPr id="11" name="Picture 11"/>
            <wp:cNvGraphicFramePr>
              <a:graphicFrameLocks noChangeAspect="1"/>
            </wp:cNvGraphicFramePr>
            <a:graphic>
              <a:graphicData uri="http://schemas.openxmlformats.org/drawingml/2006/picture">
                <pic:pic>
                  <pic:nvPicPr>
                    <pic:cNvPr id="0" name="fig_c11_barangay_ordinances.png"/>
                    <pic:cNvPicPr/>
                  </pic:nvPicPr>
                  <pic:blipFill>
                    <a:blip r:embed="rId20"/>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Legislative Status Filter Tabs — </w:t>
            </w:r>
            <w:r>
              <w:rPr>
                <w:rFonts w:ascii="Times New Roman" w:hAnsi="Times New Roman"/>
                <w:sz w:val="22"/>
              </w:rPr>
              <w:t>Segmented filter tabs filtering local ordinances across 'Lahat' (All), 'Pending' (Under Review), 'Approved' (Enacted), 'Draft', and 'Rejected'.</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Create / Propose New Ordinance Action Button — </w:t>
            </w:r>
            <w:r>
              <w:rPr>
                <w:rFonts w:ascii="Times New Roman" w:hAnsi="Times New Roman"/>
                <w:sz w:val="22"/>
              </w:rPr>
              <w:t>Primary action button opening the full drafting modal to author a new barangay ordinance proposal.</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Local Ordinance Keyword Search Input — </w:t>
            </w:r>
            <w:r>
              <w:rPr>
                <w:rFonts w:ascii="Times New Roman" w:hAnsi="Times New Roman"/>
                <w:sz w:val="22"/>
              </w:rPr>
              <w:t>Text field allowing secretaries to filter internal records instantly by resolution number, title keywords, or author.</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Barangay Ordinance Records Table — </w:t>
            </w:r>
            <w:r>
              <w:rPr>
                <w:rFonts w:ascii="Times New Roman" w:hAnsi="Times New Roman"/>
                <w:sz w:val="22"/>
              </w:rPr>
              <w:t>Ledger table listing ordinance number, title, category, enactment date, status badge, and action triggers.</w:t>
            </w:r>
          </w:p>
        </w:tc>
      </w:tr>
    </w:tbl>
    <w:p>
      <w:pPr>
        <w:spacing w:before="0" w:after="240"/>
      </w:pPr>
    </w:p>
    <w:p>
      <w:pPr>
        <w:keepNext/>
        <w:spacing w:before="160" w:after="80"/>
      </w:pPr>
      <w:r>
        <w:rPr>
          <w:rFonts w:ascii="Times New Roman" w:hAnsi="Times New Roman"/>
          <w:b/>
          <w:i/>
          <w:sz w:val="24"/>
        </w:rPr>
        <w:t>What the Barangay Ordinance Proposal &amp; Legislative Drafting Modal Is For</w:t>
      </w:r>
    </w:p>
    <w:p>
      <w:pPr>
        <w:spacing w:line="276" w:lineRule="auto" w:after="160"/>
        <w:ind w:firstLine="720"/>
      </w:pPr>
      <w:r>
        <w:rPr>
          <w:rFonts w:ascii="Times New Roman" w:hAnsi="Times New Roman"/>
          <w:b w:val="0"/>
          <w:i w:val="0"/>
          <w:color w:val="0F172A"/>
          <w:sz w:val="24"/>
        </w:rPr>
        <w:t>This modal provides the formal drafting interface for new barangay legislative measures. Secretaries can manually enter legislative details or use integrated AI extraction to digitize existing paper ordinances.</w:t>
      </w:r>
    </w:p>
    <w:p>
      <w:pPr>
        <w:keepNext/>
        <w:spacing w:before="120" w:after="40"/>
      </w:pPr>
      <w:r>
        <w:rPr>
          <w:rFonts w:ascii="Times New Roman" w:hAnsi="Times New Roman"/>
          <w:b/>
          <w:sz w:val="22"/>
        </w:rPr>
        <w:t>Figure C-12.</w:t>
        <w:br/>
      </w:r>
      <w:r>
        <w:rPr>
          <w:rFonts w:ascii="Times New Roman" w:hAnsi="Times New Roman"/>
          <w:i/>
          <w:sz w:val="22"/>
        </w:rPr>
        <w:t>Barangay Ordinance Proposal &amp; Legislative Drafting Modal</w:t>
      </w:r>
    </w:p>
    <w:p>
      <w:pPr>
        <w:keepNext/>
        <w:spacing w:before="80" w:after="160"/>
      </w:pPr>
      <w:r>
        <w:drawing>
          <wp:inline xmlns:a="http://schemas.openxmlformats.org/drawingml/2006/main" xmlns:pic="http://schemas.openxmlformats.org/drawingml/2006/picture">
            <wp:extent cx="5943600" cy="3737038"/>
            <wp:docPr id="12" name="Picture 12"/>
            <wp:cNvGraphicFramePr>
              <a:graphicFrameLocks noChangeAspect="1"/>
            </wp:cNvGraphicFramePr>
            <a:graphic>
              <a:graphicData uri="http://schemas.openxmlformats.org/drawingml/2006/picture">
                <pic:pic>
                  <pic:nvPicPr>
                    <pic:cNvPr id="0" name="fig_c12_draft_modal.png"/>
                    <pic:cNvPicPr/>
                  </pic:nvPicPr>
                  <pic:blipFill>
                    <a:blip r:embed="rId21"/>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Proposed Ordinance Title Input Field — </w:t>
            </w:r>
            <w:r>
              <w:rPr>
                <w:rFonts w:ascii="Times New Roman" w:hAnsi="Times New Roman"/>
                <w:sz w:val="22"/>
              </w:rPr>
              <w:t>Mandatory form field capturing the formal statutory title of the proposed barangay measure.</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Legislative Category Dropdown — </w:t>
            </w:r>
            <w:r>
              <w:rPr>
                <w:rFonts w:ascii="Times New Roman" w:hAnsi="Times New Roman"/>
                <w:sz w:val="22"/>
              </w:rPr>
              <w:t>Classification dropdown grouping the proposal under municipal functional sectors (e.g., General, Peace &amp; Order, Sanitation).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Save as Draft Action Button — </w:t>
            </w:r>
            <w:r>
              <w:rPr>
                <w:rFonts w:ascii="Times New Roman" w:hAnsi="Times New Roman"/>
                <w:sz w:val="22"/>
              </w:rPr>
              <w:t>Action button saving active form data into editable draft storage for internal review without transmittal to city hall.</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Submit to LGU for Approval Button — </w:t>
            </w:r>
            <w:r>
              <w:rPr>
                <w:rFonts w:ascii="Times New Roman" w:hAnsi="Times New Roman"/>
                <w:sz w:val="22"/>
              </w:rPr>
              <w:t>Primary transmittal CTA validating statutory requirements and submitting the measure to the Sangguniang Panlungsod.</w:t>
            </w:r>
          </w:p>
        </w:tc>
      </w:tr>
    </w:tbl>
    <w:p>
      <w:pPr>
        <w:spacing w:before="0" w:after="240"/>
      </w:pPr>
    </w:p>
    <w:p>
      <w:pPr>
        <w:keepNext/>
        <w:spacing w:before="160" w:after="80"/>
      </w:pPr>
      <w:r>
        <w:rPr>
          <w:rFonts w:ascii="Times New Roman" w:hAnsi="Times New Roman"/>
          <w:b/>
          <w:i/>
          <w:sz w:val="24"/>
        </w:rPr>
        <w:t>What the AI-Powered Ordinance PDF Extraction &amp; Auto-Structuring Suite Is For</w:t>
      </w:r>
    </w:p>
    <w:p>
      <w:pPr>
        <w:spacing w:line="276" w:lineRule="auto" w:after="160"/>
        <w:ind w:firstLine="720"/>
      </w:pPr>
      <w:r>
        <w:rPr>
          <w:rFonts w:ascii="Times New Roman" w:hAnsi="Times New Roman"/>
          <w:b w:val="0"/>
          <w:i w:val="0"/>
          <w:color w:val="0F172A"/>
          <w:sz w:val="24"/>
        </w:rPr>
        <w:t>Eliminating hours of manual re-typing, the AI Document Extraction tool ingests scanned PDF or image copies of physical signed barangay resolutions and automatically extracts structured metadata, articles, and penalties.</w:t>
      </w:r>
    </w:p>
    <w:p>
      <w:pPr>
        <w:keepNext/>
        <w:spacing w:before="120" w:after="40"/>
      </w:pPr>
      <w:r>
        <w:rPr>
          <w:rFonts w:ascii="Times New Roman" w:hAnsi="Times New Roman"/>
          <w:b/>
          <w:sz w:val="22"/>
        </w:rPr>
        <w:t>Figure C-13.</w:t>
        <w:br/>
      </w:r>
      <w:r>
        <w:rPr>
          <w:rFonts w:ascii="Times New Roman" w:hAnsi="Times New Roman"/>
          <w:i/>
          <w:sz w:val="22"/>
        </w:rPr>
        <w:t>AI-Powered Ordinance PDF Extraction &amp; Auto-Structuring Suite</w:t>
      </w:r>
    </w:p>
    <w:p>
      <w:pPr>
        <w:keepNext/>
        <w:spacing w:before="80" w:after="160"/>
      </w:pPr>
      <w:r>
        <w:drawing>
          <wp:inline xmlns:a="http://schemas.openxmlformats.org/drawingml/2006/main" xmlns:pic="http://schemas.openxmlformats.org/drawingml/2006/picture">
            <wp:extent cx="5943600" cy="3737038"/>
            <wp:docPr id="13" name="Picture 13"/>
            <wp:cNvGraphicFramePr>
              <a:graphicFrameLocks noChangeAspect="1"/>
            </wp:cNvGraphicFramePr>
            <a:graphic>
              <a:graphicData uri="http://schemas.openxmlformats.org/drawingml/2006/picture">
                <pic:pic>
                  <pic:nvPicPr>
                    <pic:cNvPr id="0" name="fig_c13_ai_extraction.png"/>
                    <pic:cNvPicPr/>
                  </pic:nvPicPr>
                  <pic:blipFill>
                    <a:blip r:embed="rId22"/>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Scanned Document PDF / Image File Dropzone — </w:t>
            </w:r>
            <w:r>
              <w:rPr>
                <w:rFonts w:ascii="Times New Roman" w:hAnsi="Times New Roman"/>
                <w:sz w:val="22"/>
              </w:rPr>
              <w:t>Interactive dropzone accepting PDF scans and camera images of signed physical barangay council documents.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Execute Multimodal AI Parsing Button — </w:t>
            </w:r>
            <w:r>
              <w:rPr>
                <w:rFonts w:ascii="Times New Roman" w:hAnsi="Times New Roman"/>
                <w:sz w:val="22"/>
              </w:rPr>
              <w:t>Execution button dispatching uploaded files to Gemini AI for optical character recognition, article extraction, and penalty parsing.</w:t>
            </w:r>
          </w:p>
        </w:tc>
      </w:tr>
    </w:tbl>
    <w:p>
      <w:pPr>
        <w:spacing w:before="0" w:after="240"/>
      </w:pPr>
    </w:p>
    <w:p>
      <w:pPr>
        <w:keepNext/>
        <w:spacing w:before="360" w:after="80"/>
      </w:pPr>
      <w:r>
        <w:rPr>
          <w:rFonts w:ascii="Times New Roman" w:hAnsi="Times New Roman"/>
          <w:b/>
          <w:color w:val="0F172A"/>
          <w:sz w:val="26"/>
        </w:rPr>
        <w:t>Barangay Incident Triage &amp; Resolution</w:t>
      </w:r>
    </w:p>
    <w:p>
      <w:pPr>
        <w:keepNext/>
        <w:spacing w:before="160" w:after="80"/>
      </w:pPr>
      <w:r>
        <w:rPr>
          <w:rFonts w:ascii="Times New Roman" w:hAnsi="Times New Roman"/>
          <w:b/>
          <w:i/>
          <w:sz w:val="24"/>
        </w:rPr>
        <w:t>What the Barangay Community Incident Reports &amp; Grievance Ledger Is For</w:t>
      </w:r>
    </w:p>
    <w:p>
      <w:pPr>
        <w:spacing w:line="276" w:lineRule="auto" w:after="160"/>
        <w:ind w:firstLine="720"/>
      </w:pPr>
      <w:r>
        <w:rPr>
          <w:rFonts w:ascii="Times New Roman" w:hAnsi="Times New Roman"/>
          <w:b w:val="0"/>
          <w:i w:val="0"/>
          <w:color w:val="0F172A"/>
          <w:sz w:val="24"/>
        </w:rPr>
        <w:t>The Barangay Community Reports ledger centralizes resident grievances filed through the portal. Officers can monitor incoming complaints, verify complainant details, and assign personnel for field investigation.</w:t>
      </w:r>
    </w:p>
    <w:p>
      <w:pPr>
        <w:keepNext/>
        <w:spacing w:before="120" w:after="40"/>
      </w:pPr>
      <w:r>
        <w:rPr>
          <w:rFonts w:ascii="Times New Roman" w:hAnsi="Times New Roman"/>
          <w:b/>
          <w:sz w:val="22"/>
        </w:rPr>
        <w:t>Figure C-14.</w:t>
        <w:br/>
      </w:r>
      <w:r>
        <w:rPr>
          <w:rFonts w:ascii="Times New Roman" w:hAnsi="Times New Roman"/>
          <w:i/>
          <w:sz w:val="22"/>
        </w:rPr>
        <w:t>Barangay Community Incident Reports &amp; Grievance Ledger</w:t>
      </w:r>
    </w:p>
    <w:p>
      <w:pPr>
        <w:keepNext/>
        <w:spacing w:before="80" w:after="160"/>
      </w:pPr>
      <w:r>
        <w:drawing>
          <wp:inline xmlns:a="http://schemas.openxmlformats.org/drawingml/2006/main" xmlns:pic="http://schemas.openxmlformats.org/drawingml/2006/picture">
            <wp:extent cx="5943600" cy="3737038"/>
            <wp:docPr id="14" name="Picture 14"/>
            <wp:cNvGraphicFramePr>
              <a:graphicFrameLocks noChangeAspect="1"/>
            </wp:cNvGraphicFramePr>
            <a:graphic>
              <a:graphicData uri="http://schemas.openxmlformats.org/drawingml/2006/picture">
                <pic:pic>
                  <pic:nvPicPr>
                    <pic:cNvPr id="0" name="fig_c14_barangay_reports.png"/>
                    <pic:cNvPicPr/>
                  </pic:nvPicPr>
                  <pic:blipFill>
                    <a:blip r:embed="rId23"/>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Status Filter Tabs — </w:t>
            </w:r>
            <w:r>
              <w:rPr>
                <w:rFonts w:ascii="Times New Roman" w:hAnsi="Times New Roman"/>
                <w:sz w:val="22"/>
              </w:rPr>
              <w:t>Filter tabs categorizing reports across 'Lahat' (All), 'Bago' (New), 'Inaaksyunan' (In Progress), 'Nalutas' (Resolved), and 'Ibinasura' (Dismissed).</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Incident Reports Records Table — </w:t>
            </w:r>
            <w:r>
              <w:rPr>
                <w:rFonts w:ascii="Times New Roman" w:hAnsi="Times New Roman"/>
                <w:sz w:val="22"/>
              </w:rPr>
              <w:t>Master grievances table showing Reference ID, filing date, incident subject, category, reporter classification, and status.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Inline Status Triage &amp; Resolution Dropdown Control — </w:t>
            </w:r>
            <w:r>
              <w:rPr>
                <w:rFonts w:ascii="Times New Roman" w:hAnsi="Times New Roman"/>
                <w:sz w:val="22"/>
              </w:rPr>
              <w:t>Direct interactive control on each row allowing officers to update status immediately upon taking action.</w:t>
            </w:r>
          </w:p>
        </w:tc>
      </w:tr>
    </w:tbl>
    <w:p>
      <w:pPr>
        <w:spacing w:before="0" w:after="240"/>
      </w:pPr>
    </w:p>
    <w:p>
      <w:pPr>
        <w:keepNext/>
        <w:spacing w:before="160" w:after="80"/>
      </w:pPr>
      <w:r>
        <w:rPr>
          <w:rFonts w:ascii="Times New Roman" w:hAnsi="Times New Roman"/>
          <w:b/>
          <w:i/>
          <w:sz w:val="24"/>
        </w:rPr>
        <w:t>What the Barangay Incident Triage &amp; Resolution Management Is For</w:t>
      </w:r>
    </w:p>
    <w:p>
      <w:pPr>
        <w:spacing w:line="276" w:lineRule="auto" w:after="160"/>
        <w:ind w:firstLine="720"/>
      </w:pPr>
      <w:r>
        <w:rPr>
          <w:rFonts w:ascii="Times New Roman" w:hAnsi="Times New Roman"/>
          <w:b w:val="0"/>
          <w:i w:val="0"/>
          <w:color w:val="0F172A"/>
          <w:sz w:val="24"/>
        </w:rPr>
        <w:t>When addressing resident grievances, officers inspect incident specifics, verify whether the report is anonymous, and record field actions taken by barangay tanods to close out the report.</w:t>
      </w:r>
    </w:p>
    <w:p>
      <w:pPr>
        <w:keepNext/>
        <w:spacing w:before="120" w:after="40"/>
      </w:pPr>
      <w:r>
        <w:rPr>
          <w:rFonts w:ascii="Times New Roman" w:hAnsi="Times New Roman"/>
          <w:b/>
          <w:sz w:val="22"/>
        </w:rPr>
        <w:t>Figure C-15.</w:t>
        <w:br/>
      </w:r>
      <w:r>
        <w:rPr>
          <w:rFonts w:ascii="Times New Roman" w:hAnsi="Times New Roman"/>
          <w:i/>
          <w:sz w:val="22"/>
        </w:rPr>
        <w:t>Barangay Incident Triage &amp; Resolution Management</w:t>
      </w:r>
    </w:p>
    <w:p>
      <w:pPr>
        <w:keepNext/>
        <w:spacing w:before="80" w:after="160"/>
      </w:pPr>
      <w:r>
        <w:drawing>
          <wp:inline xmlns:a="http://schemas.openxmlformats.org/drawingml/2006/main" xmlns:pic="http://schemas.openxmlformats.org/drawingml/2006/picture">
            <wp:extent cx="5943600" cy="3737038"/>
            <wp:docPr id="15" name="Picture 15"/>
            <wp:cNvGraphicFramePr>
              <a:graphicFrameLocks noChangeAspect="1"/>
            </wp:cNvGraphicFramePr>
            <a:graphic>
              <a:graphicData uri="http://schemas.openxmlformats.org/drawingml/2006/picture">
                <pic:pic>
                  <pic:nvPicPr>
                    <pic:cNvPr id="0" name="fig_c15_report_triage.png"/>
                    <pic:cNvPicPr/>
                  </pic:nvPicPr>
                  <pic:blipFill>
                    <a:blip r:embed="rId24"/>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Target Incident Report Record Row — </w:t>
            </w:r>
            <w:r>
              <w:rPr>
                <w:rFonts w:ascii="Times New Roman" w:hAnsi="Times New Roman"/>
                <w:sz w:val="22"/>
              </w:rPr>
              <w:t>Focused grievance record row highlighting the specific incident being inspected and triaged.</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Reporter Information &amp; Anonymity Verification — </w:t>
            </w:r>
            <w:r>
              <w:rPr>
                <w:rFonts w:ascii="Times New Roman" w:hAnsi="Times New Roman"/>
                <w:sz w:val="22"/>
              </w:rPr>
              <w:t>Verification column displaying the complainant's identity or affirming protected anonymous whistleblower status.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Current Report Life-Cycle Status Badge — </w:t>
            </w:r>
            <w:r>
              <w:rPr>
                <w:rFonts w:ascii="Times New Roman" w:hAnsi="Times New Roman"/>
                <w:sz w:val="22"/>
              </w:rPr>
              <w:t>Visual badge reflecting the current progress of the incident from initial intake through final settlement.</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Status Mutation &amp; Triage Dropdown Selector — </w:t>
            </w:r>
            <w:r>
              <w:rPr>
                <w:rFonts w:ascii="Times New Roman" w:hAnsi="Times New Roman"/>
                <w:sz w:val="22"/>
              </w:rPr>
              <w:t>Dropdown selector executing status changes and updating the citizen tracking state in real time.</w:t>
            </w:r>
          </w:p>
        </w:tc>
      </w:tr>
    </w:tbl>
    <w:p>
      <w:pPr>
        <w:spacing w:before="0" w:after="240"/>
      </w:pPr>
    </w:p>
    <w:p>
      <w:pPr>
        <w:keepNext/>
        <w:spacing w:before="360" w:after="80"/>
      </w:pPr>
      <w:r>
        <w:rPr>
          <w:rFonts w:ascii="Times New Roman" w:hAnsi="Times New Roman"/>
          <w:b/>
          <w:color w:val="0F172A"/>
          <w:sz w:val="26"/>
        </w:rPr>
        <w:t>Barangay Analytical Intelligence</w:t>
      </w:r>
    </w:p>
    <w:p>
      <w:pPr>
        <w:keepNext/>
        <w:spacing w:before="160" w:after="80"/>
      </w:pPr>
      <w:r>
        <w:rPr>
          <w:rFonts w:ascii="Times New Roman" w:hAnsi="Times New Roman"/>
          <w:b/>
          <w:i/>
          <w:sz w:val="24"/>
        </w:rPr>
        <w:t>What the Barangay Legislative Reporting &amp; Volume Analytics Is For</w:t>
      </w:r>
    </w:p>
    <w:p>
      <w:pPr>
        <w:spacing w:line="276" w:lineRule="auto" w:after="160"/>
        <w:ind w:firstLine="720"/>
      </w:pPr>
      <w:r>
        <w:rPr>
          <w:rFonts w:ascii="Times New Roman" w:hAnsi="Times New Roman"/>
          <w:b w:val="0"/>
          <w:i w:val="0"/>
          <w:color w:val="0F172A"/>
          <w:sz w:val="24"/>
        </w:rPr>
        <w:t>This module aggregates barangay legislative productivity and resident incident patterns into standardized report summaries ready for council review and annual compliance audits.</w:t>
      </w:r>
    </w:p>
    <w:p>
      <w:pPr>
        <w:keepNext/>
        <w:spacing w:before="120" w:after="40"/>
      </w:pPr>
      <w:r>
        <w:rPr>
          <w:rFonts w:ascii="Times New Roman" w:hAnsi="Times New Roman"/>
          <w:b/>
          <w:sz w:val="22"/>
        </w:rPr>
        <w:t>Figure C-16.</w:t>
        <w:br/>
      </w:r>
      <w:r>
        <w:rPr>
          <w:rFonts w:ascii="Times New Roman" w:hAnsi="Times New Roman"/>
          <w:i/>
          <w:sz w:val="22"/>
        </w:rPr>
        <w:t>Barangay Legislative Reporting &amp; Volume Analytics</w:t>
      </w:r>
    </w:p>
    <w:p>
      <w:pPr>
        <w:keepNext/>
        <w:spacing w:before="80" w:after="160"/>
      </w:pPr>
      <w:r>
        <w:drawing>
          <wp:inline xmlns:a="http://schemas.openxmlformats.org/drawingml/2006/main" xmlns:pic="http://schemas.openxmlformats.org/drawingml/2006/picture">
            <wp:extent cx="5943600" cy="3737038"/>
            <wp:docPr id="16" name="Picture 16"/>
            <wp:cNvGraphicFramePr>
              <a:graphicFrameLocks noChangeAspect="1"/>
            </wp:cNvGraphicFramePr>
            <a:graphic>
              <a:graphicData uri="http://schemas.openxmlformats.org/drawingml/2006/picture">
                <pic:pic>
                  <pic:nvPicPr>
                    <pic:cNvPr id="0" name="fig_c16_barangay_analytics.png"/>
                    <pic:cNvPicPr/>
                  </pic:nvPicPr>
                  <pic:blipFill>
                    <a:blip r:embed="rId25"/>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Report Type Structure Selector Card — </w:t>
            </w:r>
            <w:r>
              <w:rPr>
                <w:rFonts w:ascii="Times New Roman" w:hAnsi="Times New Roman"/>
                <w:sz w:val="22"/>
              </w:rPr>
              <w:t>Selection panel allowing officials to choose standardized report formats including Ordinance Rosters, Category Digests, and Grievance Summaries.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Multi-Criteria Filter Parameters Panel — </w:t>
            </w:r>
            <w:r>
              <w:rPr>
                <w:rFonts w:ascii="Times New Roman" w:hAnsi="Times New Roman"/>
                <w:sz w:val="22"/>
              </w:rPr>
              <w:t>Parameters panel configuring date horizons, enactment status, and category filters for the report compilation.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Generate Localized Report Action Button — </w:t>
            </w:r>
            <w:r>
              <w:rPr>
                <w:rFonts w:ascii="Times New Roman" w:hAnsi="Times New Roman"/>
                <w:sz w:val="22"/>
              </w:rPr>
              <w:t>Action trigger querying the database and generating a formatted on-screen report preview.</w:t>
            </w:r>
          </w:p>
        </w:tc>
      </w:tr>
    </w:tbl>
    <w:p>
      <w:pPr>
        <w:spacing w:before="0" w:after="240"/>
      </w:pPr>
    </w:p>
    <w:p>
      <w:pPr>
        <w:keepNext/>
        <w:spacing w:before="360" w:after="80"/>
      </w:pPr>
      <w:r>
        <w:rPr>
          <w:rFonts w:ascii="Times New Roman" w:hAnsi="Times New Roman"/>
          <w:b/>
          <w:color w:val="0F172A"/>
          <w:sz w:val="26"/>
        </w:rPr>
        <w:t>LGU City-Wide Administration</w:t>
      </w:r>
    </w:p>
    <w:p>
      <w:pPr>
        <w:keepNext/>
        <w:spacing w:before="160" w:after="80"/>
      </w:pPr>
      <w:r>
        <w:rPr>
          <w:rFonts w:ascii="Times New Roman" w:hAnsi="Times New Roman"/>
          <w:b/>
          <w:i/>
          <w:sz w:val="24"/>
        </w:rPr>
        <w:t>What the LGU Executive Governance Dashboard &amp; Legislative Pulse Is For</w:t>
      </w:r>
    </w:p>
    <w:p>
      <w:pPr>
        <w:spacing w:line="276" w:lineRule="auto" w:after="160"/>
        <w:ind w:firstLine="720"/>
      </w:pPr>
      <w:r>
        <w:rPr>
          <w:rFonts w:ascii="Times New Roman" w:hAnsi="Times New Roman"/>
          <w:b w:val="0"/>
          <w:i w:val="0"/>
          <w:color w:val="0F172A"/>
          <w:sz w:val="24"/>
        </w:rPr>
        <w:t>The LGU Executive Governance Dashboard serves as the central command console for city-wide legislative oversight. City executives can monitor municipal policy enactment rates, review incoming barangay measures, and assess legislative trends.</w:t>
      </w:r>
    </w:p>
    <w:p>
      <w:pPr>
        <w:keepNext/>
        <w:spacing w:before="120" w:after="40"/>
      </w:pPr>
      <w:r>
        <w:rPr>
          <w:rFonts w:ascii="Times New Roman" w:hAnsi="Times New Roman"/>
          <w:b/>
          <w:sz w:val="22"/>
        </w:rPr>
        <w:t>Figure C-17.</w:t>
        <w:br/>
      </w:r>
      <w:r>
        <w:rPr>
          <w:rFonts w:ascii="Times New Roman" w:hAnsi="Times New Roman"/>
          <w:i/>
          <w:sz w:val="22"/>
        </w:rPr>
        <w:t>LGU Executive Governance Dashboard &amp; Legislative Pulse</w:t>
      </w:r>
    </w:p>
    <w:p>
      <w:pPr>
        <w:keepNext/>
        <w:spacing w:before="80" w:after="160"/>
      </w:pPr>
      <w:r>
        <w:drawing>
          <wp:inline xmlns:a="http://schemas.openxmlformats.org/drawingml/2006/main" xmlns:pic="http://schemas.openxmlformats.org/drawingml/2006/picture">
            <wp:extent cx="5943600" cy="3737038"/>
            <wp:docPr id="17" name="Picture 17"/>
            <wp:cNvGraphicFramePr>
              <a:graphicFrameLocks noChangeAspect="1"/>
            </wp:cNvGraphicFramePr>
            <a:graphic>
              <a:graphicData uri="http://schemas.openxmlformats.org/drawingml/2006/picture">
                <pic:pic>
                  <pic:nvPicPr>
                    <pic:cNvPr id="0" name="fig_c17_lgu_dashboard.png"/>
                    <pic:cNvPicPr/>
                  </pic:nvPicPr>
                  <pic:blipFill>
                    <a:blip r:embed="rId26"/>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City-Wide KPI Cards — </w:t>
            </w:r>
            <w:r>
              <w:rPr>
                <w:rFonts w:ascii="Times New Roman" w:hAnsi="Times New Roman"/>
                <w:sz w:val="22"/>
              </w:rPr>
              <w:t>Metric cards tracking aggregate statistics: Total Codified Ordinances, Approved Measures, Pending Review Submissions, Drafts, and Connected Barangays.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Ordinance Status Life-Cycle Summary Grid — </w:t>
            </w:r>
            <w:r>
              <w:rPr>
                <w:rFonts w:ascii="Times New Roman" w:hAnsi="Times New Roman"/>
                <w:sz w:val="22"/>
              </w:rPr>
              <w:t>Consolidated breakdown tracking the flow of legislation through drafting, committee evaluation, mayoral review, and public enactment.</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Recent City-Wide Legislative Activity Log — </w:t>
            </w:r>
            <w:r>
              <w:rPr>
                <w:rFonts w:ascii="Times New Roman" w:hAnsi="Times New Roman"/>
                <w:sz w:val="22"/>
              </w:rPr>
              <w:t>Chronological ledger showcasing newly enacted city policies, transmittal dates, and sponsoring officials.</w:t>
            </w:r>
          </w:p>
        </w:tc>
      </w:tr>
    </w:tbl>
    <w:p>
      <w:pPr>
        <w:spacing w:before="0" w:after="240"/>
      </w:pPr>
    </w:p>
    <w:p>
      <w:pPr>
        <w:keepNext/>
        <w:spacing w:before="160" w:after="80"/>
      </w:pPr>
      <w:r>
        <w:rPr>
          <w:rFonts w:ascii="Times New Roman" w:hAnsi="Times New Roman"/>
          <w:b/>
          <w:i/>
          <w:sz w:val="24"/>
        </w:rPr>
        <w:t>What the LGU Central Legislative Repository &amp; City Ordinance Archive Is For</w:t>
      </w:r>
    </w:p>
    <w:p>
      <w:pPr>
        <w:spacing w:line="276" w:lineRule="auto" w:after="160"/>
        <w:ind w:firstLine="720"/>
      </w:pPr>
      <w:r>
        <w:rPr>
          <w:rFonts w:ascii="Times New Roman" w:hAnsi="Times New Roman"/>
          <w:b w:val="0"/>
          <w:i w:val="0"/>
          <w:color w:val="0F172A"/>
          <w:sz w:val="24"/>
        </w:rPr>
        <w:t>The LGU Central Repository is the authoritative master database of all enacted municipal legislation in Cabanatuan City. Administrators manage city-wide enactments, evaluate pending barangay proposals, and codify new measures.</w:t>
      </w:r>
    </w:p>
    <w:p>
      <w:pPr>
        <w:keepNext/>
        <w:spacing w:before="120" w:after="40"/>
      </w:pPr>
      <w:r>
        <w:rPr>
          <w:rFonts w:ascii="Times New Roman" w:hAnsi="Times New Roman"/>
          <w:b/>
          <w:sz w:val="22"/>
        </w:rPr>
        <w:t>Figure C-18.</w:t>
        <w:br/>
      </w:r>
      <w:r>
        <w:rPr>
          <w:rFonts w:ascii="Times New Roman" w:hAnsi="Times New Roman"/>
          <w:i/>
          <w:sz w:val="22"/>
        </w:rPr>
        <w:t>LGU Central Legislative Repository &amp; City Ordinance Archive</w:t>
      </w:r>
    </w:p>
    <w:p>
      <w:pPr>
        <w:keepNext/>
        <w:spacing w:before="80" w:after="160"/>
      </w:pPr>
      <w:r>
        <w:drawing>
          <wp:inline xmlns:a="http://schemas.openxmlformats.org/drawingml/2006/main" xmlns:pic="http://schemas.openxmlformats.org/drawingml/2006/picture">
            <wp:extent cx="5943600" cy="3737038"/>
            <wp:docPr id="18" name="Picture 18"/>
            <wp:cNvGraphicFramePr>
              <a:graphicFrameLocks noChangeAspect="1"/>
            </wp:cNvGraphicFramePr>
            <a:graphic>
              <a:graphicData uri="http://schemas.openxmlformats.org/drawingml/2006/picture">
                <pic:pic>
                  <pic:nvPicPr>
                    <pic:cNvPr id="0" name="fig_c18_lgu_repository.png"/>
                    <pic:cNvPicPr/>
                  </pic:nvPicPr>
                  <pic:blipFill>
                    <a:blip r:embed="rId27"/>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Accessible Status Filter Tabs with Live Record Counters — </w:t>
            </w:r>
            <w:r>
              <w:rPr>
                <w:rFonts w:ascii="Times New Roman" w:hAnsi="Times New Roman"/>
                <w:sz w:val="22"/>
              </w:rPr>
              <w:t>Filter tabs displaying live record tallies across 'Lahat', 'Enacted', 'In Review', and 'Rejected' ordinances.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Add City Ordinance Action Button — </w:t>
            </w:r>
            <w:r>
              <w:rPr>
                <w:rFonts w:ascii="Times New Roman" w:hAnsi="Times New Roman"/>
                <w:sz w:val="22"/>
              </w:rPr>
              <w:t>Primary action button launching the codification workflow for newly enacted Sangguniang Panlungsod city ordinances.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Instant City Ordinance Repository Search Input — </w:t>
            </w:r>
            <w:r>
              <w:rPr>
                <w:rFonts w:ascii="Times New Roman" w:hAnsi="Times New Roman"/>
                <w:sz w:val="22"/>
              </w:rPr>
              <w:t>Search field querying central ordinances by title, resolution number, sponsor, or legal summary.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City-Wide Ordinance Repository Master Table — </w:t>
            </w:r>
            <w:r>
              <w:rPr>
                <w:rFonts w:ascii="Times New Roman" w:hAnsi="Times New Roman"/>
                <w:sz w:val="22"/>
              </w:rPr>
              <w:t>Master ledger displaying ordinance metadata, jurisdiction tags (City vs Barangay), enactment dates, and administrative action menus.</w:t>
            </w:r>
          </w:p>
        </w:tc>
      </w:tr>
    </w:tbl>
    <w:p>
      <w:pPr>
        <w:spacing w:before="0" w:after="240"/>
      </w:pPr>
    </w:p>
    <w:p>
      <w:pPr>
        <w:keepNext/>
        <w:spacing w:before="360" w:after="80"/>
      </w:pPr>
      <w:r>
        <w:rPr>
          <w:rFonts w:ascii="Times New Roman" w:hAnsi="Times New Roman"/>
          <w:b/>
          <w:color w:val="0F172A"/>
          <w:sz w:val="26"/>
        </w:rPr>
        <w:t>Legislative Review &amp; Ratification</w:t>
      </w:r>
    </w:p>
    <w:p>
      <w:pPr>
        <w:keepNext/>
        <w:spacing w:before="160" w:after="80"/>
      </w:pPr>
      <w:r>
        <w:rPr>
          <w:rFonts w:ascii="Times New Roman" w:hAnsi="Times New Roman"/>
          <w:b/>
          <w:i/>
          <w:sz w:val="24"/>
        </w:rPr>
        <w:t>What the Legislative Review, Enactment &amp; Official Approval Workflow Is For</w:t>
      </w:r>
    </w:p>
    <w:p>
      <w:pPr>
        <w:spacing w:line="276" w:lineRule="auto" w:after="160"/>
        <w:ind w:firstLine="720"/>
      </w:pPr>
      <w:r>
        <w:rPr>
          <w:rFonts w:ascii="Times New Roman" w:hAnsi="Times New Roman"/>
          <w:b w:val="0"/>
          <w:i w:val="0"/>
          <w:color w:val="0F172A"/>
          <w:sz w:val="24"/>
        </w:rPr>
        <w:t>Under the Local Government Code of 1991 (RA 7160), all barangay ordinances must undergo review by the Sangguniang Panlungsod to confirm statutory compliance. This modal facilitates the formal approval or return of submitted measures.</w:t>
      </w:r>
    </w:p>
    <w:p>
      <w:pPr>
        <w:keepNext/>
        <w:spacing w:before="120" w:after="40"/>
      </w:pPr>
      <w:r>
        <w:rPr>
          <w:rFonts w:ascii="Times New Roman" w:hAnsi="Times New Roman"/>
          <w:b/>
          <w:sz w:val="22"/>
        </w:rPr>
        <w:t>Figure C-19.</w:t>
        <w:br/>
      </w:r>
      <w:r>
        <w:rPr>
          <w:rFonts w:ascii="Times New Roman" w:hAnsi="Times New Roman"/>
          <w:i/>
          <w:sz w:val="22"/>
        </w:rPr>
        <w:t>Legislative Review, Enactment &amp; Official Approval Workflow</w:t>
      </w:r>
    </w:p>
    <w:p>
      <w:pPr>
        <w:keepNext/>
        <w:spacing w:before="80" w:after="160"/>
      </w:pPr>
      <w:r>
        <w:drawing>
          <wp:inline xmlns:a="http://schemas.openxmlformats.org/drawingml/2006/main" xmlns:pic="http://schemas.openxmlformats.org/drawingml/2006/picture">
            <wp:extent cx="5943600" cy="3737038"/>
            <wp:docPr id="19" name="Picture 19"/>
            <wp:cNvGraphicFramePr>
              <a:graphicFrameLocks noChangeAspect="1"/>
            </wp:cNvGraphicFramePr>
            <a:graphic>
              <a:graphicData uri="http://schemas.openxmlformats.org/drawingml/2006/picture">
                <pic:pic>
                  <pic:nvPicPr>
                    <pic:cNvPr id="0" name="fig_c19_review_approve.png"/>
                    <pic:cNvPicPr/>
                  </pic:nvPicPr>
                  <pic:blipFill>
                    <a:blip r:embed="rId28"/>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Pending Ordinance Title &amp; Legal Enactment Notice — </w:t>
            </w:r>
            <w:r>
              <w:rPr>
                <w:rFonts w:ascii="Times New Roman" w:hAnsi="Times New Roman"/>
                <w:sz w:val="22"/>
              </w:rPr>
              <w:t>Review prompt displaying the title and jurisdiction of the proposed barangay measure undergoing council scrutiny.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Enactment / Approval Action Button ('Aprubahan') — </w:t>
            </w:r>
            <w:r>
              <w:rPr>
                <w:rFonts w:ascii="Times New Roman" w:hAnsi="Times New Roman"/>
                <w:sz w:val="22"/>
              </w:rPr>
              <w:t>Approval CTA enacting the measure, updating its status to 'Approved', and publishing it directly to the public legal repository.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Dismiss Review / Return Button ('Bumalik') — </w:t>
            </w:r>
            <w:r>
              <w:rPr>
                <w:rFonts w:ascii="Times New Roman" w:hAnsi="Times New Roman"/>
                <w:sz w:val="22"/>
              </w:rPr>
              <w:t>Action button returning the proposal to the originating barangay with feedback for legislative revision.</w:t>
            </w:r>
          </w:p>
        </w:tc>
      </w:tr>
    </w:tbl>
    <w:p>
      <w:pPr>
        <w:spacing w:before="0" w:after="240"/>
      </w:pPr>
    </w:p>
    <w:p>
      <w:pPr>
        <w:keepNext/>
        <w:spacing w:before="360" w:after="80"/>
      </w:pPr>
      <w:r>
        <w:rPr>
          <w:rFonts w:ascii="Times New Roman" w:hAnsi="Times New Roman"/>
          <w:b/>
          <w:color w:val="0F172A"/>
          <w:sz w:val="26"/>
        </w:rPr>
        <w:t>AI-Powered Archival Digitization</w:t>
      </w:r>
    </w:p>
    <w:p>
      <w:pPr>
        <w:keepNext/>
        <w:spacing w:before="160" w:after="80"/>
      </w:pPr>
      <w:r>
        <w:rPr>
          <w:rFonts w:ascii="Times New Roman" w:hAnsi="Times New Roman"/>
          <w:b/>
          <w:i/>
          <w:sz w:val="24"/>
        </w:rPr>
        <w:t>What the LGU Legislative PDF AI Digitization &amp; Ingestion Suite Is For</w:t>
      </w:r>
    </w:p>
    <w:p>
      <w:pPr>
        <w:spacing w:line="276" w:lineRule="auto" w:after="160"/>
        <w:ind w:firstLine="720"/>
      </w:pPr>
      <w:r>
        <w:rPr>
          <w:rFonts w:ascii="Times New Roman" w:hAnsi="Times New Roman"/>
          <w:b w:val="0"/>
          <w:i w:val="0"/>
          <w:color w:val="0F172A"/>
          <w:sz w:val="24"/>
        </w:rPr>
        <w:t>To digitize historical municipal records and newly signed council resolutions, the LGU ingestion suite processes multi-page scanned PDF documents with Gemini Multimodal AI to extract title, articles, sections, and penalties.</w:t>
      </w:r>
    </w:p>
    <w:p>
      <w:pPr>
        <w:keepNext/>
        <w:spacing w:before="120" w:after="40"/>
      </w:pPr>
      <w:r>
        <w:rPr>
          <w:rFonts w:ascii="Times New Roman" w:hAnsi="Times New Roman"/>
          <w:b/>
          <w:sz w:val="22"/>
        </w:rPr>
        <w:t>Figure C-20.</w:t>
        <w:br/>
      </w:r>
      <w:r>
        <w:rPr>
          <w:rFonts w:ascii="Times New Roman" w:hAnsi="Times New Roman"/>
          <w:i/>
          <w:sz w:val="22"/>
        </w:rPr>
        <w:t>LGU Legislative PDF AI Digitization &amp; Ingestion Suite</w:t>
      </w:r>
    </w:p>
    <w:p>
      <w:pPr>
        <w:keepNext/>
        <w:spacing w:before="80" w:after="160"/>
      </w:pPr>
      <w:r>
        <w:drawing>
          <wp:inline xmlns:a="http://schemas.openxmlformats.org/drawingml/2006/main" xmlns:pic="http://schemas.openxmlformats.org/drawingml/2006/picture">
            <wp:extent cx="5943600" cy="3737038"/>
            <wp:docPr id="20" name="Picture 20"/>
            <wp:cNvGraphicFramePr>
              <a:graphicFrameLocks noChangeAspect="1"/>
            </wp:cNvGraphicFramePr>
            <a:graphic>
              <a:graphicData uri="http://schemas.openxmlformats.org/drawingml/2006/picture">
                <pic:pic>
                  <pic:nvPicPr>
                    <pic:cNvPr id="0" name="fig_c20_lgu_ai_digitization.png"/>
                    <pic:cNvPicPr/>
                  </pic:nvPicPr>
                  <pic:blipFill>
                    <a:blip r:embed="rId29"/>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Scanned Resolution Upload Dropzone — </w:t>
            </w:r>
            <w:r>
              <w:rPr>
                <w:rFonts w:ascii="Times New Roman" w:hAnsi="Times New Roman"/>
                <w:sz w:val="22"/>
              </w:rPr>
              <w:t>Dropzone accepting high-resolution scans of signed municipal resolutions and certified ordinance documents.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Multimodal AI Parsing Execution Button — </w:t>
            </w:r>
            <w:r>
              <w:rPr>
                <w:rFonts w:ascii="Times New Roman" w:hAnsi="Times New Roman"/>
                <w:sz w:val="22"/>
              </w:rPr>
              <w:t>Trigger initiating AI optical character recognition, article segmentation, and penalty extraction.</w:t>
            </w:r>
          </w:p>
        </w:tc>
      </w:tr>
    </w:tbl>
    <w:p>
      <w:pPr>
        <w:spacing w:before="0" w:after="240"/>
      </w:pPr>
    </w:p>
    <w:p>
      <w:pPr>
        <w:keepNext/>
        <w:spacing w:before="360" w:after="80"/>
      </w:pPr>
      <w:r>
        <w:rPr>
          <w:rFonts w:ascii="Times New Roman" w:hAnsi="Times New Roman"/>
          <w:b/>
          <w:color w:val="0F172A"/>
          <w:sz w:val="26"/>
        </w:rPr>
        <w:t>User Administration &amp; Security Governance</w:t>
      </w:r>
    </w:p>
    <w:p>
      <w:pPr>
        <w:keepNext/>
        <w:spacing w:before="160" w:after="80"/>
      </w:pPr>
      <w:r>
        <w:rPr>
          <w:rFonts w:ascii="Times New Roman" w:hAnsi="Times New Roman"/>
          <w:b/>
          <w:i/>
          <w:sz w:val="24"/>
        </w:rPr>
        <w:t>What the Official User Accounts &amp; Role-Based Access Control (RBAC) Management Is For</w:t>
      </w:r>
    </w:p>
    <w:p>
      <w:pPr>
        <w:spacing w:line="276" w:lineRule="auto" w:after="160"/>
        <w:ind w:firstLine="720"/>
      </w:pPr>
      <w:r>
        <w:rPr>
          <w:rFonts w:ascii="Times New Roman" w:hAnsi="Times New Roman"/>
          <w:b w:val="0"/>
          <w:i w:val="0"/>
          <w:color w:val="0F172A"/>
          <w:sz w:val="24"/>
        </w:rPr>
        <w:t>The User Management console oversees municipal user identities and system credentials. Superadministrators provision official accounts for city staff and barangay secretaries, assigning granular permissions.</w:t>
      </w:r>
    </w:p>
    <w:p>
      <w:pPr>
        <w:keepNext/>
        <w:spacing w:before="120" w:after="40"/>
      </w:pPr>
      <w:r>
        <w:rPr>
          <w:rFonts w:ascii="Times New Roman" w:hAnsi="Times New Roman"/>
          <w:b/>
          <w:sz w:val="22"/>
        </w:rPr>
        <w:t>Figure C-21.</w:t>
        <w:br/>
      </w:r>
      <w:r>
        <w:rPr>
          <w:rFonts w:ascii="Times New Roman" w:hAnsi="Times New Roman"/>
          <w:i/>
          <w:sz w:val="22"/>
        </w:rPr>
        <w:t>Official User Accounts &amp; Role-Based Access Control (RBAC) Management</w:t>
      </w:r>
    </w:p>
    <w:p>
      <w:pPr>
        <w:keepNext/>
        <w:spacing w:before="80" w:after="160"/>
      </w:pPr>
      <w:r>
        <w:drawing>
          <wp:inline xmlns:a="http://schemas.openxmlformats.org/drawingml/2006/main" xmlns:pic="http://schemas.openxmlformats.org/drawingml/2006/picture">
            <wp:extent cx="5943600" cy="3737038"/>
            <wp:docPr id="21" name="Picture 21"/>
            <wp:cNvGraphicFramePr>
              <a:graphicFrameLocks noChangeAspect="1"/>
            </wp:cNvGraphicFramePr>
            <a:graphic>
              <a:graphicData uri="http://schemas.openxmlformats.org/drawingml/2006/picture">
                <pic:pic>
                  <pic:nvPicPr>
                    <pic:cNvPr id="0" name="fig_c21_users_management.png"/>
                    <pic:cNvPicPr/>
                  </pic:nvPicPr>
                  <pic:blipFill>
                    <a:blip r:embed="rId30"/>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Register New Official Action Button ('Magdagdag ng Opisyal') — </w:t>
            </w:r>
            <w:r>
              <w:rPr>
                <w:rFonts w:ascii="Times New Roman" w:hAnsi="Times New Roman"/>
                <w:sz w:val="22"/>
              </w:rPr>
              <w:t>Action button opening the account creation modal to provision access for new government personnel.</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Official Directory Table with Security Badges — </w:t>
            </w:r>
            <w:r>
              <w:rPr>
                <w:rFonts w:ascii="Times New Roman" w:hAnsi="Times New Roman"/>
                <w:sz w:val="22"/>
              </w:rPr>
              <w:t>Comprehensive roster of registered personnel displaying full name, official email, assigned role, and territory.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Role-Based Privilege Badges — </w:t>
            </w:r>
            <w:r>
              <w:rPr>
                <w:rFonts w:ascii="Times New Roman" w:hAnsi="Times New Roman"/>
                <w:sz w:val="22"/>
              </w:rPr>
              <w:t>Visual badges differentiating Super Administrator accounts from localized Barangay Administrator permissions.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Assigned Territorial Barangay Jurisdiction Tag — </w:t>
            </w:r>
            <w:r>
              <w:rPr>
                <w:rFonts w:ascii="Times New Roman" w:hAnsi="Times New Roman"/>
                <w:sz w:val="22"/>
              </w:rPr>
              <w:t>Scope tag specifying which of the 89 barangays the official is authorized to administer.</w:t>
            </w:r>
          </w:p>
        </w:tc>
      </w:tr>
    </w:tbl>
    <w:p>
      <w:pPr>
        <w:spacing w:before="0" w:after="240"/>
      </w:pPr>
    </w:p>
    <w:p>
      <w:pPr>
        <w:keepNext/>
        <w:spacing w:before="360" w:after="80"/>
      </w:pPr>
      <w:r>
        <w:rPr>
          <w:rFonts w:ascii="Times New Roman" w:hAnsi="Times New Roman"/>
          <w:b/>
          <w:color w:val="0F172A"/>
          <w:sz w:val="26"/>
        </w:rPr>
        <w:t>Barangay Accreditation &amp; Directory Oversight</w:t>
      </w:r>
    </w:p>
    <w:p>
      <w:pPr>
        <w:keepNext/>
        <w:spacing w:before="160" w:after="80"/>
      </w:pPr>
      <w:r>
        <w:rPr>
          <w:rFonts w:ascii="Times New Roman" w:hAnsi="Times New Roman"/>
          <w:b/>
          <w:i/>
          <w:sz w:val="24"/>
        </w:rPr>
        <w:t>What the 89-Barangay Municipal Directory &amp; Accreditation Roster Is For</w:t>
      </w:r>
    </w:p>
    <w:p>
      <w:pPr>
        <w:spacing w:line="276" w:lineRule="auto" w:after="160"/>
        <w:ind w:firstLine="720"/>
      </w:pPr>
      <w:r>
        <w:rPr>
          <w:rFonts w:ascii="Times New Roman" w:hAnsi="Times New Roman"/>
          <w:b w:val="0"/>
          <w:i w:val="0"/>
          <w:color w:val="0F172A"/>
          <w:sz w:val="24"/>
        </w:rPr>
        <w:t>The Barangay Directory maintains authoritative records for all 89 political subdivisions of Cabanatuan City. Administrators manage hall contact information, track active officials, and monitor village onboarding.</w:t>
      </w:r>
    </w:p>
    <w:p>
      <w:pPr>
        <w:keepNext/>
        <w:spacing w:before="120" w:after="40"/>
      </w:pPr>
      <w:r>
        <w:rPr>
          <w:rFonts w:ascii="Times New Roman" w:hAnsi="Times New Roman"/>
          <w:b/>
          <w:sz w:val="22"/>
        </w:rPr>
        <w:t>Figure C-22.</w:t>
        <w:br/>
      </w:r>
      <w:r>
        <w:rPr>
          <w:rFonts w:ascii="Times New Roman" w:hAnsi="Times New Roman"/>
          <w:i/>
          <w:sz w:val="22"/>
        </w:rPr>
        <w:t>89-Barangay Municipal Directory &amp; Accreditation Roster</w:t>
      </w:r>
    </w:p>
    <w:p>
      <w:pPr>
        <w:keepNext/>
        <w:spacing w:before="80" w:after="160"/>
      </w:pPr>
      <w:r>
        <w:drawing>
          <wp:inline xmlns:a="http://schemas.openxmlformats.org/drawingml/2006/main" xmlns:pic="http://schemas.openxmlformats.org/drawingml/2006/picture">
            <wp:extent cx="5943600" cy="3737038"/>
            <wp:docPr id="22" name="Picture 22"/>
            <wp:cNvGraphicFramePr>
              <a:graphicFrameLocks noChangeAspect="1"/>
            </wp:cNvGraphicFramePr>
            <a:graphic>
              <a:graphicData uri="http://schemas.openxmlformats.org/drawingml/2006/picture">
                <pic:pic>
                  <pic:nvPicPr>
                    <pic:cNvPr id="0" name="fig_c22_barangays_directory.png"/>
                    <pic:cNvPicPr/>
                  </pic:nvPicPr>
                  <pic:blipFill>
                    <a:blip r:embed="rId31"/>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Barangay Participation &amp; Onboarding Indicators — </w:t>
            </w:r>
            <w:r>
              <w:rPr>
                <w:rFonts w:ascii="Times New Roman" w:hAnsi="Times New Roman"/>
                <w:sz w:val="22"/>
              </w:rPr>
              <w:t>Status banner summarizing onboarding progress and active portal connectivity across city barangays.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Barangay Search &amp; Filter Input Field — </w:t>
            </w:r>
            <w:r>
              <w:rPr>
                <w:rFonts w:ascii="Times New Roman" w:hAnsi="Times New Roman"/>
                <w:sz w:val="22"/>
              </w:rPr>
              <w:t>Search filter allowing officers to look up any barangay by name, district zone, or contact person.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Register New Barangay Action Button — </w:t>
            </w:r>
            <w:r>
              <w:rPr>
                <w:rFonts w:ascii="Times New Roman" w:hAnsi="Times New Roman"/>
                <w:sz w:val="22"/>
              </w:rPr>
              <w:t>Action button registering a newly accredited barangay or modifying jurisdictional boundaries.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Barangay Directory Table with Ordinance &amp; Report Counts — </w:t>
            </w:r>
            <w:r>
              <w:rPr>
                <w:rFonts w:ascii="Times New Roman" w:hAnsi="Times New Roman"/>
                <w:sz w:val="22"/>
              </w:rPr>
              <w:t>Master directory table displaying barangay names, enacted local ordinances, open reports, and contact info.</w:t>
            </w:r>
          </w:p>
        </w:tc>
      </w:tr>
    </w:tbl>
    <w:p>
      <w:pPr>
        <w:spacing w:before="0" w:after="240"/>
      </w:pPr>
    </w:p>
    <w:p>
      <w:pPr>
        <w:keepNext/>
        <w:spacing w:before="360" w:after="80"/>
      </w:pPr>
      <w:r>
        <w:rPr>
          <w:rFonts w:ascii="Times New Roman" w:hAnsi="Times New Roman"/>
          <w:b/>
          <w:color w:val="0F172A"/>
          <w:sz w:val="26"/>
        </w:rPr>
        <w:t>City-Wide Grievance Monitoring</w:t>
      </w:r>
    </w:p>
    <w:p>
      <w:pPr>
        <w:keepNext/>
        <w:spacing w:before="160" w:after="80"/>
      </w:pPr>
      <w:r>
        <w:rPr>
          <w:rFonts w:ascii="Times New Roman" w:hAnsi="Times New Roman"/>
          <w:b/>
          <w:i/>
          <w:sz w:val="24"/>
        </w:rPr>
        <w:t>What the City-wide Civic Incident Monitoring &amp; Cross-Barangay Oversight Is For</w:t>
      </w:r>
    </w:p>
    <w:p>
      <w:pPr>
        <w:spacing w:line="276" w:lineRule="auto" w:after="160"/>
        <w:ind w:firstLine="720"/>
      </w:pPr>
      <w:r>
        <w:rPr>
          <w:rFonts w:ascii="Times New Roman" w:hAnsi="Times New Roman"/>
          <w:b w:val="0"/>
          <w:i w:val="0"/>
          <w:color w:val="0F172A"/>
          <w:sz w:val="24"/>
        </w:rPr>
        <w:t>This monitoring desk provides city leadership with cross-jurisdictional visibility over all resident grievances filed across the 89 barangays, identifying systemic issues requiring city intervention.</w:t>
      </w:r>
    </w:p>
    <w:p>
      <w:pPr>
        <w:keepNext/>
        <w:spacing w:before="120" w:after="40"/>
      </w:pPr>
      <w:r>
        <w:rPr>
          <w:rFonts w:ascii="Times New Roman" w:hAnsi="Times New Roman"/>
          <w:b/>
          <w:sz w:val="22"/>
        </w:rPr>
        <w:t>Figure C-23.</w:t>
        <w:br/>
      </w:r>
      <w:r>
        <w:rPr>
          <w:rFonts w:ascii="Times New Roman" w:hAnsi="Times New Roman"/>
          <w:i/>
          <w:sz w:val="22"/>
        </w:rPr>
        <w:t>City-wide Civic Incident Monitoring &amp; Cross-Barangay Oversight</w:t>
      </w:r>
    </w:p>
    <w:p>
      <w:pPr>
        <w:keepNext/>
        <w:spacing w:before="80" w:after="160"/>
      </w:pPr>
      <w:r>
        <w:drawing>
          <wp:inline xmlns:a="http://schemas.openxmlformats.org/drawingml/2006/main" xmlns:pic="http://schemas.openxmlformats.org/drawingml/2006/picture">
            <wp:extent cx="5943600" cy="3737038"/>
            <wp:docPr id="23" name="Picture 23"/>
            <wp:cNvGraphicFramePr>
              <a:graphicFrameLocks noChangeAspect="1"/>
            </wp:cNvGraphicFramePr>
            <a:graphic>
              <a:graphicData uri="http://schemas.openxmlformats.org/drawingml/2006/picture">
                <pic:pic>
                  <pic:nvPicPr>
                    <pic:cNvPr id="0" name="fig_c23_city_reports.png"/>
                    <pic:cNvPicPr/>
                  </pic:nvPicPr>
                  <pic:blipFill>
                    <a:blip r:embed="rId32"/>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Resolution Status Filter Tabs — </w:t>
            </w:r>
            <w:r>
              <w:rPr>
                <w:rFonts w:ascii="Times New Roman" w:hAnsi="Times New Roman"/>
                <w:sz w:val="22"/>
              </w:rPr>
              <w:t>Filter tabs categorizing city grievances across 'Lahat', 'Bago', 'Inaaksyunan', 'Nalutas', and 'Ibinasura'.</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Consolidated City-Wide Incident Records Table — </w:t>
            </w:r>
            <w:r>
              <w:rPr>
                <w:rFonts w:ascii="Times New Roman" w:hAnsi="Times New Roman"/>
                <w:sz w:val="22"/>
              </w:rPr>
              <w:t>Comprehensive table tracking complaint tracking numbers, filing timestamps, categories, and assigned barangays.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Originating Barangay Jurisdiction Identification — </w:t>
            </w:r>
            <w:r>
              <w:rPr>
                <w:rFonts w:ascii="Times New Roman" w:hAnsi="Times New Roman"/>
                <w:sz w:val="22"/>
              </w:rPr>
              <w:t>Jurisdiction column identifying the exact local village where the reported community incident occurred.</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Current Operational Resolution Status Badge — </w:t>
            </w:r>
            <w:r>
              <w:rPr>
                <w:rFonts w:ascii="Times New Roman" w:hAnsi="Times New Roman"/>
                <w:sz w:val="22"/>
              </w:rPr>
              <w:t>Status badge reflecting whether the local barangay has initiated investigation or resolved the resident complaint.</w:t>
            </w:r>
          </w:p>
        </w:tc>
      </w:tr>
    </w:tbl>
    <w:p>
      <w:pPr>
        <w:spacing w:before="0" w:after="240"/>
      </w:pPr>
    </w:p>
    <w:p>
      <w:pPr>
        <w:keepNext/>
        <w:spacing w:before="360" w:after="80"/>
      </w:pPr>
      <w:r>
        <w:rPr>
          <w:rFonts w:ascii="Times New Roman" w:hAnsi="Times New Roman"/>
          <w:b/>
          <w:color w:val="0F172A"/>
          <w:sz w:val="26"/>
        </w:rPr>
        <w:t>Civic News &amp; Public Communications Management</w:t>
      </w:r>
    </w:p>
    <w:p>
      <w:pPr>
        <w:keepNext/>
        <w:spacing w:before="160" w:after="80"/>
      </w:pPr>
      <w:r>
        <w:rPr>
          <w:rFonts w:ascii="Times New Roman" w:hAnsi="Times New Roman"/>
          <w:b/>
          <w:i/>
          <w:sz w:val="24"/>
        </w:rPr>
        <w:t>What the City News Publishing &amp; Public Advisory Broadcast Console Is For</w:t>
      </w:r>
    </w:p>
    <w:p>
      <w:pPr>
        <w:spacing w:line="276" w:lineRule="auto" w:after="160"/>
        <w:ind w:firstLine="720"/>
      </w:pPr>
      <w:r>
        <w:rPr>
          <w:rFonts w:ascii="Times New Roman" w:hAnsi="Times New Roman"/>
          <w:b w:val="0"/>
          <w:i w:val="0"/>
          <w:color w:val="0F172A"/>
          <w:sz w:val="24"/>
        </w:rPr>
        <w:t>The News Publishing console provides the City Public Information Office (PIO) with a centralized desk to compose and publish official public advisories, notices of newly enacted legislation, and emergency guidelines.</w:t>
      </w:r>
    </w:p>
    <w:p>
      <w:pPr>
        <w:keepNext/>
        <w:spacing w:before="120" w:after="40"/>
      </w:pPr>
      <w:r>
        <w:rPr>
          <w:rFonts w:ascii="Times New Roman" w:hAnsi="Times New Roman"/>
          <w:b/>
          <w:sz w:val="22"/>
        </w:rPr>
        <w:t>Figure C-24.</w:t>
        <w:br/>
      </w:r>
      <w:r>
        <w:rPr>
          <w:rFonts w:ascii="Times New Roman" w:hAnsi="Times New Roman"/>
          <w:i/>
          <w:sz w:val="22"/>
        </w:rPr>
        <w:t>City News Publishing &amp; Public Advisory Broadcast Console</w:t>
      </w:r>
    </w:p>
    <w:p>
      <w:pPr>
        <w:keepNext/>
        <w:spacing w:before="80" w:after="160"/>
      </w:pPr>
      <w:r>
        <w:drawing>
          <wp:inline xmlns:a="http://schemas.openxmlformats.org/drawingml/2006/main" xmlns:pic="http://schemas.openxmlformats.org/drawingml/2006/picture">
            <wp:extent cx="5943600" cy="3737038"/>
            <wp:docPr id="24" name="Picture 24"/>
            <wp:cNvGraphicFramePr>
              <a:graphicFrameLocks noChangeAspect="1"/>
            </wp:cNvGraphicFramePr>
            <a:graphic>
              <a:graphicData uri="http://schemas.openxmlformats.org/drawingml/2006/picture">
                <pic:pic>
                  <pic:nvPicPr>
                    <pic:cNvPr id="0" name="fig_c24_news_publishing.png"/>
                    <pic:cNvPicPr/>
                  </pic:nvPicPr>
                  <pic:blipFill>
                    <a:blip r:embed="rId33"/>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Publish New Advisory Action Button ('+ Magdagdag ng Anunsyo') — </w:t>
            </w:r>
            <w:r>
              <w:rPr>
                <w:rFonts w:ascii="Times New Roman" w:hAnsi="Times New Roman"/>
                <w:sz w:val="22"/>
              </w:rPr>
              <w:t>Primary call-to-action button opening the advisory drafting form to publish an official municipal announcement.</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Published Public News &amp; Advisories Table — </w:t>
            </w:r>
            <w:r>
              <w:rPr>
                <w:rFonts w:ascii="Times New Roman" w:hAnsi="Times New Roman"/>
                <w:sz w:val="22"/>
              </w:rPr>
              <w:t>Archive table listing all published public announcements, publication timestamps, and authoring offices.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Advisory Management Controls — </w:t>
            </w:r>
            <w:r>
              <w:rPr>
                <w:rFonts w:ascii="Times New Roman" w:hAnsi="Times New Roman"/>
                <w:sz w:val="22"/>
              </w:rPr>
              <w:t>Action triggers allowing PIO officers to edit broadcast text, manage active status, or unpublish outdated notices.</w:t>
            </w:r>
          </w:p>
        </w:tc>
      </w:tr>
    </w:tbl>
    <w:p>
      <w:pPr>
        <w:spacing w:before="0" w:after="240"/>
      </w:pPr>
    </w:p>
    <w:p>
      <w:pPr>
        <w:keepNext/>
        <w:spacing w:before="360" w:after="80"/>
      </w:pPr>
      <w:r>
        <w:rPr>
          <w:rFonts w:ascii="Times New Roman" w:hAnsi="Times New Roman"/>
          <w:b/>
          <w:color w:val="0F172A"/>
          <w:sz w:val="26"/>
        </w:rPr>
        <w:t>Legislative Reporting &amp; Certified PDF Generation</w:t>
      </w:r>
    </w:p>
    <w:p>
      <w:pPr>
        <w:keepNext/>
        <w:spacing w:before="160" w:after="80"/>
      </w:pPr>
      <w:r>
        <w:rPr>
          <w:rFonts w:ascii="Times New Roman" w:hAnsi="Times New Roman"/>
          <w:b/>
          <w:i/>
          <w:sz w:val="24"/>
        </w:rPr>
        <w:t>What the Official Legislative PDF Report Generator &amp; Export Engine Is For</w:t>
      </w:r>
    </w:p>
    <w:p>
      <w:pPr>
        <w:spacing w:line="276" w:lineRule="auto" w:after="160"/>
        <w:ind w:firstLine="720"/>
      </w:pPr>
      <w:r>
        <w:rPr>
          <w:rFonts w:ascii="Times New Roman" w:hAnsi="Times New Roman"/>
          <w:b w:val="0"/>
          <w:i w:val="0"/>
          <w:color w:val="0F172A"/>
          <w:sz w:val="24"/>
        </w:rPr>
        <w:t>The Legislative Report Generator compiles comprehensive, certified municipal reports. Officials can generate legislative summaries, compliance digests, or category breakdowns and export them as formal PDF documents.</w:t>
      </w:r>
    </w:p>
    <w:p>
      <w:pPr>
        <w:keepNext/>
        <w:spacing w:before="120" w:after="40"/>
      </w:pPr>
      <w:r>
        <w:rPr>
          <w:rFonts w:ascii="Times New Roman" w:hAnsi="Times New Roman"/>
          <w:b/>
          <w:sz w:val="22"/>
        </w:rPr>
        <w:t>Figure C-25.</w:t>
        <w:br/>
      </w:r>
      <w:r>
        <w:rPr>
          <w:rFonts w:ascii="Times New Roman" w:hAnsi="Times New Roman"/>
          <w:i/>
          <w:sz w:val="22"/>
        </w:rPr>
        <w:t>Official Legislative PDF Report Generator &amp; Export Engine</w:t>
      </w:r>
    </w:p>
    <w:p>
      <w:pPr>
        <w:keepNext/>
        <w:spacing w:before="80" w:after="160"/>
      </w:pPr>
      <w:r>
        <w:drawing>
          <wp:inline xmlns:a="http://schemas.openxmlformats.org/drawingml/2006/main" xmlns:pic="http://schemas.openxmlformats.org/drawingml/2006/picture">
            <wp:extent cx="5943600" cy="3737038"/>
            <wp:docPr id="25" name="Picture 25"/>
            <wp:cNvGraphicFramePr>
              <a:graphicFrameLocks noChangeAspect="1"/>
            </wp:cNvGraphicFramePr>
            <a:graphic>
              <a:graphicData uri="http://schemas.openxmlformats.org/drawingml/2006/picture">
                <pic:pic>
                  <pic:nvPicPr>
                    <pic:cNvPr id="0" name="fig_c25_report_generator.png"/>
                    <pic:cNvPicPr/>
                  </pic:nvPicPr>
                  <pic:blipFill>
                    <a:blip r:embed="rId34"/>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Legislative Report Structure Selector Card — </w:t>
            </w:r>
            <w:r>
              <w:rPr>
                <w:rFonts w:ascii="Times New Roman" w:hAnsi="Times New Roman"/>
                <w:sz w:val="22"/>
              </w:rPr>
              <w:t>Selection card allowing administrators to choose from 8 standardized report structures (e.g., List of All Ordinances, Ordinances by Month, Ordinances by Category).</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Multi-Criteria Filter Parameters Panel — </w:t>
            </w:r>
            <w:r>
              <w:rPr>
                <w:rFonts w:ascii="Times New Roman" w:hAnsi="Times New Roman"/>
                <w:sz w:val="22"/>
              </w:rPr>
              <w:t>Configuration panel setting year, date range, status, category, and barangay origin parameters for compilation.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Execute Report Generation Action Button — </w:t>
            </w:r>
            <w:r>
              <w:rPr>
                <w:rFonts w:ascii="Times New Roman" w:hAnsi="Times New Roman"/>
                <w:sz w:val="22"/>
              </w:rPr>
              <w:t>Execution trigger querying the database and generating an on-screen preview of the compiled legislative report.</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Export Formal PDF Document Action Button ('I-download bilang PDF') — </w:t>
            </w:r>
            <w:r>
              <w:rPr>
                <w:rFonts w:ascii="Times New Roman" w:hAnsi="Times New Roman"/>
                <w:sz w:val="22"/>
              </w:rPr>
              <w:t>Action button generating and downloading the certified, print-ready PDF legislative report with official letterhead.</w:t>
            </w:r>
          </w:p>
        </w:tc>
      </w:tr>
    </w:tbl>
    <w:p>
      <w:pPr>
        <w:spacing w:before="0" w:after="240"/>
      </w:pPr>
    </w:p>
    <w:p>
      <w:pPr>
        <w:keepNext/>
        <w:spacing w:before="360" w:after="80"/>
      </w:pPr>
      <w:r>
        <w:rPr>
          <w:rFonts w:ascii="Times New Roman" w:hAnsi="Times New Roman"/>
          <w:b/>
          <w:color w:val="0F172A"/>
          <w:sz w:val="26"/>
        </w:rPr>
        <w:t>Legislative Analytics &amp; Visual Intelligence</w:t>
      </w:r>
    </w:p>
    <w:p>
      <w:pPr>
        <w:keepNext/>
        <w:spacing w:before="160" w:after="80"/>
      </w:pPr>
      <w:r>
        <w:rPr>
          <w:rFonts w:ascii="Times New Roman" w:hAnsi="Times New Roman"/>
          <w:b/>
          <w:i/>
          <w:sz w:val="24"/>
        </w:rPr>
        <w:t>What the Legislative Analytics, Category Breakdown &amp; Compliance Charts Is For</w:t>
      </w:r>
    </w:p>
    <w:p>
      <w:pPr>
        <w:spacing w:line="276" w:lineRule="auto" w:after="160"/>
        <w:ind w:firstLine="720"/>
      </w:pPr>
      <w:r>
        <w:rPr>
          <w:rFonts w:ascii="Times New Roman" w:hAnsi="Times New Roman"/>
          <w:b w:val="0"/>
          <w:i w:val="0"/>
          <w:color w:val="0F172A"/>
          <w:sz w:val="24"/>
        </w:rPr>
        <w:t>The Legislative Analytics suite provides interactive visual intelligence on municipal policy trends. Executives examine category frequency, approval ratios, and village submission rankings to inform future policy development.</w:t>
      </w:r>
    </w:p>
    <w:p>
      <w:pPr>
        <w:keepNext/>
        <w:spacing w:before="120" w:after="40"/>
      </w:pPr>
      <w:r>
        <w:rPr>
          <w:rFonts w:ascii="Times New Roman" w:hAnsi="Times New Roman"/>
          <w:b/>
          <w:sz w:val="22"/>
        </w:rPr>
        <w:t>Figure C-26.</w:t>
        <w:br/>
      </w:r>
      <w:r>
        <w:rPr>
          <w:rFonts w:ascii="Times New Roman" w:hAnsi="Times New Roman"/>
          <w:i/>
          <w:sz w:val="22"/>
        </w:rPr>
        <w:t>Legislative Analytics, Category Breakdown &amp; Compliance Charts</w:t>
      </w:r>
    </w:p>
    <w:p>
      <w:pPr>
        <w:keepNext/>
        <w:spacing w:before="80" w:after="160"/>
      </w:pPr>
      <w:r>
        <w:drawing>
          <wp:inline xmlns:a="http://schemas.openxmlformats.org/drawingml/2006/main" xmlns:pic="http://schemas.openxmlformats.org/drawingml/2006/picture">
            <wp:extent cx="5943600" cy="3737038"/>
            <wp:docPr id="26" name="Picture 26"/>
            <wp:cNvGraphicFramePr>
              <a:graphicFrameLocks noChangeAspect="1"/>
            </wp:cNvGraphicFramePr>
            <a:graphic>
              <a:graphicData uri="http://schemas.openxmlformats.org/drawingml/2006/picture">
                <pic:pic>
                  <pic:nvPicPr>
                    <pic:cNvPr id="0" name="fig_c26_analytics_charts.png"/>
                    <pic:cNvPicPr/>
                  </pic:nvPicPr>
                  <pic:blipFill>
                    <a:blip r:embed="rId35"/>
                    <a:stretch>
                      <a:fillRect/>
                    </a:stretch>
                  </pic:blipFill>
                  <pic:spPr>
                    <a:xfrm>
                      <a:off x="0" y="0"/>
                      <a:ext cx="5943600" cy="3737038"/>
                    </a:xfrm>
                    <a:prstGeom prst="rect"/>
                  </pic:spPr>
                </pic:pic>
              </a:graphicData>
            </a:graphic>
          </wp:inline>
        </w:drawing>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rPr>
          <w:tblHeader/>
          <w:cantSplit/>
        </w:trPr>
        <w:tc>
          <w:tcPr>
            <w:tcW w:type="dxa" w:w="648"/>
            <w:shd w:fill="F1F5F9"/>
            <w:tcMar>
              <w:top w:w="120" w:type="dxa"/>
              <w:bottom w:w="120" w:type="dxa"/>
              <w:left w:w="100" w:type="dxa"/>
              <w:right w:w="100" w:type="dxa"/>
            </w:tcMar>
          </w:tcPr>
          <w:p>
            <w:pPr>
              <w:jc w:val="center"/>
            </w:pPr>
            <w:r>
              <w:rPr>
                <w:rFonts w:ascii="Times New Roman" w:hAnsi="Times New Roman"/>
                <w:b/>
                <w:sz w:val="22"/>
              </w:rPr>
              <w:t>No.</w:t>
            </w:r>
          </w:p>
        </w:tc>
        <w:tc>
          <w:tcPr>
            <w:tcW w:type="dxa" w:w="8712"/>
            <w:shd w:fill="F1F5F9"/>
            <w:tcMar>
              <w:top w:w="120" w:type="dxa"/>
              <w:bottom w:w="120" w:type="dxa"/>
              <w:left w:w="140" w:type="dxa"/>
              <w:right w:w="140" w:type="dxa"/>
            </w:tcMar>
          </w:tcPr>
          <w:p>
            <w:r>
              <w:rPr>
                <w:rFonts w:ascii="Times New Roman" w:hAnsi="Times New Roman"/>
                <w:b/>
                <w:sz w:val="22"/>
              </w:rPr>
              <w:t>Field, Control, or Area — Detailed Technical Description</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1</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Legislative Year Filter Dropdown Selector — </w:t>
            </w:r>
            <w:r>
              <w:rPr>
                <w:rFonts w:ascii="Times New Roman" w:hAnsi="Times New Roman"/>
                <w:sz w:val="22"/>
              </w:rPr>
              <w:t>Dropdown menu filtering analytical datasets and charts by calendar or legislative year.</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2</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Executive Key Performance Indicators Summary Banner — </w:t>
            </w:r>
            <w:r>
              <w:rPr>
                <w:rFonts w:ascii="Times New Roman" w:hAnsi="Times New Roman"/>
                <w:sz w:val="22"/>
              </w:rPr>
              <w:t>Summary banner tracking city-wide legislative output, enactment velocity, and barangay participation metrics.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3</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Policy Category Distribution Breakdown Chart — </w:t>
            </w:r>
            <w:r>
              <w:rPr>
                <w:rFonts w:ascii="Times New Roman" w:hAnsi="Times New Roman"/>
                <w:sz w:val="22"/>
              </w:rPr>
              <w:t>Interactive bar chart visualizing the frequency of enacted ordinances across civic policy categories.</w:t>
            </w:r>
          </w:p>
        </w:tc>
      </w:tr>
      <w:tr>
        <w:trPr>
          <w:cantSplit/>
        </w:trPr>
        <w:tc>
          <w:tcPr>
            <w:tcW w:type="dxa" w:w="648"/>
            <w:tcMar>
              <w:top w:w="100" w:type="dxa"/>
              <w:bottom w:w="100" w:type="dxa"/>
              <w:left w:w="100" w:type="dxa"/>
              <w:right w:w="100" w:type="dxa"/>
            </w:tcMar>
          </w:tcPr>
          <w:p>
            <w:pPr>
              <w:spacing w:before="40" w:after="40"/>
              <w:jc w:val="center"/>
            </w:pPr>
            <w:r>
              <w:rPr>
                <w:rFonts w:ascii="Times New Roman" w:hAnsi="Times New Roman"/>
                <w:b/>
                <w:sz w:val="22"/>
              </w:rPr>
              <w:t>4</w:t>
            </w:r>
          </w:p>
        </w:tc>
        <w:tc>
          <w:tcPr>
            <w:tcW w:type="dxa" w:w="8712"/>
            <w:tcMar>
              <w:top w:w="100" w:type="dxa"/>
              <w:bottom w:w="100" w:type="dxa"/>
              <w:left w:w="140" w:type="dxa"/>
              <w:right w:w="140" w:type="dxa"/>
            </w:tcMar>
          </w:tcPr>
          <w:p>
            <w:pPr>
              <w:spacing w:line="276" w:lineRule="auto" w:before="40" w:after="40"/>
            </w:pPr>
            <w:r>
              <w:rPr>
                <w:rFonts w:ascii="Times New Roman" w:hAnsi="Times New Roman"/>
                <w:b/>
                <w:sz w:val="22"/>
              </w:rPr>
              <w:t xml:space="preserve">Legislative Status Breakdown Distribution Chart — </w:t>
            </w:r>
            <w:r>
              <w:rPr>
                <w:rFonts w:ascii="Times New Roman" w:hAnsi="Times New Roman"/>
                <w:sz w:val="22"/>
              </w:rPr>
              <w:t>Donut/pie chart illustrating the proportion of enacted ordinances versus pending proposals and rejected measures.</w:t>
            </w:r>
          </w:p>
        </w:tc>
      </w:tr>
    </w:tbl>
    <w:p>
      <w:pPr>
        <w:spacing w:before="0" w:after="240"/>
      </w:pPr>
    </w:p>
    <w:p>
      <w:pPr>
        <w:keepNext/>
        <w:spacing w:before="480" w:after="120"/>
      </w:pPr>
      <w:r>
        <w:rPr>
          <w:rFonts w:ascii="Times New Roman" w:hAnsi="Times New Roman"/>
          <w:b/>
          <w:sz w:val="26"/>
        </w:rPr>
        <w:t>Summary Checklist of All User Manual Figures</w:t>
      </w:r>
    </w:p>
    <w:p>
      <w:pPr>
        <w:spacing w:line="276" w:lineRule="auto" w:after="200"/>
        <w:ind w:firstLine="720"/>
      </w:pPr>
      <w:r>
        <w:rPr>
          <w:rFonts w:ascii="Times New Roman" w:hAnsi="Times New Roman"/>
          <w:b w:val="0"/>
          <w:i w:val="0"/>
          <w:color w:val="0F172A"/>
          <w:sz w:val="24"/>
        </w:rPr>
        <w:t>The following master index summarizes all twenty-six (26) user manual figures documented in Appendix C, including their target user roles and primary functional components: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tblHeader/>
          <w:cantSplit/>
        </w:trPr>
        <w:tc>
          <w:tcPr>
            <w:tcW w:type="dxa" w:w="1296"/>
            <w:shd w:fill="F1F5F9"/>
            <w:tcMar>
              <w:top w:w="120" w:type="dxa"/>
              <w:bottom w:w="120" w:type="dxa"/>
              <w:left w:w="100" w:type="dxa"/>
              <w:right w:w="100" w:type="dxa"/>
            </w:tcMar>
          </w:tcPr>
          <w:p>
            <w:pPr>
              <w:jc w:val="center"/>
            </w:pPr>
            <w:r>
              <w:rPr>
                <w:rFonts w:ascii="Times New Roman" w:hAnsi="Times New Roman"/>
                <w:b/>
                <w:sz w:val="20"/>
              </w:rPr>
              <w:t>Figure Number</w:t>
            </w:r>
          </w:p>
        </w:tc>
        <w:tc>
          <w:tcPr>
            <w:tcW w:type="dxa" w:w="3024"/>
            <w:shd w:fill="F1F5F9"/>
            <w:tcMar>
              <w:top w:w="120" w:type="dxa"/>
              <w:bottom w:w="120" w:type="dxa"/>
              <w:left w:w="100" w:type="dxa"/>
              <w:right w:w="100" w:type="dxa"/>
            </w:tcMar>
          </w:tcPr>
          <w:p>
            <w:r>
              <w:rPr>
                <w:rFonts w:ascii="Times New Roman" w:hAnsi="Times New Roman"/>
                <w:b/>
                <w:sz w:val="20"/>
              </w:rPr>
              <w:t>Document Section &amp; Form Name</w:t>
            </w:r>
          </w:p>
        </w:tc>
        <w:tc>
          <w:tcPr>
            <w:tcW w:type="dxa" w:w="1872"/>
            <w:shd w:fill="F1F5F9"/>
            <w:tcMar>
              <w:top w:w="120" w:type="dxa"/>
              <w:bottom w:w="120" w:type="dxa"/>
              <w:left w:w="100" w:type="dxa"/>
              <w:right w:w="100" w:type="dxa"/>
            </w:tcMar>
          </w:tcPr>
          <w:p>
            <w:r>
              <w:rPr>
                <w:rFonts w:ascii="Times New Roman" w:hAnsi="Times New Roman"/>
                <w:b/>
                <w:sz w:val="20"/>
              </w:rPr>
              <w:t>Primary Target Role</w:t>
            </w:r>
          </w:p>
        </w:tc>
        <w:tc>
          <w:tcPr>
            <w:tcW w:type="dxa" w:w="3168"/>
            <w:shd w:fill="F1F5F9"/>
            <w:tcMar>
              <w:top w:w="120" w:type="dxa"/>
              <w:bottom w:w="120" w:type="dxa"/>
              <w:left w:w="100" w:type="dxa"/>
              <w:right w:w="100" w:type="dxa"/>
            </w:tcMar>
          </w:tcPr>
          <w:p>
            <w:r>
              <w:rPr>
                <w:rFonts w:ascii="Times New Roman" w:hAnsi="Times New Roman"/>
                <w:b/>
                <w:sz w:val="20"/>
              </w:rPr>
              <w:t>Key Components Covered</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Public Welcome Portal &amp; Legislative Search Gateway</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Public / Citizens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Hero Ordinance Search, Search Execution, Ask AI Legal Assistant, Interactive 3D Ordinance Archive Canvas</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Secure Multi-Role Portal Sign-In &amp; Authentication</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All Users / Barangay Officials / LGU Superadmins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Official Email Address, Encrypted Password, Sign In Primary Action CTA Button, Quick Role Preset Access Chips</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C-3</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Public Ordinance Explorer &amp; Multi-Criteria Legal Filtering</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Citizens / Public Users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Full-Text Legal Search, Jurisdiction Scope Segmented Switcher, Policy Category Filter, Legislative Enactment Year</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C-4</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Codified Ordinance Full Text &amp; Articles Viewer</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Citizens / Legal Researchers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Official Ordinance Title &amp; Resolution Number, Legislative Metadata Bar, Executive Legal Summary &amp; Plain-Language Digest, View Official Scanned PDF</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C-5</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Official Legislative PDF Document Reader Modal</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Citizens / Legal Clerks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Embedded Digital PDF Document Canvas, Direct PDF File Download, Open in Dedicated Full-Screen Tab Button, Modal Dismiss / Close Action (Esc)</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C-6</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AI Legal Assistant Interactive Inquiry Console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Citizens / Public Users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Preset Quick Action Inquiry Buttons, Bilingual Question, Send Inquiry Execution, AI Legal Analysis &amp; Verified Citation Feed</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C-7</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Citizen Community Incident &amp; Violation Reporting Form</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Residents / Whistleblowers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Emergency Hotline Numbers Banner, Incident Subject / Title, Assigned Barangay Jurisdiction, Incident Category Selector</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C-8</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Community Report Submission Confirmation &amp; Incident Reference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Residents / Citizens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Official Submission Confirmation Alert Banner, Draft Auto-Save Status Bar, Reset &amp; Clear Form</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C-9</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Civic News, Public Advisories &amp; Legislative Announcements Feed</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Public / Citizens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Official LGU Public Authority Badge, Official Executive Advisory Card, Publication Date &amp; Civic Category Badge, Executive Directive Content Narrative</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C-10</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Barangay Executive Governance Dashboard</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Barangay Captains / Barangay Administrators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Submit New Ordinance Quick, Local Enacted Ordinances Metric Card, Pending Legislative Proposals Metric Card, Active Community Incident Reports Metric Card</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C-11</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Barangay Ordinance Management &amp; Status Tracking Roster</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Barangay Secretaries / Councilors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Legislative Status Filter Tabs, Create / Propose New Ordinance, Local Ordinance Keyword Search Input, Barangay Ordinance Records Table</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C-12</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Barangay Ordinance Proposal &amp; Legislative Drafting Modal</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Barangay Secretaries / Committee Chairs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Proposed Ordinance Title, Legislative Category, Save as Draft, Submit to LGU for Approval Button</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C-13</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AI-Powered Ordinance PDF Extraction &amp; Auto-Structuring Suite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Barangay Secretaries / Digitization Clerks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Scanned Document PDF / Image File Dropzone, Execute Multimodal AI Parsing Button</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C-14</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Barangay Community Incident Reports &amp; Grievance Ledger</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Barangay Peace &amp; Order Officers / Tanods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Status Filter Tabs, Incident Reports Records Table, Inline Status Triage &amp; Resolution Control</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C-15</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Barangay Incident Triage &amp; Resolution Management</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Barangay Desk Officers / Kagawads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Target Incident Report Record Row, Reporter Information &amp; Anonymity Verification, Current Report Life-Cycle Status Badge, Official Status Mutation &amp; Triage Selector</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C-16</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Barangay Legislative Reporting &amp; Volume Analytics</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Barangay Captains / Council Secretaries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Report Type Structure Selector Card, Multi-Criteria Filter Parameters Panel, Generate Localized Report</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C-17</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LGU Executive Governance Dashboard &amp; Legislative Pulse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City Mayor / SP Presiding Officer / SuperAdmins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City-Wide KPI Cards, Ordinance Status Life-Cycle Summary Grid, Recent City-Wide Legislative Activity Log</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C-18</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LGU Central Legislative Repository &amp; City Ordinance Archive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Sangguniang Panlungsod Legal Clerks / SuperAdmins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Accessible Status Filter Tabs with Live Record Counters, Add City Ordinance, Instant City Ordinance Repository Search Input, City-Wide Ordinance Repository Master Table</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C-19</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Legislative Review, Enactment &amp; Official Approval Workflow</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Sangguniang Panlungsod Review Committee / City Council</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Pending Ordinance Title &amp; Legal Enactment Notice, Official Enactment / Approval ('Aprubahan'), Dismiss Review / Return Button ('Bumalik')</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C-20</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LGU Legislative PDF AI Digitization &amp; Ingestion Suite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City Legal Codifiers / Archival Staff</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Official Scanned Resolution Upload Dropzone, Multimodal AI Parsing Execution Button</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C-21</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Official User Accounts &amp; Role-Based Access Control (RBAC) Management</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Super Administrators / IT Governance</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Register New Official ('Magdagdag ng Opisyal'), Official Directory Table with Security Badges, Role-Based Privilege Badges, Assigned Territorial Barangay Jurisdiction Tag</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C-22</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89-Barangay Municipal Directory &amp; Accreditation Roster</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LGU Executive Staff / DILG Officers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Barangay Participation &amp; Onboarding Indicators, Barangay Search &amp; Filter, Register New Barangay, Barangay Directory Table with Ordinance &amp; Report Counts</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C-23</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City-wide Civic Incident Monitoring &amp; Cross-Barangay Oversight</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City Mayor's Action Center / CDRRMO / SuperAdmins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Resolution Status Filter Tabs, Consolidated City-Wide Incident Records Table, Originating Barangay Jurisdiction Identification, Current Operational Resolution Status Badge</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C-24</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City News Publishing &amp; Public Advisory Broadcast Console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City Public Information Office (PIO) / SuperAdmins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Publish New Advisory ('+ Magdagdag ng Anunsyo'), Published Public News &amp; Advisories Table, Advisory Management Controls</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C-25</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Official Legislative PDF Report Generator &amp; Export Engine</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Sangguniang Panlungsod Secretariat / Legal Researchers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Legislative Report Structure Selector Card, Multi-Criteria Filter Parameters Panel, Execute Report Generation, Export Formal PDF Document ('I-download bilang PDF')</w:t>
            </w:r>
          </w:p>
        </w:tc>
      </w:tr>
      <w:tr>
        <w:trPr>
          <w:cantSplit/>
        </w:trPr>
        <w:tc>
          <w:tcPr>
            <w:tcW w:type="dxa" w:w="1296"/>
            <w:tcMar>
              <w:top w:w="90" w:type="dxa"/>
              <w:bottom w:w="90" w:type="dxa"/>
              <w:left w:w="90" w:type="dxa"/>
              <w:right w:w="90" w:type="dxa"/>
            </w:tcMar>
          </w:tcPr>
          <w:p>
            <w:pPr>
              <w:spacing w:line="276" w:lineRule="auto" w:before="40" w:after="40"/>
              <w:jc w:val="center"/>
            </w:pPr>
            <w:r>
              <w:rPr>
                <w:rFonts w:ascii="Times New Roman" w:hAnsi="Times New Roman"/>
                <w:b/>
                <w:sz w:val="19"/>
              </w:rPr>
              <w:t>Figure C-26</w:t>
            </w:r>
          </w:p>
        </w:tc>
        <w:tc>
          <w:tcPr>
            <w:tcW w:type="dxa" w:w="3024"/>
            <w:tcMar>
              <w:top w:w="90" w:type="dxa"/>
              <w:bottom w:w="90" w:type="dxa"/>
              <w:left w:w="90" w:type="dxa"/>
              <w:right w:w="90" w:type="dxa"/>
            </w:tcMar>
          </w:tcPr>
          <w:p>
            <w:pPr>
              <w:spacing w:line="276" w:lineRule="auto" w:before="40" w:after="40"/>
            </w:pPr>
            <w:r>
              <w:rPr>
                <w:rFonts w:ascii="Times New Roman" w:hAnsi="Times New Roman"/>
                <w:sz w:val="19"/>
              </w:rPr>
              <w:t>Legislative Analytics, Category Breakdown &amp; Compliance Charts</w:t>
            </w:r>
          </w:p>
        </w:tc>
        <w:tc>
          <w:tcPr>
            <w:tcW w:type="dxa" w:w="1872"/>
            <w:tcMar>
              <w:top w:w="90" w:type="dxa"/>
              <w:bottom w:w="90" w:type="dxa"/>
              <w:left w:w="90" w:type="dxa"/>
              <w:right w:w="90" w:type="dxa"/>
            </w:tcMar>
          </w:tcPr>
          <w:p>
            <w:pPr>
              <w:spacing w:line="276" w:lineRule="auto" w:before="40" w:after="40"/>
            </w:pPr>
            <w:r>
              <w:rPr>
                <w:rFonts w:ascii="Times New Roman" w:hAnsi="Times New Roman"/>
                <w:sz w:val="19"/>
              </w:rPr>
              <w:t>City Mayor / SP Committee on Laws / SuperAdmins</w:t>
            </w:r>
          </w:p>
        </w:tc>
        <w:tc>
          <w:tcPr>
            <w:tcW w:type="dxa" w:w="3168"/>
            <w:tcMar>
              <w:top w:w="90" w:type="dxa"/>
              <w:bottom w:w="90" w:type="dxa"/>
              <w:left w:w="90" w:type="dxa"/>
              <w:right w:w="90" w:type="dxa"/>
            </w:tcMar>
          </w:tcPr>
          <w:p>
            <w:pPr>
              <w:spacing w:line="276" w:lineRule="auto" w:before="40" w:after="40"/>
            </w:pPr>
            <w:r>
              <w:rPr>
                <w:rFonts w:ascii="Times New Roman" w:hAnsi="Times New Roman"/>
                <w:sz w:val="19"/>
              </w:rPr>
              <w:t>Legislative Year Filter Selector, Executive Key Performance Indicators Summary Banner, Policy Category Distribution Breakdown Chart, Legislative Status Breakdown Distribution Chart</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8"/>
      </w:rPr>
      <w:t>APPENDIX C: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