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3A94" w14:textId="77777777" w:rsidR="00917593" w:rsidRDefault="002F572D">
      <w:pPr>
        <w:pStyle w:val="FirstParagraph"/>
      </w:pPr>
      <w:r>
        <w:t>Department of Science, Technology, Engineering, and Public Policy</w:t>
      </w:r>
      <w:r>
        <w:br/>
        <w:t>University College London</w:t>
      </w:r>
    </w:p>
    <w:p w14:paraId="5B1BED19" w14:textId="77777777" w:rsidR="00917593" w:rsidRDefault="002F572D">
      <w:pPr>
        <w:pStyle w:val="BodyText"/>
      </w:pPr>
      <w:r>
        <w:t>Dear Faculty Search Committee,</w:t>
      </w:r>
    </w:p>
    <w:p w14:paraId="5963ADCC" w14:textId="77777777" w:rsidR="00917593" w:rsidRDefault="002F572D">
      <w:pPr>
        <w:pStyle w:val="BodyText"/>
      </w:pPr>
      <w:r>
        <w:t>I am writing to express my interest in the position of Lecturer in Digital Technologies and Policy with the Department of Science, Technology, Engineering, and Public Policy (STEaPP) at University College London. I am currently an Assistant Professor of In</w:t>
      </w:r>
      <w:r>
        <w:t>ternational Affairs in the Bush School of Government and Public Service at Texas A&amp;M University. My interdisciplinary PhD in Technology, Management, and Policy from MIT’s Engineering Systems Division combines computer science, international political econo</w:t>
      </w:r>
      <w:r>
        <w:t>my, and operations strategy. My research explores the political economy of Internet infrastructure and security. Building on extensive fieldwork, I explain and evaluate how operational epistemic communities managing the Internet’s infrastructure create and</w:t>
      </w:r>
      <w:r>
        <w:t xml:space="preserve"> sustain the knowledge and rules necessary to keep pace with technological change, emerging security threats, and demands for diverse online services. The role these communities play in Internet governance and maintaining a resilient Internet infrastructur</w:t>
      </w:r>
      <w:r>
        <w:t>e has been under-explored in both literature and practice. The insights from my research are essential to systematically and effectively integrate the technical and operational knowledge these communities generate about Internet resilience into evidence-ba</w:t>
      </w:r>
      <w:r>
        <w:t>sed policy making and the global governance system. Over the past ten years, my engagement with these communities has created regional and global impact, including helping to build cybersecurity communities in developing regions and addressing cybersecurit</w:t>
      </w:r>
      <w:r>
        <w:t>y data governance challenges.</w:t>
      </w:r>
    </w:p>
    <w:p w14:paraId="600F6384" w14:textId="77777777" w:rsidR="00917593" w:rsidRDefault="002F572D">
      <w:pPr>
        <w:pStyle w:val="BodyText"/>
      </w:pPr>
      <w:r>
        <w:t>Integrating research, engagement, and teaching is key to understanding contemporary and emerging challenges facing Internet infrastructure governance and security, and for preparing the next generation of sociotechnical policy</w:t>
      </w:r>
      <w:r>
        <w:t xml:space="preserve"> analysts and researchers to solve global challenges such as cybercrime, platform governance, and improving Internet infrastructure in developing regions. Over the past four years, I have successfully led the Cyber Policy Concentration (CPC) in my departme</w:t>
      </w:r>
      <w:r>
        <w:t>nt’s Masters of International Affairs, single-handedly designing, developing, and delivering this advanced specialization from scratch.</w:t>
      </w:r>
    </w:p>
    <w:p w14:paraId="4969BB2F" w14:textId="77777777" w:rsidR="00917593" w:rsidRDefault="002F572D">
      <w:pPr>
        <w:pStyle w:val="BodyText"/>
      </w:pPr>
      <w:r>
        <w:t>My current and emerging research, ongoing industry and policy engagement, and well-developed cyber policy curriculum are</w:t>
      </w:r>
      <w:r>
        <w:t xml:space="preserve"> exceptionally well-suited to STEaPP and the Digital Technologies Policy Lab (DTPL). My current work on cybersecurity and Internet infrastructure governance is already a very good fit with ongoing work in the DTPL and the PETRAS National Centre of Excellen</w:t>
      </w:r>
      <w:r>
        <w:t>ce. My current projects complement this work, focusing on new dimensions of Internet infrastructure governance not yet explored in the DTPL, such as the politics of submarine cables critical to Internet communications, and the relationships between technol</w:t>
      </w:r>
      <w:r>
        <w:t>ogy transfers, Internet shutdowns, and autocratic regimes. My ongoing research evaluating Internet infrastructure development in Africa and Latin America complements broader work in STEaPP’s infrastructure and development research clusters. I am also devel</w:t>
      </w:r>
      <w:r>
        <w:t xml:space="preserve">oping two new projects on co-regulatory approaches to combating disinformation and data governance that would make a novel contribution to STEaPP’s </w:t>
      </w:r>
      <w:r>
        <w:lastRenderedPageBreak/>
        <w:t>research portfolio. My teaching portfolio is also extremely well suited for STEaPP and can be easily adapted</w:t>
      </w:r>
      <w:r>
        <w:t xml:space="preserve"> for its education programmes. I designed the CPC explicitly for social scientists, from diverse disciplinary backgrounds, interested in </w:t>
      </w:r>
      <w:r>
        <w:rPr>
          <w:i/>
          <w:iCs/>
        </w:rPr>
        <w:t>developing rigorous technical and policy understandings of digital technology issues</w:t>
      </w:r>
      <w:r>
        <w:t>.</w:t>
      </w:r>
    </w:p>
    <w:p w14:paraId="783EDA0E" w14:textId="77777777" w:rsidR="00917593" w:rsidRDefault="002F572D">
      <w:pPr>
        <w:pStyle w:val="BodyText"/>
      </w:pPr>
      <w:r>
        <w:t>My intrinsically interdisciplinar</w:t>
      </w:r>
      <w:r>
        <w:t>y portfolio is a rare and valuable complement to STEaPP’s mission and programmes, and I believe STEaPP is where I can make the most impact, enhancing my research through collaboration with others, and continuing to innovate in my teaching and external enga</w:t>
      </w:r>
      <w:r>
        <w:t>gement programmes. The next sections describe how I meet the personal specifications for this role in more depth.</w:t>
      </w:r>
    </w:p>
    <w:p w14:paraId="1E403F14" w14:textId="77777777" w:rsidR="00917593" w:rsidRDefault="002F572D">
      <w:pPr>
        <w:pStyle w:val="BodyText"/>
      </w:pPr>
      <w:r>
        <w:rPr>
          <w:b/>
          <w:bCs/>
        </w:rPr>
        <w:t>Research</w:t>
      </w:r>
      <w:r>
        <w:t xml:space="preserve"> My research strategy has always been interdisciplinary. I started my academic life in computer science as a software engineer, focusi</w:t>
      </w:r>
      <w:r>
        <w:t>ng on programming languages and network security, but soon realized technical knowledge alone was insufficient to understand the complex sociotechnical dynamics shaping Internet development and cybersecurity challenges. My doctoral research at MIT combined</w:t>
      </w:r>
      <w:r>
        <w:t xml:space="preserve"> international political economy, operations strategy, and computer science to conduct extensive fieldwork examining on-the-ground practices and policies in Internet infrastructure management and cybersecurity. I funded the last year of my dissertation wor</w:t>
      </w:r>
      <w:r>
        <w:t>k as the primary author of a Google Faculty Research Award ($85,000).</w:t>
      </w:r>
    </w:p>
    <w:p w14:paraId="21C09CA3" w14:textId="77777777" w:rsidR="00917593" w:rsidRDefault="002F572D">
      <w:pPr>
        <w:pStyle w:val="BodyText"/>
      </w:pPr>
      <w:r>
        <w:t>As a Postdoctoral Cybersecurity Fellow at Stanford, I won two grants (totaling $125,000) evaluating the informal collaboration between global cybersecurity communities and law enforcemen</w:t>
      </w:r>
      <w:r>
        <w:t>t. I developed and executed the research plan; managed budgets and research assistants; and ran workshops and focus groups bringing together cybersecurity professionals, law enforcement, lawyers, and policymakers in the US, Africa, and Europe. This work co</w:t>
      </w:r>
      <w:r>
        <w:t xml:space="preserve">ncluded with a confidential </w:t>
      </w:r>
      <w:r>
        <w:rPr>
          <w:i/>
          <w:iCs/>
        </w:rPr>
        <w:t>Combined Capabilities</w:t>
      </w:r>
      <w:r>
        <w:t xml:space="preserve"> report evaluating the credibility and legitimacy challenges facing collaborations between cybersecurity “trust groups” and domestic and international law enforcement. The report continues to be requested by</w:t>
      </w:r>
      <w:r>
        <w:t xml:space="preserve"> partners in private threat intelligence and law enforcement. In collaboration with colleagues at the </w:t>
      </w:r>
      <w:hyperlink r:id="rId7">
        <w:r>
          <w:rPr>
            <w:rStyle w:val="Hyperlink"/>
          </w:rPr>
          <w:t>Shadowserver Foundation</w:t>
        </w:r>
      </w:hyperlink>
      <w:r>
        <w:t>, we are continuing this work in a report for Europol. This report documents and e</w:t>
      </w:r>
      <w:r>
        <w:t>valuates the technical, legal, and coordination challenges during the Avalanche botnet takedown, one of the largest concerted applications of Mutual Legal Assistance Treaties to date.</w:t>
      </w:r>
    </w:p>
    <w:p w14:paraId="7545DFCB" w14:textId="77777777" w:rsidR="00917593" w:rsidRDefault="002F572D">
      <w:pPr>
        <w:pStyle w:val="BodyText"/>
      </w:pPr>
      <w:r>
        <w:t>My research has three common themes, applied to digital technologies pol</w:t>
      </w:r>
      <w:r>
        <w:t>icy and governance challenges:</w:t>
      </w:r>
    </w:p>
    <w:p w14:paraId="14A772FF" w14:textId="77777777" w:rsidR="00917593" w:rsidRDefault="002F572D">
      <w:pPr>
        <w:pStyle w:val="BodyText"/>
      </w:pPr>
      <w:r>
        <w:t>the coproduction of expert knowledge,</w:t>
      </w:r>
    </w:p>
    <w:p w14:paraId="76F36B0A" w14:textId="77777777" w:rsidR="00917593" w:rsidRDefault="002F572D">
      <w:pPr>
        <w:pStyle w:val="BodyText"/>
      </w:pPr>
      <w:r>
        <w:t>how it facilitates the kinds of adaptation necessary to keep pace with changes in technology and emerging security threats, and, importantly,</w:t>
      </w:r>
    </w:p>
    <w:p w14:paraId="735E46A1" w14:textId="77777777" w:rsidR="00917593" w:rsidRDefault="002F572D">
      <w:pPr>
        <w:pStyle w:val="BodyText"/>
      </w:pPr>
      <w:r>
        <w:t>how to integrate expert knowledge into policy</w:t>
      </w:r>
      <w:r>
        <w:t xml:space="preserve"> development, regulatory design, and global governance processes.</w:t>
      </w:r>
    </w:p>
    <w:p w14:paraId="02C89331" w14:textId="77777777" w:rsidR="00917593" w:rsidRDefault="002F572D">
      <w:pPr>
        <w:pStyle w:val="BodyText"/>
      </w:pPr>
      <w:r>
        <w:t xml:space="preserve">My </w:t>
      </w:r>
      <w:hyperlink r:id="rId8">
        <w:r>
          <w:rPr>
            <w:rStyle w:val="Hyperlink"/>
          </w:rPr>
          <w:t>chapter on planned adaptation</w:t>
        </w:r>
      </w:hyperlink>
      <w:r>
        <w:t xml:space="preserve"> in </w:t>
      </w:r>
      <w:hyperlink r:id="rId9">
        <w:r>
          <w:rPr>
            <w:rStyle w:val="Hyperlink"/>
          </w:rPr>
          <w:t>Decision Making Under Deep Uncertainty</w:t>
        </w:r>
      </w:hyperlink>
      <w:r>
        <w:t xml:space="preserve"> presents a generalized model for evaluating ad hoc and systemic planned adaptation in the regulation </w:t>
      </w:r>
      <w:r>
        <w:lastRenderedPageBreak/>
        <w:t xml:space="preserve">of complex engineering systems. In collaboration with Dr. I. Brass, </w:t>
      </w:r>
      <w:hyperlink r:id="rId10">
        <w:r>
          <w:rPr>
            <w:rStyle w:val="Hyperlink"/>
          </w:rPr>
          <w:t>our article</w:t>
        </w:r>
      </w:hyperlink>
      <w:r>
        <w:t xml:space="preserve"> in </w:t>
      </w:r>
      <w:r>
        <w:rPr>
          <w:i/>
          <w:iCs/>
        </w:rPr>
        <w:t>Regulation &amp; Governance</w:t>
      </w:r>
      <w:r>
        <w:t xml:space="preserve"> presents a planned adaptive regulatory framework for IoT security regulation and standards. My </w:t>
      </w:r>
      <w:hyperlink r:id="rId11">
        <w:r>
          <w:rPr>
            <w:rStyle w:val="Hyperlink"/>
          </w:rPr>
          <w:t>article</w:t>
        </w:r>
      </w:hyperlink>
      <w:r>
        <w:t xml:space="preserve"> in the </w:t>
      </w:r>
      <w:r>
        <w:rPr>
          <w:i/>
          <w:iCs/>
        </w:rPr>
        <w:t>Journal of Cyber Policy</w:t>
      </w:r>
      <w:r>
        <w:t xml:space="preserve"> (featured in a </w:t>
      </w:r>
      <w:hyperlink r:id="rId12">
        <w:r>
          <w:rPr>
            <w:rStyle w:val="Hyperlink"/>
          </w:rPr>
          <w:t>panel at Chatham House</w:t>
        </w:r>
      </w:hyperlink>
      <w:r>
        <w:t xml:space="preserve"> in December 2019) comparatively evaluates consolidation in dig</w:t>
      </w:r>
      <w:r>
        <w:t xml:space="preserve">ital platforms, highlighting how governance and accountability strategies employed by communities in the Internet’s infrastructure preclude the predatory practices typically associated with platform consolidation. </w:t>
      </w:r>
      <w:r>
        <w:rPr>
          <w:i/>
          <w:iCs/>
        </w:rPr>
        <w:t xml:space="preserve">In an article currently under review with </w:t>
      </w:r>
      <w:r>
        <w:rPr>
          <w:i/>
          <w:iCs/>
        </w:rPr>
        <w:t>International Organization (included as a writing sample in this application), my empirical and theory contributions to the Internet governance and epistemic communities literature provides novel insights into how to integrate critical knowledge produced b</w:t>
      </w:r>
      <w:r>
        <w:rPr>
          <w:i/>
          <w:iCs/>
        </w:rPr>
        <w:t>y the regional Internet registries and the routing community into the global governance system.</w:t>
      </w:r>
      <w:r>
        <w:t xml:space="preserve"> I believe my core research interests are exceptionally aligned with STEaPP’s mission to mobilise deep expertise in complex engineering systems and policy to sol</w:t>
      </w:r>
      <w:r>
        <w:t>ve wicked global policy problems.</w:t>
      </w:r>
    </w:p>
    <w:p w14:paraId="63C36649" w14:textId="77777777" w:rsidR="00917593" w:rsidRDefault="002F572D">
      <w:pPr>
        <w:pStyle w:val="BodyText"/>
      </w:pPr>
      <w:r>
        <w:t xml:space="preserve">To coordinate across recently funded research projects, I set up the Internet Infrastructure and Policy Research Group (IIPRG) </w:t>
      </w:r>
      <w:r>
        <w:rPr>
          <w:strike/>
        </w:rPr>
        <w:t>in the Department of International Affairs</w:t>
      </w:r>
      <w:r>
        <w:t>, where I supervise four masters-level student resear</w:t>
      </w:r>
      <w:r>
        <w:t>chers. My IIPRG projects include</w:t>
      </w:r>
    </w:p>
    <w:p w14:paraId="5A37F428" w14:textId="77777777" w:rsidR="00917593" w:rsidRDefault="002F572D">
      <w:pPr>
        <w:pStyle w:val="BodyText"/>
      </w:pPr>
      <w:r>
        <w:t>the politics and governance of submarine cables critical to Internet communication;</w:t>
      </w:r>
    </w:p>
    <w:p w14:paraId="2F9E9A1E" w14:textId="77777777" w:rsidR="00917593" w:rsidRDefault="002F572D">
      <w:pPr>
        <w:pStyle w:val="BodyText"/>
      </w:pPr>
      <w:r>
        <w:t>mix-methods modeling of the relationship between types of autocracy and Internet shutdowns, with technology transfers as an intervening var</w:t>
      </w:r>
      <w:r>
        <w:t>iable;</w:t>
      </w:r>
    </w:p>
    <w:p w14:paraId="728B46D7" w14:textId="77777777" w:rsidR="00917593" w:rsidRDefault="002F572D">
      <w:pPr>
        <w:pStyle w:val="BodyText"/>
      </w:pPr>
      <w:r>
        <w:t>studies of Internet infrastructure development in developing regions, with a special focus on Africa and Latin America; and</w:t>
      </w:r>
    </w:p>
    <w:p w14:paraId="64298D0E" w14:textId="77777777" w:rsidR="00917593" w:rsidRDefault="002F572D">
      <w:pPr>
        <w:pStyle w:val="BodyText"/>
      </w:pPr>
      <w:r>
        <w:t>multilevel network analyses (combining organizational and individual ties) evaluating the globally diverse institutional comp</w:t>
      </w:r>
      <w:r>
        <w:t>lex that ensures the stability, safety, and security of the Internet, identifying critical gaps between this dense institutional network and the broader global governance system.</w:t>
      </w:r>
    </w:p>
    <w:p w14:paraId="2915421B" w14:textId="77777777" w:rsidR="00917593" w:rsidRDefault="002F572D">
      <w:pPr>
        <w:pStyle w:val="BodyText"/>
      </w:pPr>
      <w:r>
        <w:t xml:space="preserve">The submarine cables work has produced </w:t>
      </w:r>
      <w:hyperlink r:id="rId13">
        <w:r>
          <w:rPr>
            <w:rStyle w:val="Hyperlink"/>
          </w:rPr>
          <w:t>one student-authored publication</w:t>
        </w:r>
      </w:hyperlink>
      <w:r>
        <w:t xml:space="preserve"> in the Journal of Policy and International Affairs; I am co-authoring a second article on the regional economics and security of submarin</w:t>
      </w:r>
      <w:r>
        <w:t>e cables, under review by Contemporary Security Policy. The shutdowns work has produced a co-authored, five-case article on autocracies and Internet shutdowns under review by the Journal of Peace Research; to further refine the model, the sequel (in progre</w:t>
      </w:r>
      <w:r>
        <w:t>ss) takes a mixed methods approach, using hierarchical clustering to identify trends and threshold cases in global shutdown data from 2016 to 2021. These research streams would not only enhance the DTPL’s portfolio with novel and impactful research, but al</w:t>
      </w:r>
      <w:r>
        <w:t>so create fruitful linkages with STEaPP’s infrastructure and development research clusters. Interdisciplinary research environments are my native habitat, and I am excited at the prospect of collaborating with colleagues in the DTPL, PETRAS, and across STE</w:t>
      </w:r>
      <w:r>
        <w:t>aPP on these kinds of projects.</w:t>
      </w:r>
    </w:p>
    <w:p w14:paraId="2F95CE7E" w14:textId="77777777" w:rsidR="00917593" w:rsidRDefault="002F572D">
      <w:pPr>
        <w:pStyle w:val="BodyText"/>
      </w:pPr>
      <w:r>
        <w:rPr>
          <w:b/>
          <w:bCs/>
        </w:rPr>
        <w:t>External Engagement and Impact</w:t>
      </w:r>
      <w:r>
        <w:t xml:space="preserve"> My novel, empirically rich research findings would not be possible without continuous and trusted engagement with the epistemic communities managing the Internet’s infrastructure and security. </w:t>
      </w:r>
      <w:r>
        <w:t xml:space="preserve">In the last ten years I have interviewed </w:t>
      </w:r>
      <w:r>
        <w:lastRenderedPageBreak/>
        <w:t>over 100 actors across these communities, at over 40 network operations and cybersecurity conferences around the world. Since completing my PhD, my engagement is best categorized as impact-driven science and technol</w:t>
      </w:r>
      <w:r>
        <w:t>ogy diplomacy. By demonstrating I speak technical, political, and business vernaculars, I have established a reputation as a trusted honest broker that brings a deep understanding of the complex, sociotechnical governance and management problems endemic in</w:t>
      </w:r>
      <w:r>
        <w:t xml:space="preserve"> establishing collaborative engagement between these transnational institutions, policy makers, regulators, and law enforcement. I have developed rare (and hard won) access to diverse formal and informal institutions critical not only to combating cybercri</w:t>
      </w:r>
      <w:r>
        <w:t>me, but that also provide the access and empirical evidence necessary to developing deep understandings of the kinds of collaboration necessary for keeping pace with continuous innovation by cybercriminals.</w:t>
      </w:r>
    </w:p>
    <w:p w14:paraId="211F7298" w14:textId="77777777" w:rsidR="00917593" w:rsidRDefault="002F572D">
      <w:pPr>
        <w:pStyle w:val="BodyText"/>
      </w:pPr>
      <w:r>
        <w:t>As a Research Fellow and Advisor to the Anti-Phis</w:t>
      </w:r>
      <w:r>
        <w:t>hing Working Group (APWG), I chaired the 2018 Symposium on the Policy Impediments to e-Crime Data Exchange, bringing together cybersecurity experts, lawyers, and policy-makers to highlight the GDPR as an opportunity to resolve the tensions between operatio</w:t>
      </w:r>
      <w:r>
        <w:t>nal security groups, advocacy groups, and data protection authorities wrestling with tensions between privacy and security challenges. APWG’s Secretary General Peter Cassidy recently shared that a number of participants from the 2018 Symposium indicated it</w:t>
      </w:r>
      <w:r>
        <w:t xml:space="preserve"> was one of the most impactful meetings they have attended. This year we are continuing this work, planning an annual series of Cybersecurity Data and Governance Symposia to kick off in November 2022. Also, in collaboration with the APWG and Dr. L. Weissin</w:t>
      </w:r>
      <w:r>
        <w:t>ger at Tufts’ Fletcher School of Global Affairs, we are evaluating the perverse incentives created by ICANN’s ill-conceived GDPR compliance. The research findings will contribute to a collaboration with Senator Ed Markey’s (D, MA) staff to develop model le</w:t>
      </w:r>
      <w:r>
        <w:t>gislation to ensure the accessibility of data critical to cybersecurity incident response.</w:t>
      </w:r>
    </w:p>
    <w:p w14:paraId="4E7BFB3F" w14:textId="77777777" w:rsidR="00917593" w:rsidRDefault="002F572D">
      <w:pPr>
        <w:pStyle w:val="BodyText"/>
      </w:pPr>
      <w:r>
        <w:t>Since 2016, as a Senior Advisor to the Messaging, Malware, and Mobile Anti-Abuse Working Group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I worked with the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AAWG Board to redesign their Outreach initiatives, creating and leading programs developing anti-abuse capabilities and capacity </w:t>
      </w:r>
      <w:r>
        <w:t>in Latin America and the Caribbean, Asia Pacific, and Africa, considering each regions’ culture, values, and resource endowments, including critical support for engagement with regulators, law enforcement, and international organizations. I am also the co-</w:t>
      </w:r>
      <w:r>
        <w:t>chair of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AAWG’s IoT Special Interest Group (SIG), working with Internet Service Providers (ISPs) to understand and evaluate the feasibiliy of IoT reputation models. Supporting letters from APWG and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leadership are included with this application.</w:t>
      </w:r>
    </w:p>
    <w:p w14:paraId="05628B6A" w14:textId="77777777" w:rsidR="00917593" w:rsidRDefault="002F572D">
      <w:pPr>
        <w:pStyle w:val="BodyText"/>
      </w:pPr>
      <w:r>
        <w:t xml:space="preserve">Working with global partners in the cybersecurity, law enforcement, and policy communities, I apply my research on collaboration and governance to support the development of </w:t>
      </w:r>
      <w:r>
        <w:rPr>
          <w:i/>
          <w:iCs/>
        </w:rPr>
        <w:t>impactful organizations</w:t>
      </w:r>
      <w:r>
        <w:t xml:space="preserve"> that continue to build cybersecurity capabilities and capa</w:t>
      </w:r>
      <w:r>
        <w:t xml:space="preserve">cities in developed and developing regions. This engagement provides unique insights critical to my work. Understanding the real-world challenges of developing these collaborations provides rare, valuable, and pragmatic empirical evidence for both theory- </w:t>
      </w:r>
      <w:r>
        <w:t>and policy-relevant research contributions. On-the-ground work also provides unique perspectives into the diverse cultural and regional challenges facing Internet infrastructure development and security. These insights facilitate both impactful, responsibl</w:t>
      </w:r>
      <w:r>
        <w:t>e engagement and contribute significantly to my research-led teaching.</w:t>
      </w:r>
    </w:p>
    <w:p w14:paraId="308B07B9" w14:textId="77777777" w:rsidR="00917593" w:rsidRDefault="002F572D">
      <w:pPr>
        <w:pStyle w:val="BodyText"/>
      </w:pPr>
      <w:r>
        <w:rPr>
          <w:b/>
          <w:bCs/>
        </w:rPr>
        <w:lastRenderedPageBreak/>
        <w:t>Research-Led Education</w:t>
      </w:r>
      <w:r>
        <w:t xml:space="preserve"> Understanding the social, political, and economic challenges presented by emerging trends in Internet operations, cybercrime and cybersecurity, and online platfor</w:t>
      </w:r>
      <w:r>
        <w:t>ms governance requires engaging students in contemporary, real-world problems. I am a third generation teacher—a passion and dedication to teaching is in my nature. My pedagogy uses innovative teaching methods such as flipped classroom, peer review, and in</w:t>
      </w:r>
      <w:r>
        <w:t>tensive dialog structured to encourage respectful, yet rigorous policy debates. In my Fall 2021 course evaluations, one student wrote:</w:t>
      </w:r>
    </w:p>
    <w:p w14:paraId="60B4101C" w14:textId="77777777" w:rsidR="00917593" w:rsidRDefault="002F572D">
      <w:pPr>
        <w:pStyle w:val="BlockText"/>
      </w:pPr>
      <w:r>
        <w:rPr>
          <w:i/>
          <w:iCs/>
        </w:rPr>
        <w:t>This is the first time I had Dr. Sowell and I felt he did a great job of explaining complex topics to a diverse audience.</w:t>
      </w:r>
      <w:r>
        <w:rPr>
          <w:i/>
          <w:iCs/>
        </w:rPr>
        <w:t xml:space="preserve"> I was nervous to take a class without a STEM background but this class reaffirmed my decision and prepared me for other cyber courses I’m taking in the future. He genuinely cared about students learning the material and fostered critical thinking and disc</w:t>
      </w:r>
      <w:r>
        <w:rPr>
          <w:i/>
          <w:iCs/>
        </w:rPr>
        <w:t>ussion.</w:t>
      </w:r>
    </w:p>
    <w:p w14:paraId="76DADC15" w14:textId="77777777" w:rsidR="00917593" w:rsidRDefault="002F572D">
      <w:pPr>
        <w:pStyle w:val="FirstParagraph"/>
      </w:pPr>
      <w:r>
        <w:t xml:space="preserve">Since joining the Bush School, I developed and designed from scratch, and continue to lead and deliver my department’s Cyber Policy Concentration (CPC). The CPC is part of the Masters of International Affairs, </w:t>
      </w:r>
      <w:r>
        <w:rPr>
          <w:rStyle w:val="FootnoteReference"/>
        </w:rPr>
        <w:footnoteReference w:id="1"/>
      </w:r>
      <w:r>
        <w:t xml:space="preserve"> and offers a comprehensive curricul</w:t>
      </w:r>
      <w:r>
        <w:t>um and development programme for masters students coming from diverse disciplinary backgrounds. This interdisciplinary, research-led programme (now in its third year) provides accessible deep dives into digital technologies and the politics of these comple</w:t>
      </w:r>
      <w:r>
        <w:t>x systems’ design, operations, and security. I singlehandedly developed, lead, and teach four of the five courses in the CPC:</w:t>
      </w:r>
    </w:p>
    <w:p w14:paraId="453A10A2" w14:textId="77777777" w:rsidR="00917593" w:rsidRDefault="002F572D">
      <w:pPr>
        <w:pStyle w:val="DefinitionTerm"/>
      </w:pPr>
      <w:r>
        <w:t>Introduction to Cyber Policy:</w:t>
      </w:r>
    </w:p>
    <w:p w14:paraId="5F9CEC31" w14:textId="77777777" w:rsidR="00917593" w:rsidRDefault="002F572D">
      <w:pPr>
        <w:pStyle w:val="Definition"/>
      </w:pPr>
      <w:r>
        <w:t>Internet technologies foundations; longstanding issues such as attribution and encryption; contemporary issues such as privacy/surveillance and disinformation</w:t>
      </w:r>
    </w:p>
    <w:p w14:paraId="221E0FBC" w14:textId="77777777" w:rsidR="00917593" w:rsidRDefault="002F572D">
      <w:pPr>
        <w:pStyle w:val="DefinitionTerm"/>
      </w:pPr>
      <w:r>
        <w:t>Data Science and Visualization for Policy Analysis:</w:t>
      </w:r>
    </w:p>
    <w:p w14:paraId="764E6367" w14:textId="77777777" w:rsidR="00917593" w:rsidRDefault="002F572D">
      <w:pPr>
        <w:pStyle w:val="Definition"/>
      </w:pPr>
      <w:r>
        <w:t>exploratory data analysis (clustering, social</w:t>
      </w:r>
      <w:r>
        <w:t xml:space="preserve"> network analysis, text mining) and visualization for mixed methods hypothesis generation</w:t>
      </w:r>
    </w:p>
    <w:p w14:paraId="38486AE4" w14:textId="77777777" w:rsidR="00917593" w:rsidRDefault="002F572D">
      <w:pPr>
        <w:pStyle w:val="DefinitionTerm"/>
      </w:pPr>
      <w:r>
        <w:t>Internet Infrastructure: Platforms and Politics:</w:t>
      </w:r>
    </w:p>
    <w:p w14:paraId="4D398C10" w14:textId="77777777" w:rsidR="00917593" w:rsidRDefault="002F572D">
      <w:pPr>
        <w:pStyle w:val="Definition"/>
      </w:pPr>
      <w:r>
        <w:t>deep dive into the institutional and infrastructure economics of online platforms and infrastructures</w:t>
      </w:r>
    </w:p>
    <w:p w14:paraId="33BF167C" w14:textId="77777777" w:rsidR="00917593" w:rsidRDefault="002F572D">
      <w:pPr>
        <w:pStyle w:val="DefinitionTerm"/>
      </w:pPr>
      <w:r>
        <w:t xml:space="preserve">Advanced Cyber </w:t>
      </w:r>
      <w:r>
        <w:t>Policy:</w:t>
      </w:r>
    </w:p>
    <w:p w14:paraId="44CE5043" w14:textId="77777777" w:rsidR="00917593" w:rsidRDefault="002F572D">
      <w:pPr>
        <w:pStyle w:val="Definition"/>
      </w:pPr>
      <w:r>
        <w:t>evaluates the diverse complex of institutions shaping Internet governance through the lens of political authority and a systems approach to global governance</w:t>
      </w:r>
    </w:p>
    <w:p w14:paraId="39EA038A" w14:textId="77777777" w:rsidR="00917593" w:rsidRDefault="002F572D">
      <w:pPr>
        <w:pStyle w:val="FirstParagraph"/>
      </w:pPr>
      <w:r>
        <w:t xml:space="preserve">I also lead capstones (Masters group projects) engaging with the </w:t>
      </w:r>
      <w:hyperlink r:id="rId14">
        <w:r>
          <w:rPr>
            <w:rStyle w:val="Hyperlink"/>
          </w:rPr>
          <w:t>National Cyber Forensics Training Alliance</w:t>
        </w:r>
      </w:hyperlink>
      <w:r>
        <w:t xml:space="preserve"> (NCFTA) and the FBI.</w:t>
      </w:r>
    </w:p>
    <w:p w14:paraId="61969FDF" w14:textId="77777777" w:rsidR="00917593" w:rsidRDefault="002F572D">
      <w:pPr>
        <w:pStyle w:val="BodyText"/>
      </w:pPr>
      <w:r>
        <w:t>Over the last four years I contributed to STEaPP’s teaching portfolio with guest lectures in Risk Assessment and Governance and Digital Technologies and Policy. I am familiar w</w:t>
      </w:r>
      <w:r>
        <w:t xml:space="preserve">ith </w:t>
      </w:r>
      <w:r>
        <w:lastRenderedPageBreak/>
        <w:t xml:space="preserve">STEaPP’s curriculum and course structure, and would love to work with STEaPP colleagues to integrate my courses into the MPA in Digital Technologies and Policy as well as identify crossover topics with other routes. My Introduction to Cyber Policy and </w:t>
      </w:r>
      <w:r>
        <w:t>Data Science courses can easily be tailored as postgraduate or advanced undergraduate courses (syllabi included as supporting documents); the other two courses are appropriate for advanced MPA students and can also be adapted for doctoral researchers. I am</w:t>
      </w:r>
      <w:r>
        <w:t xml:space="preserve"> also keen to contribute to STEaPP’s MPA group projects. In addition to relationships with law enforcement, I have extensive partnerships with organizations such as the Cyber Defense Alliance (CDA) and the </w:t>
      </w:r>
      <w:hyperlink r:id="rId15">
        <w:r>
          <w:rPr>
            <w:rStyle w:val="Hyperlink"/>
          </w:rPr>
          <w:t>Global Cyber Alliance</w:t>
        </w:r>
      </w:hyperlink>
      <w:r>
        <w:t xml:space="preserve"> (GCA), both based in London, that would be excellent partners for MPA group projects in digital technologies and policy.</w:t>
      </w:r>
    </w:p>
    <w:p w14:paraId="6A800693" w14:textId="77777777" w:rsidR="00917593" w:rsidRDefault="002F572D">
      <w:pPr>
        <w:pStyle w:val="BodyText"/>
      </w:pPr>
      <w:r>
        <w:t>I also have substantive experience with the broader dynamics of technology and policy higher education prog</w:t>
      </w:r>
      <w:r>
        <w:t xml:space="preserve">rammes. I have recently joined the advisory board for the Program on Emerging Technologies (PoET) at MIT’s Political Science Department, and I have participated in and helped coordinate the </w:t>
      </w:r>
      <w:hyperlink r:id="rId16">
        <w:r>
          <w:rPr>
            <w:rStyle w:val="Hyperlink"/>
          </w:rPr>
          <w:t>Technology, Management, and Policy Consortium for graduate research into technology and policy</w:t>
        </w:r>
      </w:hyperlink>
      <w:r>
        <w:t xml:space="preserve">. </w:t>
      </w:r>
      <w:r>
        <w:rPr>
          <w:i/>
          <w:iCs/>
        </w:rPr>
        <w:t>Through these experiences, I have engaged with colleagues and leadership from programmes such as Engineering and Publi</w:t>
      </w:r>
      <w:r>
        <w:rPr>
          <w:i/>
          <w:iCs/>
        </w:rPr>
        <w:t>c Policy (EPP) at Carnegie Melon University and the Department of Technology, Policy and Management at TU Delft. I hope to establish closer ties and collaborations with STEaPP’s sibling programmes, ensuring the department continues to be competitive and on</w:t>
      </w:r>
      <w:r>
        <w:rPr>
          <w:i/>
          <w:iCs/>
        </w:rPr>
        <w:t xml:space="preserve"> the cutting edge of technology and policy research and teaching in the years to come.</w:t>
      </w:r>
    </w:p>
    <w:p w14:paraId="4C892A11" w14:textId="77777777" w:rsidR="00917593" w:rsidRDefault="002F572D">
      <w:pPr>
        <w:pStyle w:val="BodyText"/>
      </w:pPr>
      <w:r>
        <w:t>I am extremely excited at the prospect of bringing my ongoing research projects, teaching, access to expert networks, and engagement initiatives to UCL STEaPP. Please do</w:t>
      </w:r>
      <w:r>
        <w:t xml:space="preserve"> not hesitate to contact me at </w:t>
      </w:r>
      <w:hyperlink r:id="rId17">
        <w:r>
          <w:rPr>
            <w:rStyle w:val="Hyperlink"/>
          </w:rPr>
          <w:t>jesse.sowell@gmail.com</w:t>
        </w:r>
      </w:hyperlink>
      <w:r>
        <w:t xml:space="preserve"> or +1 517 214 1900 with any questions about this application. Thank you for your time and interest, I am looking forward to hearing from you.</w:t>
      </w:r>
    </w:p>
    <w:p w14:paraId="451FA0E6" w14:textId="77777777" w:rsidR="00917593" w:rsidRDefault="002F572D">
      <w:pPr>
        <w:pStyle w:val="BodyText"/>
      </w:pPr>
      <w:r>
        <w:t>Sincerely,</w:t>
      </w:r>
    </w:p>
    <w:sectPr w:rsidR="009175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AA02" w14:textId="77777777" w:rsidR="002F572D" w:rsidRDefault="002F572D">
      <w:pPr>
        <w:spacing w:after="0"/>
      </w:pPr>
      <w:r>
        <w:separator/>
      </w:r>
    </w:p>
  </w:endnote>
  <w:endnote w:type="continuationSeparator" w:id="0">
    <w:p w14:paraId="66CF92F0" w14:textId="77777777" w:rsidR="002F572D" w:rsidRDefault="002F5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66AA" w14:textId="77777777" w:rsidR="002F572D" w:rsidRDefault="002F572D">
      <w:r>
        <w:separator/>
      </w:r>
    </w:p>
  </w:footnote>
  <w:footnote w:type="continuationSeparator" w:id="0">
    <w:p w14:paraId="7934D1B8" w14:textId="77777777" w:rsidR="002F572D" w:rsidRDefault="002F572D">
      <w:r>
        <w:continuationSeparator/>
      </w:r>
    </w:p>
  </w:footnote>
  <w:footnote w:id="1">
    <w:p w14:paraId="53CE0953" w14:textId="77777777" w:rsidR="00917593" w:rsidRDefault="002F572D">
      <w:pPr>
        <w:pStyle w:val="FootnoteText"/>
      </w:pPr>
      <w:r>
        <w:rPr>
          <w:rStyle w:val="FootnoteReference"/>
        </w:rPr>
        <w:footnoteRef/>
      </w:r>
      <w:r>
        <w:t xml:space="preserve"> </w:t>
      </w:r>
      <w:r>
        <w:t>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4278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7593"/>
    <w:rsid w:val="002F572D"/>
    <w:rsid w:val="007254FE"/>
    <w:rsid w:val="009175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67304"/>
  <w15:docId w15:val="{655A3766-FE7E-7047-9A2C-3D3E2A59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05252-2_13" TargetMode="External"/><Relationship Id="rId13" Type="http://schemas.openxmlformats.org/officeDocument/2006/relationships/hyperlink" Target="https://jpia.princeton.edu/news/leveraging-submarine-cables-political-gain-us-responses-chinese-strateg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adowserver.org/" TargetMode="External"/><Relationship Id="rId12" Type="http://schemas.openxmlformats.org/officeDocument/2006/relationships/hyperlink" Target="https://www.chathamhouse.org/2019/12/internet-consolidation-what-lies-beneath-application-layer" TargetMode="External"/><Relationship Id="rId17" Type="http://schemas.openxmlformats.org/officeDocument/2006/relationships/hyperlink" Target="mailto:jesse.sowell@gmail.com" TargetMode="External"/><Relationship Id="rId2" Type="http://schemas.openxmlformats.org/officeDocument/2006/relationships/styles" Target="styles.xml"/><Relationship Id="rId16" Type="http://schemas.openxmlformats.org/officeDocument/2006/relationships/hyperlink" Target="https://www.tudelft.nl/en/tpm/about-the-faculty/organisation-chart-facts-figures/mi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23738871.2020.1754443" TargetMode="External"/><Relationship Id="rId5" Type="http://schemas.openxmlformats.org/officeDocument/2006/relationships/footnotes" Target="footnotes.xml"/><Relationship Id="rId15" Type="http://schemas.openxmlformats.org/officeDocument/2006/relationships/hyperlink" Target="https://www.globalcyberalliance.org/" TargetMode="External"/><Relationship Id="rId10" Type="http://schemas.openxmlformats.org/officeDocument/2006/relationships/hyperlink" Target="https://link.springer.com/chapter/10.1007/978-3-030-05252-2_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book/10.1007/978-3-030-05252-2" TargetMode="External"/><Relationship Id="rId14" Type="http://schemas.openxmlformats.org/officeDocument/2006/relationships/hyperlink" Target="https://www.ncft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2652</Words>
  <Characters>16417</Characters>
  <Application>Microsoft Office Word</Application>
  <DocSecurity>0</DocSecurity>
  <Lines>224</Lines>
  <Paragraphs>47</Paragraphs>
  <ScaleCrop>false</ScaleCrop>
  <Company>Department of International Affairs, Bush School of</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Jesse Sowell</cp:lastModifiedBy>
  <cp:revision>2</cp:revision>
  <dcterms:created xsi:type="dcterms:W3CDTF">2022-02-14T03:31:00Z</dcterms:created>
  <dcterms:modified xsi:type="dcterms:W3CDTF">2022-02-14T03:32:00Z</dcterms:modified>
</cp:coreProperties>
</file>