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2030 FORENSIC GAP AUDIT &amp; RESTATEMENT</w:t>
      </w:r>
    </w:p>
    <w:p>
      <w:r>
        <w:rPr>
          <w:color w:val="8C9198"/>
          <w:sz w:val="22"/>
        </w:rPr>
        <w:t>Audit against the 2026 forensic launch standard; corrections made to the 31/12/2030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EE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B0D10"/>
                <w:sz w:val="18"/>
              </w:rPr>
              <w:t>STATE LOCK</w:t>
            </w:r>
            <w:r>
              <w:rPr>
                <w:rFonts w:ascii="Aptos" w:hAnsi="Aptos"/>
                <w:sz w:val="18"/>
              </w:rPr>
              <w:br/>
              <w:t>Endpoint: SNAP-20301231-2359 • Time: 31 December 2030, 23:59:59 CET • Research boundary: 24 September 2026. All post-boundary events are simulated unless explicitly marked [ANCHOR].</w:t>
            </w:r>
          </w:p>
        </w:tc>
      </w:tr>
    </w:tbl>
    <w:p>
      <w:pPr>
        <w:spacing w:after="80"/>
      </w:pPr>
    </w:p>
    <w:p>
      <w:pPr>
        <w:pStyle w:val="Heading1"/>
      </w:pPr>
      <w:r>
        <w:t>1. Audit objective</w:t>
      </w:r>
    </w:p>
    <w:p>
      <w:pPr>
        <w:spacing w:after="80" w:line="259" w:lineRule="auto"/>
      </w:pPr>
      <w:r>
        <w:rPr>
          <w:rFonts w:ascii="Aptos" w:hAnsi="Aptos"/>
          <w:color w:val="0B0D10"/>
          <w:sz w:val="19"/>
        </w:rPr>
        <w:t>The purpose is to restore the 2030 state to the same forensic standard used for the initial state: every material person, shareholder, address, asset, financing event, facility and personal-wealth component must have an explicit ledger entry, owner, location, value and truth class.</w:t>
      </w:r>
    </w:p>
    <w:p>
      <w:pPr>
        <w:pStyle w:val="Heading1"/>
      </w:pPr>
      <w:r>
        <w:t>2. Gap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Previous status</w:t>
            </w:r>
          </w:p>
        </w:tc>
        <w:tc>
          <w:tcPr>
            <w:tcW w:type="dxa" w:w="38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Main deficiency</w:t>
            </w:r>
          </w:p>
        </w:tc>
        <w:tc>
          <w:tcPr>
            <w:tcW w:type="dxa" w:w="37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Corrected endpoint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Identity / personal state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Exact lifestyle, staff, legal structures, residences and operating routines missing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Full person register, property ledger, personal-office structure, lifestyle budget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Shareholding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Insufficient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Only aggregate founder ownership and a few round references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Exact 14.000M FD cap table, share classes, voting rights, every holder, historical transactions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Financing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Round values existed without full share issuance reconciliation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Round-by-round share count, price/share, investor allocation, secondary history, option pool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Facilities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Insufficient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Cities were named without address-level registry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Exact public street addresses, internal unit IDs, area, function, lease/ownership status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Physical assets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Insufficient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Asset categories existed but not endpoint-level inventory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Owned robotics fleet, vehicles, compute, labs, tools, storage and location mapping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People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Key executives existed but not full 2030 organization/equity/compensation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Executive roster, responsibilities, compensation, options, succession/key-person analysis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Customers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Several named accounts existed but 2030 installed base/concentration was missing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42-account structure, top customers, revenue shares, products per customer, risk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Products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Product names existed without installed base / ARR / version / margin at 2030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Full product stack, SKU versions, installed base, recurring revenue and deployment performance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Personal wealth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Headline net worth existed but not an audit-grade personal ledger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Exact property, aircraft, securities, private stakes, debt, liquidity and cashflow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Lifestyle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Insufficient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Luxury profile was qualitative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Residences, travel, aircraft use, cars, staff, security, art, watches, hospitality, annual spend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Real-world anchors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Partial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Addresses were not consistently sourced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Source register with public addresses and truth classes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Governance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Insufficient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Board and investor influence were not detailed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Board structure, voting classes, reserved matters, committees, investor rights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Legal / risk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Insufficient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Safety events existed but insurance, cyber and regulatory controls were shallow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Insurance, product liability, cyber, data rights, AI compliance, incident ledger</w:t>
            </w:r>
          </w:p>
        </w:tc>
      </w:tr>
    </w:tbl>
    <w:p>
      <w:pPr>
        <w:spacing w:after="40"/>
      </w:pPr>
    </w:p>
    <w:p>
      <w:pPr>
        <w:pStyle w:val="Heading1"/>
      </w:pPr>
      <w:r>
        <w:t>3. Restatement decisions</w:t>
      </w:r>
    </w:p>
    <w:p>
      <w:pPr>
        <w:pStyle w:val="ListBullet"/>
        <w:spacing w:after="40"/>
      </w:pPr>
      <w:r>
        <w:t>Cap table restated to exactly 14,000,000 FD shares with 19 named holders / holder groups plus the option pool.</w:t>
      </w:r>
    </w:p>
    <w:p>
      <w:pPr>
        <w:pStyle w:val="ListBullet"/>
        <w:spacing w:after="40"/>
      </w:pPr>
      <w:r>
        <w:t>Founder control is derived from a four-vote Class F share structure; this restores the exact 67.2213% voting-control figure without inventing additional founder shares.</w:t>
      </w:r>
    </w:p>
    <w:p>
      <w:pPr>
        <w:pStyle w:val="ListBullet"/>
        <w:spacing w:after="40"/>
      </w:pPr>
      <w:r>
        <w:t>Corporate footprint is distributed across real, publicly identifiable properties instead of a single unspecified campus. Every major site has a public address anchor and an internal RAS facility ID.</w:t>
      </w:r>
    </w:p>
    <w:p>
      <w:pPr>
        <w:pStyle w:val="ListBullet"/>
        <w:spacing w:after="40"/>
      </w:pPr>
      <w:r>
        <w:t>Personal property is reconstructed from real address anchors. The 2026 rental at 19 Rue Henri VII remains in history; 2030 ownership uses exact real addresses at Rue des Muguets, Brandschenkestrasse and Route des Creux as [SIM] acquisitions.</w:t>
      </w:r>
    </w:p>
    <w:p>
      <w:pPr>
        <w:pStyle w:val="ListBullet"/>
        <w:spacing w:after="40"/>
      </w:pPr>
      <w:r>
        <w:t>Real investor entities are preferred over fictional funds where their documented strategy fits robotics / Physical AI / industrial technology. Their RAS participation remains simulated.</w:t>
      </w:r>
    </w:p>
    <w:p>
      <w:pPr>
        <w:pStyle w:val="ListBullet"/>
        <w:spacing w:after="40"/>
      </w:pPr>
      <w:r>
        <w:t>The previous company and personal ledgers are retained historically; this document supersedes only fields that are restated explicitly.</w:t>
      </w:r>
    </w:p>
    <w:p>
      <w:pPr>
        <w:pStyle w:val="Heading1"/>
      </w:pPr>
      <w:r>
        <w:t>4. Reconciliation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29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720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in v2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Accounting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Corporate P&amp;L + balance sheet + cash logic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Ownership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14.0M shares / exact holder register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Voting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17.888M founder votes / 26.610613M total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Physical uniqueness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Asset IDs / facility register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Address integrity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Public address register with truth class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Temporal consistency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Round dates / leases / property transactions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Capacity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420 FTE / 86 customer sites / 2,150 managed cells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Technology maturity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Versioned product stack; no magic capability jump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Information asymmetry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Future investor/market outcomes remain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Personal liquidity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equity separated from spendable capital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No-retcon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2026–2030 historical snapshots retained</w:t>
            </w:r>
          </w:p>
        </w:tc>
      </w:tr>
    </w:tbl>
    <w:p>
      <w:pPr>
        <w:spacing w:after="40"/>
      </w:pPr>
    </w:p>
    <w:p>
      <w:pPr>
        <w:pStyle w:val="Heading1"/>
      </w:pPr>
      <w:r>
        <w:t>5. Most important newly detailed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432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576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2030 exact endpoint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FD shares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14,000,000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Lucien FD shares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4,472,000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Lucien economic ownership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31.942857%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Lucien voting control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67.2213%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Employee option pool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805,387 reserved / unissued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equity mark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€1.148B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revenue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€186.0M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EBITDA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€28.5M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cash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€79.0M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employees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420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managed robot cells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~2,150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Lucien net worth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€399.224M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Lucien liquid assets excluding RAS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€47.20M</w:t>
            </w:r>
          </w:p>
        </w:tc>
      </w:tr>
      <w:tr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Owned personal residences</w:t>
            </w:r>
          </w:p>
        </w:tc>
        <w:tc>
          <w:tcPr>
            <w:tcW w:type="dxa" w:w="57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Corporate physical hubs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9 major sites + partner network</w:t>
            </w:r>
          </w:p>
        </w:tc>
      </w:tr>
    </w:tbl>
    <w:p>
      <w:pPr>
        <w:spacing w:after="40"/>
      </w:pPr>
    </w:p>
    <w:p>
      <w:pPr>
        <w:pStyle w:val="Heading1"/>
      </w:pPr>
      <w:r>
        <w:t>6.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02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9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Henri VII, Luxembourg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https://www.athome.lu/location/appartement/luxembourg/id-9184551.html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 Rue de l’Étang, Contern address anchor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https://www.waze.com/live-map/directions/luxembourg/luxembourg-district/contern/3-rue-de-letang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Edmond Reuter warehouse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https://www.depotinfo.lu/entreprises/agences/real-corp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/ current listing]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120 Z.A.E. Wolser F address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https://map.geoportail.lu/addresses/Bettembourg/Z.A.E.%20WOLSER%20F/120/?lang=fr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LuxConnect DC1.1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https://www.luxconnect.lu/data-center/dc-11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Munich LOVT Munich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https://stadt.muenchen.de/lhm-ms-wirtschaftsfoerderung/standort-muenchen/gewerbeflaechen-immobilien/gewerbeflaechen-angebote/buero-gewerbestandorte-LOVT.html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Brainport Industries Campus address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https://www.brainportindustriescampus.com/contact/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Mill 19 Pittsburgh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https://engineering.cmu.edu/mfi/mill19/visit-us.html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Michigan Central Detroit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https://corporate.ford.com/operations/locations/michigan-central/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Otemachi One Tokyo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https://otemachi-one.com/en/access/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Zurich Enge Brandschenkestrasse 72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https://www.homegate.ch/kaufen/wohnung/quartier-enge/trefferliste?expired=4002544907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Verbier Route des Creux 59 listing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https://www.spg.ch/vente/appt-appartement/valais/charmant-appartement-de-2-5-pieces-central-et-renove/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Airport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https://transports.public.lu/en/transporter/transports-aeriens/infrastructures.html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EQT Ventures III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https://eqtgroup.com/en/about/current-portfolio/funds/eqt-ventures-iii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Toyota Ventures portfolio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https://toyota.ventures/portfolio.html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BMW i Ventures Physical AI focus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https://www.bmwiventures.com/news/bmw-i-ventures-closes-300m-fund-iii-to-back-ai-across-the-automotive-ecosystem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Bosch Ventures portfolio/news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https://bosch.ventures/news/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Porsche Ventures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https://porsche.ventures/portfolio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Lakestar resilience portfolio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https://www.lakestar.com/resiliencepress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General Catalyst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https://www.generalcatalyst.com/portfolio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Bessemer robotics / physical AI research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https://www.bvp.com/atlas/intelligent-robotics-the-new-era-of-physical-ai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</w:tbl>
    <w:p>
      <w:pPr>
        <w:spacing w:after="40"/>
      </w:pPr>
    </w:p>
    <w:p>
      <w:pPr>
        <w:pStyle w:val="Heading1"/>
      </w:pPr>
      <w:r>
        <w:t>7. Remaining uncertainty</w:t>
      </w:r>
    </w:p>
    <w:p>
      <w:pPr>
        <w:spacing w:after="80" w:line="259" w:lineRule="auto"/>
      </w:pPr>
      <w:r>
        <w:rPr>
          <w:rFonts w:ascii="Aptos" w:hAnsi="Aptos"/>
          <w:color w:val="0B0D10"/>
          <w:sz w:val="19"/>
        </w:rPr>
        <w:t>The remaining uncertainties are not hidden facts but structural limits of the simulation. Future tax law, future private-market pricing, confidential investor negotiations and exact post-2026 property availability cannot be verified today. Those fields remain [SIM], [DERIVED] or [PENDING]. The simulation should never silently upgrade them to [REAL].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9198"/>
        <w:sz w:val="14"/>
      </w:rPr>
      <w:t>ROSENFELD SIMULATION  •  31/12/2030  •  [SIM]/[REAL]/[ANCHOR] evidence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05840" cy="1658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SENFELD_Official_Logo_Primar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6583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8C9198"/>
        <w:sz w:val="15"/>
      </w:rPr>
      <w:t xml:space="preserve">  |  CONFIDENTIAL SIMULATION 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0D1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2A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5CF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0D1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