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LUCIEN 2030 ULTRA-FORENSIC PERSONAL DOSSIER</w:t>
      </w:r>
    </w:p>
    <w:p>
      <w:r>
        <w:rPr>
          <w:color w:val="8C9198"/>
          <w:sz w:val="22"/>
        </w:rPr>
        <w:t>Exact personal assets, properties, lifestyle, cashflows, family network and capital allocation state</w:t>
      </w:r>
    </w:p>
    <w:tbl>
      <w:tblPr>
        <w:tblStyle w:val="TableGrid"/>
        <w:tblW w:type="auto" w:w="0"/>
        <w:jc w:val="center"/>
        <w:tblLook w:firstColumn="1" w:firstRow="1" w:lastColumn="0" w:lastRow="0" w:noHBand="0" w:noVBand="1" w:val="04A0"/>
      </w:tblPr>
      <w:tblGrid>
        <w:gridCol w:w="10224"/>
      </w:tblGrid>
      <w:tr>
        <w:tc>
          <w:tcPr>
            <w:tcW w:type="dxa" w:w="10224"/>
            <w:shd w:fill="E9EEF9"/>
          </w:tcPr>
          <w:p>
            <w:pPr>
              <w:spacing w:after="40"/>
            </w:pPr>
            <w:r>
              <w:rPr>
                <w:rFonts w:ascii="Aptos" w:hAnsi="Aptos"/>
                <w:sz w:val="18"/>
              </w:rPr>
            </w:r>
            <w:r>
              <w:rPr>
                <w:rFonts w:ascii="Aptos" w:hAnsi="Aptos"/>
                <w:b/>
                <w:color w:val="0B0D10"/>
                <w:sz w:val="18"/>
              </w:rPr>
              <w:t>STATE LOCK</w:t>
            </w:r>
            <w:r>
              <w:rPr>
                <w:rFonts w:ascii="Aptos" w:hAnsi="Aptos"/>
                <w:sz w:val="18"/>
              </w:rPr>
              <w:br/>
              <w:t>Endpoint: SNAP-20301231-2359 • Time: 31 December 2030, 23:59:59 CET • Research boundary: 24 September 2026. All post-boundary events are simulated unless explicitly marked [ANCHOR].</w:t>
            </w:r>
          </w:p>
        </w:tc>
      </w:tr>
    </w:tbl>
    <w:p>
      <w:pPr>
        <w:spacing w:after="80"/>
      </w:pPr>
    </w:p>
    <w:p>
      <w:pPr>
        <w:pStyle w:val="Heading1"/>
      </w:pPr>
      <w:r>
        <w:t>1. Endpoint identity</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3888"/>
            <w:vAlign w:val="center"/>
            <w:shd w:fill="252A30"/>
          </w:tcPr>
          <w:p>
            <w:pPr>
              <w:spacing w:after="0"/>
            </w:pPr>
            <w:r/>
            <w:r>
              <w:rPr>
                <w:rFonts w:ascii="Aptos" w:hAnsi="Aptos"/>
                <w:b/>
                <w:color w:val="FFFFFF"/>
                <w:sz w:val="16"/>
              </w:rPr>
              <w:t>Field</w:t>
            </w:r>
          </w:p>
        </w:tc>
        <w:tc>
          <w:tcPr>
            <w:tcW w:type="dxa" w:w="6768"/>
            <w:vAlign w:val="center"/>
            <w:shd w:fill="252A30"/>
          </w:tcPr>
          <w:p>
            <w:pPr>
              <w:spacing w:after="0"/>
            </w:pPr>
            <w:r/>
            <w:r>
              <w:rPr>
                <w:rFonts w:ascii="Aptos" w:hAnsi="Aptos"/>
                <w:b/>
                <w:color w:val="FFFFFF"/>
                <w:sz w:val="16"/>
              </w:rPr>
              <w:t>Value</w:t>
            </w:r>
          </w:p>
        </w:tc>
      </w:tr>
      <w:tr>
        <w:tc>
          <w:tcPr>
            <w:tcW w:type="dxa" w:w="3888"/>
            <w:vAlign w:val="center"/>
            <w:shd w:fill="FFFFFF"/>
          </w:tcPr>
          <w:p>
            <w:pPr>
              <w:spacing w:after="0"/>
            </w:pPr>
            <w:r/>
            <w:r>
              <w:rPr>
                <w:rFonts w:ascii="Aptos" w:hAnsi="Aptos"/>
                <w:b w:val="0"/>
                <w:color w:val="0B0D10"/>
                <w:sz w:val="16"/>
              </w:rPr>
              <w:t>Name</w:t>
            </w:r>
          </w:p>
        </w:tc>
        <w:tc>
          <w:tcPr>
            <w:tcW w:type="dxa" w:w="6768"/>
            <w:vAlign w:val="center"/>
            <w:shd w:fill="FFFFFF"/>
          </w:tcPr>
          <w:p>
            <w:pPr>
              <w:spacing w:after="0"/>
            </w:pPr>
            <w:r/>
            <w:r>
              <w:rPr>
                <w:rFonts w:ascii="Aptos" w:hAnsi="Aptos"/>
                <w:b w:val="0"/>
                <w:color w:val="0B0D10"/>
                <w:sz w:val="16"/>
              </w:rPr>
              <w:t>Lucien Édouard de Rosenfeld</w:t>
            </w:r>
          </w:p>
        </w:tc>
      </w:tr>
      <w:tr>
        <w:tc>
          <w:tcPr>
            <w:tcW w:type="dxa" w:w="3888"/>
            <w:vAlign w:val="center"/>
            <w:shd w:fill="F1F2F0"/>
          </w:tcPr>
          <w:p>
            <w:pPr>
              <w:spacing w:after="0"/>
            </w:pPr>
            <w:r/>
            <w:r>
              <w:rPr>
                <w:rFonts w:ascii="Aptos" w:hAnsi="Aptos"/>
                <w:b w:val="0"/>
                <w:color w:val="0B0D10"/>
                <w:sz w:val="16"/>
              </w:rPr>
              <w:t>Age</w:t>
            </w:r>
          </w:p>
        </w:tc>
        <w:tc>
          <w:tcPr>
            <w:tcW w:type="dxa" w:w="6768"/>
            <w:vAlign w:val="center"/>
            <w:shd w:fill="F1F2F0"/>
          </w:tcPr>
          <w:p>
            <w:pPr>
              <w:spacing w:after="0"/>
            </w:pPr>
            <w:r/>
            <w:r>
              <w:rPr>
                <w:rFonts w:ascii="Aptos" w:hAnsi="Aptos"/>
                <w:b w:val="0"/>
                <w:color w:val="0B0D10"/>
                <w:sz w:val="16"/>
              </w:rPr>
              <w:t>29</w:t>
            </w:r>
          </w:p>
        </w:tc>
      </w:tr>
      <w:tr>
        <w:tc>
          <w:tcPr>
            <w:tcW w:type="dxa" w:w="3888"/>
            <w:vAlign w:val="center"/>
            <w:shd w:fill="FFFFFF"/>
          </w:tcPr>
          <w:p>
            <w:pPr>
              <w:spacing w:after="0"/>
            </w:pPr>
            <w:r/>
            <w:r>
              <w:rPr>
                <w:rFonts w:ascii="Aptos" w:hAnsi="Aptos"/>
                <w:b w:val="0"/>
                <w:color w:val="0B0D10"/>
                <w:sz w:val="16"/>
              </w:rPr>
              <w:t>Residence</w:t>
            </w:r>
          </w:p>
        </w:tc>
        <w:tc>
          <w:tcPr>
            <w:tcW w:type="dxa" w:w="6768"/>
            <w:vAlign w:val="center"/>
            <w:shd w:fill="FFFFFF"/>
          </w:tcPr>
          <w:p>
            <w:pPr>
              <w:spacing w:after="0"/>
            </w:pPr>
            <w:r/>
            <w:r>
              <w:rPr>
                <w:rFonts w:ascii="Aptos" w:hAnsi="Aptos"/>
                <w:b w:val="0"/>
                <w:color w:val="0B0D10"/>
                <w:sz w:val="16"/>
              </w:rPr>
              <w:t>Luxembourg City [SIM]</w:t>
            </w:r>
          </w:p>
        </w:tc>
      </w:tr>
      <w:tr>
        <w:tc>
          <w:tcPr>
            <w:tcW w:type="dxa" w:w="3888"/>
            <w:vAlign w:val="center"/>
            <w:shd w:fill="F1F2F0"/>
          </w:tcPr>
          <w:p>
            <w:pPr>
              <w:spacing w:after="0"/>
            </w:pPr>
            <w:r/>
            <w:r>
              <w:rPr>
                <w:rFonts w:ascii="Aptos" w:hAnsi="Aptos"/>
                <w:b w:val="0"/>
                <w:color w:val="0B0D10"/>
                <w:sz w:val="16"/>
              </w:rPr>
              <w:t>Primary role</w:t>
            </w:r>
          </w:p>
        </w:tc>
        <w:tc>
          <w:tcPr>
            <w:tcW w:type="dxa" w:w="6768"/>
            <w:vAlign w:val="center"/>
            <w:shd w:fill="F1F2F0"/>
          </w:tcPr>
          <w:p>
            <w:pPr>
              <w:spacing w:after="0"/>
            </w:pPr>
            <w:r/>
            <w:r>
              <w:rPr>
                <w:rFonts w:ascii="Aptos" w:hAnsi="Aptos"/>
                <w:b w:val="0"/>
                <w:color w:val="0B0D10"/>
                <w:sz w:val="16"/>
              </w:rPr>
              <w:t>CEO + Chairman, RAS</w:t>
            </w:r>
          </w:p>
        </w:tc>
      </w:tr>
      <w:tr>
        <w:tc>
          <w:tcPr>
            <w:tcW w:type="dxa" w:w="3888"/>
            <w:vAlign w:val="center"/>
            <w:shd w:fill="FFFFFF"/>
          </w:tcPr>
          <w:p>
            <w:pPr>
              <w:spacing w:after="0"/>
            </w:pPr>
            <w:r/>
            <w:r>
              <w:rPr>
                <w:rFonts w:ascii="Aptos" w:hAnsi="Aptos"/>
                <w:b w:val="0"/>
                <w:color w:val="0B0D10"/>
                <w:sz w:val="16"/>
              </w:rPr>
              <w:t>Economic RAS stake</w:t>
            </w:r>
          </w:p>
        </w:tc>
        <w:tc>
          <w:tcPr>
            <w:tcW w:type="dxa" w:w="6768"/>
            <w:vAlign w:val="center"/>
            <w:shd w:fill="FFFFFF"/>
          </w:tcPr>
          <w:p>
            <w:pPr>
              <w:spacing w:after="0"/>
            </w:pPr>
            <w:r/>
            <w:r>
              <w:rPr>
                <w:rFonts w:ascii="Aptos" w:hAnsi="Aptos"/>
                <w:b w:val="0"/>
                <w:color w:val="0B0D10"/>
                <w:sz w:val="16"/>
              </w:rPr>
              <w:t>4,472,000 shares / 31.942857%</w:t>
            </w:r>
          </w:p>
        </w:tc>
      </w:tr>
      <w:tr>
        <w:tc>
          <w:tcPr>
            <w:tcW w:type="dxa" w:w="3888"/>
            <w:vAlign w:val="center"/>
            <w:shd w:fill="F1F2F0"/>
          </w:tcPr>
          <w:p>
            <w:pPr>
              <w:spacing w:after="0"/>
            </w:pPr>
            <w:r/>
            <w:r>
              <w:rPr>
                <w:rFonts w:ascii="Aptos" w:hAnsi="Aptos"/>
                <w:b w:val="0"/>
                <w:color w:val="0B0D10"/>
                <w:sz w:val="16"/>
              </w:rPr>
              <w:t>Voting control</w:t>
            </w:r>
          </w:p>
        </w:tc>
        <w:tc>
          <w:tcPr>
            <w:tcW w:type="dxa" w:w="6768"/>
            <w:vAlign w:val="center"/>
            <w:shd w:fill="F1F2F0"/>
          </w:tcPr>
          <w:p>
            <w:pPr>
              <w:spacing w:after="0"/>
            </w:pPr>
            <w:r/>
            <w:r>
              <w:rPr>
                <w:rFonts w:ascii="Aptos" w:hAnsi="Aptos"/>
                <w:b w:val="0"/>
                <w:color w:val="0B0D10"/>
                <w:sz w:val="16"/>
              </w:rPr>
              <w:t>67.2213%</w:t>
            </w:r>
          </w:p>
        </w:tc>
      </w:tr>
      <w:tr>
        <w:tc>
          <w:tcPr>
            <w:tcW w:type="dxa" w:w="3888"/>
            <w:vAlign w:val="center"/>
            <w:shd w:fill="FFFFFF"/>
          </w:tcPr>
          <w:p>
            <w:pPr>
              <w:spacing w:after="0"/>
            </w:pPr>
            <w:r/>
            <w:r>
              <w:rPr>
                <w:rFonts w:ascii="Aptos" w:hAnsi="Aptos"/>
                <w:b w:val="0"/>
                <w:color w:val="0B0D10"/>
                <w:sz w:val="16"/>
              </w:rPr>
              <w:t>Net worth</w:t>
            </w:r>
          </w:p>
        </w:tc>
        <w:tc>
          <w:tcPr>
            <w:tcW w:type="dxa" w:w="6768"/>
            <w:vAlign w:val="center"/>
            <w:shd w:fill="FFFFFF"/>
          </w:tcPr>
          <w:p>
            <w:pPr>
              <w:spacing w:after="0"/>
            </w:pPr>
            <w:r/>
            <w:r>
              <w:rPr>
                <w:rFonts w:ascii="Aptos" w:hAnsi="Aptos"/>
                <w:b w:val="0"/>
                <w:color w:val="0B0D10"/>
                <w:sz w:val="16"/>
              </w:rPr>
              <w:t>€399.224M</w:t>
            </w:r>
          </w:p>
        </w:tc>
      </w:tr>
      <w:tr>
        <w:tc>
          <w:tcPr>
            <w:tcW w:type="dxa" w:w="3888"/>
            <w:vAlign w:val="center"/>
            <w:shd w:fill="F1F2F0"/>
          </w:tcPr>
          <w:p>
            <w:pPr>
              <w:spacing w:after="0"/>
            </w:pPr>
            <w:r/>
            <w:r>
              <w:rPr>
                <w:rFonts w:ascii="Aptos" w:hAnsi="Aptos"/>
                <w:b w:val="0"/>
                <w:color w:val="0B0D10"/>
                <w:sz w:val="16"/>
              </w:rPr>
              <w:t>Liquid assets excluding RAS</w:t>
            </w:r>
          </w:p>
        </w:tc>
        <w:tc>
          <w:tcPr>
            <w:tcW w:type="dxa" w:w="6768"/>
            <w:vAlign w:val="center"/>
            <w:shd w:fill="F1F2F0"/>
          </w:tcPr>
          <w:p>
            <w:pPr>
              <w:spacing w:after="0"/>
            </w:pPr>
            <w:r/>
            <w:r>
              <w:rPr>
                <w:rFonts w:ascii="Aptos" w:hAnsi="Aptos"/>
                <w:b w:val="0"/>
                <w:color w:val="0B0D10"/>
                <w:sz w:val="16"/>
              </w:rPr>
              <w:t>€47.20M</w:t>
            </w:r>
          </w:p>
        </w:tc>
      </w:tr>
      <w:tr>
        <w:tc>
          <w:tcPr>
            <w:tcW w:type="dxa" w:w="3888"/>
            <w:vAlign w:val="center"/>
            <w:shd w:fill="FFFFFF"/>
          </w:tcPr>
          <w:p>
            <w:pPr>
              <w:spacing w:after="0"/>
            </w:pPr>
            <w:r/>
            <w:r>
              <w:rPr>
                <w:rFonts w:ascii="Aptos" w:hAnsi="Aptos"/>
                <w:b w:val="0"/>
                <w:color w:val="0B0D10"/>
                <w:sz w:val="16"/>
              </w:rPr>
              <w:t>Owned residential properties</w:t>
            </w:r>
          </w:p>
        </w:tc>
        <w:tc>
          <w:tcPr>
            <w:tcW w:type="dxa" w:w="6768"/>
            <w:vAlign w:val="center"/>
            <w:shd w:fill="FFFFFF"/>
          </w:tcPr>
          <w:p>
            <w:pPr>
              <w:spacing w:after="0"/>
            </w:pPr>
            <w:r/>
            <w:r>
              <w:rPr>
                <w:rFonts w:ascii="Aptos" w:hAnsi="Aptos"/>
                <w:b w:val="0"/>
                <w:color w:val="0B0D10"/>
                <w:sz w:val="16"/>
              </w:rPr>
              <w:t>3</w:t>
            </w:r>
          </w:p>
        </w:tc>
      </w:tr>
      <w:tr>
        <w:tc>
          <w:tcPr>
            <w:tcW w:type="dxa" w:w="3888"/>
            <w:vAlign w:val="center"/>
            <w:shd w:fill="F1F2F0"/>
          </w:tcPr>
          <w:p>
            <w:pPr>
              <w:spacing w:after="0"/>
            </w:pPr>
            <w:r/>
            <w:r>
              <w:rPr>
                <w:rFonts w:ascii="Aptos" w:hAnsi="Aptos"/>
                <w:b w:val="0"/>
                <w:color w:val="0B0D10"/>
                <w:sz w:val="16"/>
              </w:rPr>
              <w:t>Aircraft</w:t>
            </w:r>
          </w:p>
        </w:tc>
        <w:tc>
          <w:tcPr>
            <w:tcW w:type="dxa" w:w="6768"/>
            <w:vAlign w:val="center"/>
            <w:shd w:fill="F1F2F0"/>
          </w:tcPr>
          <w:p>
            <w:pPr>
              <w:spacing w:after="0"/>
            </w:pPr>
            <w:r/>
            <w:r>
              <w:rPr>
                <w:rFonts w:ascii="Aptos" w:hAnsi="Aptos"/>
                <w:b w:val="0"/>
                <w:color w:val="0B0D10"/>
                <w:sz w:val="16"/>
              </w:rPr>
              <w:t>1</w:t>
            </w:r>
          </w:p>
        </w:tc>
      </w:tr>
      <w:tr>
        <w:tc>
          <w:tcPr>
            <w:tcW w:type="dxa" w:w="3888"/>
            <w:vAlign w:val="center"/>
            <w:shd w:fill="FFFFFF"/>
          </w:tcPr>
          <w:p>
            <w:pPr>
              <w:spacing w:after="0"/>
            </w:pPr>
            <w:r/>
            <w:r>
              <w:rPr>
                <w:rFonts w:ascii="Aptos" w:hAnsi="Aptos"/>
                <w:b w:val="0"/>
                <w:color w:val="0B0D10"/>
                <w:sz w:val="16"/>
              </w:rPr>
              <w:t>Cars</w:t>
            </w:r>
          </w:p>
        </w:tc>
        <w:tc>
          <w:tcPr>
            <w:tcW w:type="dxa" w:w="6768"/>
            <w:vAlign w:val="center"/>
            <w:shd w:fill="FFFFFF"/>
          </w:tcPr>
          <w:p>
            <w:pPr>
              <w:spacing w:after="0"/>
            </w:pPr>
            <w:r/>
            <w:r>
              <w:rPr>
                <w:rFonts w:ascii="Aptos" w:hAnsi="Aptos"/>
                <w:b w:val="0"/>
                <w:color w:val="0B0D10"/>
                <w:sz w:val="16"/>
              </w:rPr>
              <w:t>3</w:t>
            </w:r>
          </w:p>
        </w:tc>
      </w:tr>
      <w:tr>
        <w:tc>
          <w:tcPr>
            <w:tcW w:type="dxa" w:w="3888"/>
            <w:vAlign w:val="center"/>
            <w:shd w:fill="F1F2F0"/>
          </w:tcPr>
          <w:p>
            <w:pPr>
              <w:spacing w:after="0"/>
            </w:pPr>
            <w:r/>
            <w:r>
              <w:rPr>
                <w:rFonts w:ascii="Aptos" w:hAnsi="Aptos"/>
                <w:b w:val="0"/>
                <w:color w:val="0B0D10"/>
                <w:sz w:val="16"/>
              </w:rPr>
              <w:t>Private office</w:t>
            </w:r>
          </w:p>
        </w:tc>
        <w:tc>
          <w:tcPr>
            <w:tcW w:type="dxa" w:w="6768"/>
            <w:vAlign w:val="center"/>
            <w:shd w:fill="F1F2F0"/>
          </w:tcPr>
          <w:p>
            <w:pPr>
              <w:spacing w:after="0"/>
            </w:pPr>
            <w:r/>
            <w:r>
              <w:rPr>
                <w:rFonts w:ascii="Aptos" w:hAnsi="Aptos"/>
                <w:b w:val="0"/>
                <w:color w:val="0B0D10"/>
                <w:sz w:val="16"/>
              </w:rPr>
              <w:t>Rosenfeld Private Office S.à r.l. [SIM]</w:t>
            </w:r>
          </w:p>
        </w:tc>
      </w:tr>
    </w:tbl>
    <w:p>
      <w:pPr>
        <w:spacing w:after="40"/>
      </w:pPr>
    </w:p>
    <w:p>
      <w:pPr>
        <w:pStyle w:val="Heading1"/>
      </w:pPr>
      <w:r>
        <w:t>2. Property history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blHeader w:val="true"/>
          <w:tblHeader w:val="true"/>
          <w:tblHeader w:val="true"/>
          <w:tblHeader w:val="true"/>
          <w:tblHeader w:val="true"/>
        </w:trPr>
        <w:tc>
          <w:tcPr>
            <w:tcW w:type="dxa" w:w="1296"/>
            <w:vAlign w:val="center"/>
            <w:shd w:fill="252A30"/>
          </w:tcPr>
          <w:p>
            <w:pPr>
              <w:spacing w:after="0"/>
            </w:pPr>
            <w:r/>
            <w:r>
              <w:rPr>
                <w:rFonts w:ascii="Aptos" w:hAnsi="Aptos"/>
                <w:b/>
                <w:color w:val="FFFFFF"/>
                <w:sz w:val="13"/>
              </w:rPr>
              <w:t>ID</w:t>
            </w:r>
          </w:p>
        </w:tc>
        <w:tc>
          <w:tcPr>
            <w:tcW w:type="dxa" w:w="3240"/>
            <w:vAlign w:val="center"/>
            <w:shd w:fill="252A30"/>
          </w:tcPr>
          <w:p>
            <w:pPr>
              <w:spacing w:after="0"/>
            </w:pPr>
            <w:r/>
            <w:r>
              <w:rPr>
                <w:rFonts w:ascii="Aptos" w:hAnsi="Aptos"/>
                <w:b/>
                <w:color w:val="FFFFFF"/>
                <w:sz w:val="13"/>
              </w:rPr>
              <w:t>Address</w:t>
            </w:r>
          </w:p>
        </w:tc>
        <w:tc>
          <w:tcPr>
            <w:tcW w:type="dxa" w:w="2736"/>
            <w:vAlign w:val="center"/>
            <w:shd w:fill="252A30"/>
          </w:tcPr>
          <w:p>
            <w:pPr>
              <w:spacing w:after="0"/>
            </w:pPr>
            <w:r/>
            <w:r>
              <w:rPr>
                <w:rFonts w:ascii="Aptos" w:hAnsi="Aptos"/>
                <w:b/>
                <w:color w:val="FFFFFF"/>
                <w:sz w:val="13"/>
              </w:rPr>
              <w:t>Role / status</w:t>
            </w:r>
          </w:p>
        </w:tc>
        <w:tc>
          <w:tcPr>
            <w:tcW w:type="dxa" w:w="2232"/>
            <w:vAlign w:val="center"/>
            <w:shd w:fill="252A30"/>
          </w:tcPr>
          <w:p>
            <w:pPr>
              <w:spacing w:after="0"/>
            </w:pPr>
            <w:r/>
            <w:r>
              <w:rPr>
                <w:rFonts w:ascii="Aptos" w:hAnsi="Aptos"/>
                <w:b/>
                <w:color w:val="FFFFFF"/>
                <w:sz w:val="13"/>
              </w:rPr>
              <w:t>Acquisition / cost</w:t>
            </w:r>
          </w:p>
        </w:tc>
        <w:tc>
          <w:tcPr>
            <w:tcW w:type="dxa" w:w="1656"/>
            <w:vAlign w:val="center"/>
            <w:shd w:fill="252A30"/>
          </w:tcPr>
          <w:p>
            <w:pPr>
              <w:spacing w:after="0"/>
            </w:pPr>
            <w:r/>
            <w:r>
              <w:rPr>
                <w:rFonts w:ascii="Aptos" w:hAnsi="Aptos"/>
                <w:b/>
                <w:color w:val="FFFFFF"/>
                <w:sz w:val="13"/>
              </w:rPr>
              <w:t>2030 mark</w:t>
            </w:r>
          </w:p>
        </w:tc>
        <w:tc>
          <w:tcPr>
            <w:tcW w:type="dxa" w:w="1584"/>
            <w:vAlign w:val="center"/>
            <w:shd w:fill="252A30"/>
          </w:tcPr>
          <w:p>
            <w:pPr>
              <w:spacing w:after="0"/>
            </w:pPr>
            <w:r/>
            <w:r>
              <w:rPr>
                <w:rFonts w:ascii="Aptos" w:hAnsi="Aptos"/>
                <w:b/>
                <w:color w:val="FFFFFF"/>
                <w:sz w:val="13"/>
              </w:rPr>
              <w:t>Truth</w:t>
            </w:r>
          </w:p>
        </w:tc>
      </w:tr>
      <w:tr>
        <w:tc>
          <w:tcPr>
            <w:tcW w:type="dxa" w:w="1296"/>
            <w:vAlign w:val="center"/>
            <w:shd w:fill="FFFFFF"/>
          </w:tcPr>
          <w:p>
            <w:pPr>
              <w:spacing w:after="0"/>
            </w:pPr>
            <w:r/>
            <w:r>
              <w:rPr>
                <w:rFonts w:ascii="Aptos" w:hAnsi="Aptos"/>
                <w:b w:val="0"/>
                <w:color w:val="0B0D10"/>
                <w:sz w:val="13"/>
              </w:rPr>
              <w:t>PERS-RE-001</w:t>
            </w:r>
          </w:p>
        </w:tc>
        <w:tc>
          <w:tcPr>
            <w:tcW w:type="dxa" w:w="3240"/>
            <w:vAlign w:val="center"/>
            <w:shd w:fill="FFFFFF"/>
          </w:tcPr>
          <w:p>
            <w:pPr>
              <w:spacing w:after="0"/>
            </w:pPr>
            <w:r/>
            <w:r>
              <w:rPr>
                <w:rFonts w:ascii="Aptos" w:hAnsi="Aptos"/>
                <w:b w:val="0"/>
                <w:color w:val="0B0D10"/>
                <w:sz w:val="13"/>
              </w:rPr>
              <w:t>19 Rue Henri VII, L-1725 Luxembourg-Limpertsberg, Luxembourg</w:t>
            </w:r>
          </w:p>
        </w:tc>
        <w:tc>
          <w:tcPr>
            <w:tcW w:type="dxa" w:w="2736"/>
            <w:vAlign w:val="center"/>
            <w:shd w:fill="FFFFFF"/>
          </w:tcPr>
          <w:p>
            <w:pPr>
              <w:spacing w:after="0"/>
            </w:pPr>
            <w:r/>
            <w:r>
              <w:rPr>
                <w:rFonts w:ascii="Aptos" w:hAnsi="Aptos"/>
                <w:b w:val="0"/>
                <w:color w:val="0B0D10"/>
                <w:sz w:val="13"/>
              </w:rPr>
              <w:t>Historical Luxembourg rental — Lease 2026–2028; exited before endpoint</w:t>
            </w:r>
          </w:p>
        </w:tc>
        <w:tc>
          <w:tcPr>
            <w:tcW w:type="dxa" w:w="2232"/>
            <w:vAlign w:val="center"/>
            <w:shd w:fill="FFFFFF"/>
          </w:tcPr>
          <w:p>
            <w:pPr>
              <w:spacing w:after="0"/>
            </w:pPr>
            <w:r/>
            <w:r>
              <w:rPr>
                <w:rFonts w:ascii="Aptos" w:hAnsi="Aptos"/>
                <w:b w:val="0"/>
                <w:color w:val="0B0D10"/>
                <w:sz w:val="13"/>
              </w:rPr>
              <w:t>2026 anchor rent €3,450 + €200 parking + €325 charges</w:t>
            </w:r>
          </w:p>
        </w:tc>
        <w:tc>
          <w:tcPr>
            <w:tcW w:type="dxa" w:w="1656"/>
            <w:vAlign w:val="center"/>
            <w:shd w:fill="FFFFFF"/>
          </w:tcPr>
          <w:p>
            <w:pPr>
              <w:spacing w:after="0"/>
            </w:pPr>
            <w:r/>
            <w:r>
              <w:rPr>
                <w:rFonts w:ascii="Aptos" w:hAnsi="Aptos"/>
                <w:b w:val="0"/>
                <w:color w:val="0B0D10"/>
                <w:sz w:val="13"/>
              </w:rPr>
              <w:t>€0 owned value at endpoint</w:t>
            </w:r>
          </w:p>
        </w:tc>
        <w:tc>
          <w:tcPr>
            <w:tcW w:type="dxa" w:w="1584"/>
            <w:vAlign w:val="center"/>
            <w:shd w:fill="FFFFFF"/>
          </w:tcPr>
          <w:p>
            <w:pPr>
              <w:spacing w:after="0"/>
            </w:pPr>
            <w:r/>
            <w:r>
              <w:rPr>
                <w:rFonts w:ascii="Aptos" w:hAnsi="Aptos"/>
                <w:b w:val="0"/>
                <w:color w:val="0B0D10"/>
                <w:sz w:val="13"/>
              </w:rPr>
              <w:t>[REAL listing / ANCHOR]</w:t>
            </w:r>
          </w:p>
        </w:tc>
      </w:tr>
      <w:tr>
        <w:tc>
          <w:tcPr>
            <w:tcW w:type="dxa" w:w="1296"/>
            <w:vAlign w:val="center"/>
            <w:shd w:fill="F1F2F0"/>
          </w:tcPr>
          <w:p>
            <w:pPr>
              <w:spacing w:after="0"/>
            </w:pPr>
            <w:r/>
            <w:r>
              <w:rPr>
                <w:rFonts w:ascii="Aptos" w:hAnsi="Aptos"/>
                <w:b w:val="0"/>
                <w:color w:val="0B0D10"/>
                <w:sz w:val="13"/>
              </w:rPr>
              <w:t>PERS-RE-002</w:t>
            </w:r>
          </w:p>
        </w:tc>
        <w:tc>
          <w:tcPr>
            <w:tcW w:type="dxa" w:w="3240"/>
            <w:vAlign w:val="center"/>
            <w:shd w:fill="F1F2F0"/>
          </w:tcPr>
          <w:p>
            <w:pPr>
              <w:spacing w:after="0"/>
            </w:pPr>
            <w:r/>
            <w:r>
              <w:rPr>
                <w:rFonts w:ascii="Aptos" w:hAnsi="Aptos"/>
                <w:b w:val="0"/>
                <w:color w:val="0B0D10"/>
                <w:sz w:val="13"/>
              </w:rPr>
              <w:t>114 Rue des Muguets, Luxembourg-Weimershof, Luxembourg</w:t>
            </w:r>
          </w:p>
        </w:tc>
        <w:tc>
          <w:tcPr>
            <w:tcW w:type="dxa" w:w="2736"/>
            <w:vAlign w:val="center"/>
            <w:shd w:fill="F1F2F0"/>
          </w:tcPr>
          <w:p>
            <w:pPr>
              <w:spacing w:after="0"/>
            </w:pPr>
            <w:r/>
            <w:r>
              <w:rPr>
                <w:rFonts w:ascii="Aptos" w:hAnsi="Aptos"/>
                <w:b w:val="0"/>
                <w:color w:val="0B0D10"/>
                <w:sz w:val="13"/>
              </w:rPr>
              <w:t>Luxembourg primary residence — Purchased 2028 [SIM]</w:t>
            </w:r>
          </w:p>
        </w:tc>
        <w:tc>
          <w:tcPr>
            <w:tcW w:type="dxa" w:w="2232"/>
            <w:vAlign w:val="center"/>
            <w:shd w:fill="F1F2F0"/>
          </w:tcPr>
          <w:p>
            <w:pPr>
              <w:spacing w:after="0"/>
            </w:pPr>
            <w:r/>
            <w:r>
              <w:rPr>
                <w:rFonts w:ascii="Aptos" w:hAnsi="Aptos"/>
                <w:b w:val="0"/>
                <w:color w:val="0B0D10"/>
                <w:sz w:val="13"/>
              </w:rPr>
              <w:t>€1.58M acquisition incl. fit-out and transaction costs</w:t>
            </w:r>
          </w:p>
        </w:tc>
        <w:tc>
          <w:tcPr>
            <w:tcW w:type="dxa" w:w="1656"/>
            <w:vAlign w:val="center"/>
            <w:shd w:fill="F1F2F0"/>
          </w:tcPr>
          <w:p>
            <w:pPr>
              <w:spacing w:after="0"/>
            </w:pPr>
            <w:r/>
            <w:r>
              <w:rPr>
                <w:rFonts w:ascii="Aptos" w:hAnsi="Aptos"/>
                <w:b w:val="0"/>
                <w:color w:val="0B0D10"/>
                <w:sz w:val="13"/>
              </w:rPr>
              <w:t>€2.05M 2030 mark</w:t>
            </w:r>
          </w:p>
        </w:tc>
        <w:tc>
          <w:tcPr>
            <w:tcW w:type="dxa" w:w="1584"/>
            <w:vAlign w:val="center"/>
            <w:shd w:fill="F1F2F0"/>
          </w:tcPr>
          <w:p>
            <w:pPr>
              <w:spacing w:after="0"/>
            </w:pPr>
            <w:r/>
            <w:r>
              <w:rPr>
                <w:rFonts w:ascii="Aptos" w:hAnsi="Aptos"/>
                <w:b w:val="0"/>
                <w:color w:val="0B0D10"/>
                <w:sz w:val="13"/>
              </w:rPr>
              <w:t>[REAL address / SIM transaction]</w:t>
            </w:r>
          </w:p>
        </w:tc>
      </w:tr>
      <w:tr>
        <w:tc>
          <w:tcPr>
            <w:tcW w:type="dxa" w:w="1296"/>
            <w:vAlign w:val="center"/>
            <w:shd w:fill="FFFFFF"/>
          </w:tcPr>
          <w:p>
            <w:pPr>
              <w:spacing w:after="0"/>
            </w:pPr>
            <w:r/>
            <w:r>
              <w:rPr>
                <w:rFonts w:ascii="Aptos" w:hAnsi="Aptos"/>
                <w:b w:val="0"/>
                <w:color w:val="0B0D10"/>
                <w:sz w:val="13"/>
              </w:rPr>
              <w:t>PERS-RE-003</w:t>
            </w:r>
          </w:p>
        </w:tc>
        <w:tc>
          <w:tcPr>
            <w:tcW w:type="dxa" w:w="3240"/>
            <w:vAlign w:val="center"/>
            <w:shd w:fill="FFFFFF"/>
          </w:tcPr>
          <w:p>
            <w:pPr>
              <w:spacing w:after="0"/>
            </w:pPr>
            <w:r/>
            <w:r>
              <w:rPr>
                <w:rFonts w:ascii="Aptos" w:hAnsi="Aptos"/>
                <w:b w:val="0"/>
                <w:color w:val="0B0D10"/>
                <w:sz w:val="13"/>
              </w:rPr>
              <w:t>Brandschenkestrasse 72, 8002 Zürich, Switzerland</w:t>
            </w:r>
          </w:p>
        </w:tc>
        <w:tc>
          <w:tcPr>
            <w:tcW w:type="dxa" w:w="2736"/>
            <w:vAlign w:val="center"/>
            <w:shd w:fill="FFFFFF"/>
          </w:tcPr>
          <w:p>
            <w:pPr>
              <w:spacing w:after="0"/>
            </w:pPr>
            <w:r/>
            <w:r>
              <w:rPr>
                <w:rFonts w:ascii="Aptos" w:hAnsi="Aptos"/>
                <w:b w:val="0"/>
                <w:color w:val="0B0D10"/>
                <w:sz w:val="13"/>
              </w:rPr>
              <w:t>Zurich base — Purchased 2028 [SIM]</w:t>
            </w:r>
          </w:p>
        </w:tc>
        <w:tc>
          <w:tcPr>
            <w:tcW w:type="dxa" w:w="2232"/>
            <w:vAlign w:val="center"/>
            <w:shd w:fill="FFFFFF"/>
          </w:tcPr>
          <w:p>
            <w:pPr>
              <w:spacing w:after="0"/>
            </w:pPr>
            <w:r/>
            <w:r>
              <w:rPr>
                <w:rFonts w:ascii="Aptos" w:hAnsi="Aptos"/>
                <w:b w:val="0"/>
                <w:color w:val="0B0D10"/>
                <w:sz w:val="13"/>
              </w:rPr>
              <w:t>CHF 5.25M acquisition + CHF 0.38M fit-out</w:t>
            </w:r>
          </w:p>
        </w:tc>
        <w:tc>
          <w:tcPr>
            <w:tcW w:type="dxa" w:w="1656"/>
            <w:vAlign w:val="center"/>
            <w:shd w:fill="FFFFFF"/>
          </w:tcPr>
          <w:p>
            <w:pPr>
              <w:spacing w:after="0"/>
            </w:pPr>
            <w:r/>
            <w:r>
              <w:rPr>
                <w:rFonts w:ascii="Aptos" w:hAnsi="Aptos"/>
                <w:b w:val="0"/>
                <w:color w:val="0B0D10"/>
                <w:sz w:val="13"/>
              </w:rPr>
              <w:t>€6.93M EUR-equivalent 2030 mark</w:t>
            </w:r>
          </w:p>
        </w:tc>
        <w:tc>
          <w:tcPr>
            <w:tcW w:type="dxa" w:w="1584"/>
            <w:vAlign w:val="center"/>
            <w:shd w:fill="FFFFFF"/>
          </w:tcPr>
          <w:p>
            <w:pPr>
              <w:spacing w:after="0"/>
            </w:pPr>
            <w:r/>
            <w:r>
              <w:rPr>
                <w:rFonts w:ascii="Aptos" w:hAnsi="Aptos"/>
                <w:b w:val="0"/>
                <w:color w:val="0B0D10"/>
                <w:sz w:val="13"/>
              </w:rPr>
              <w:t>[REAL listing address / SIM transaction]</w:t>
            </w:r>
          </w:p>
        </w:tc>
      </w:tr>
      <w:tr>
        <w:tc>
          <w:tcPr>
            <w:tcW w:type="dxa" w:w="1296"/>
            <w:vAlign w:val="center"/>
            <w:shd w:fill="F1F2F0"/>
          </w:tcPr>
          <w:p>
            <w:pPr>
              <w:spacing w:after="0"/>
            </w:pPr>
            <w:r/>
            <w:r>
              <w:rPr>
                <w:rFonts w:ascii="Aptos" w:hAnsi="Aptos"/>
                <w:b w:val="0"/>
                <w:color w:val="0B0D10"/>
                <w:sz w:val="13"/>
              </w:rPr>
              <w:t>PERS-RE-004</w:t>
            </w:r>
          </w:p>
        </w:tc>
        <w:tc>
          <w:tcPr>
            <w:tcW w:type="dxa" w:w="3240"/>
            <w:vAlign w:val="center"/>
            <w:shd w:fill="F1F2F0"/>
          </w:tcPr>
          <w:p>
            <w:pPr>
              <w:spacing w:after="0"/>
            </w:pPr>
            <w:r/>
            <w:r>
              <w:rPr>
                <w:rFonts w:ascii="Aptos" w:hAnsi="Aptos"/>
                <w:b w:val="0"/>
                <w:color w:val="0B0D10"/>
                <w:sz w:val="13"/>
              </w:rPr>
              <w:t>Route des Creux 59, 1936 Verbier, Switzerland</w:t>
            </w:r>
          </w:p>
        </w:tc>
        <w:tc>
          <w:tcPr>
            <w:tcW w:type="dxa" w:w="2736"/>
            <w:vAlign w:val="center"/>
            <w:shd w:fill="F1F2F0"/>
          </w:tcPr>
          <w:p>
            <w:pPr>
              <w:spacing w:after="0"/>
            </w:pPr>
            <w:r/>
            <w:r>
              <w:rPr>
                <w:rFonts w:ascii="Aptos" w:hAnsi="Aptos"/>
                <w:b w:val="0"/>
                <w:color w:val="0B0D10"/>
                <w:sz w:val="13"/>
              </w:rPr>
              <w:t>Verbier base — Purchased 2029 [SIM]</w:t>
            </w:r>
          </w:p>
        </w:tc>
        <w:tc>
          <w:tcPr>
            <w:tcW w:type="dxa" w:w="2232"/>
            <w:vAlign w:val="center"/>
            <w:shd w:fill="F1F2F0"/>
          </w:tcPr>
          <w:p>
            <w:pPr>
              <w:spacing w:after="0"/>
            </w:pPr>
            <w:r/>
            <w:r>
              <w:rPr>
                <w:rFonts w:ascii="Aptos" w:hAnsi="Aptos"/>
                <w:b w:val="0"/>
                <w:color w:val="0B0D10"/>
                <w:sz w:val="13"/>
              </w:rPr>
              <w:t>CHF 1.92M acquisition + CHF 0.12M closing/fit-out</w:t>
            </w:r>
          </w:p>
        </w:tc>
        <w:tc>
          <w:tcPr>
            <w:tcW w:type="dxa" w:w="1656"/>
            <w:vAlign w:val="center"/>
            <w:shd w:fill="F1F2F0"/>
          </w:tcPr>
          <w:p>
            <w:pPr>
              <w:spacing w:after="0"/>
            </w:pPr>
            <w:r/>
            <w:r>
              <w:rPr>
                <w:rFonts w:ascii="Aptos" w:hAnsi="Aptos"/>
                <w:b w:val="0"/>
                <w:color w:val="0B0D10"/>
                <w:sz w:val="13"/>
              </w:rPr>
              <w:t>€2.12M EUR-equivalent 2030 mark</w:t>
            </w:r>
          </w:p>
        </w:tc>
        <w:tc>
          <w:tcPr>
            <w:tcW w:type="dxa" w:w="1584"/>
            <w:vAlign w:val="center"/>
            <w:shd w:fill="F1F2F0"/>
          </w:tcPr>
          <w:p>
            <w:pPr>
              <w:spacing w:after="0"/>
            </w:pPr>
            <w:r/>
            <w:r>
              <w:rPr>
                <w:rFonts w:ascii="Aptos" w:hAnsi="Aptos"/>
                <w:b w:val="0"/>
                <w:color w:val="0B0D10"/>
                <w:sz w:val="13"/>
              </w:rPr>
              <w:t>[REAL listing / SIM transaction]</w:t>
            </w:r>
          </w:p>
        </w:tc>
      </w:tr>
    </w:tbl>
    <w:p>
      <w:pPr>
        <w:spacing w:after="40"/>
      </w:pPr>
    </w:p>
    <w:p>
      <w:pPr>
        <w:pStyle w:val="Heading1"/>
      </w:pPr>
      <w:r>
        <w:t>3. Primary Luxembourg residence</w:t>
      </w:r>
    </w:p>
    <w:p>
      <w:pPr>
        <w:spacing w:after="80" w:line="259" w:lineRule="auto"/>
      </w:pPr>
      <w:r>
        <w:rPr>
          <w:rFonts w:ascii="Aptos" w:hAnsi="Aptos"/>
          <w:color w:val="0B0D10"/>
          <w:sz w:val="19"/>
        </w:rPr>
        <w:t>In 2026 Lucien lived at 19 Rue Henri VII in Limpertsberg under the canonical lease. Public listings confirm the address, approximate area and terrace configuration. He leaves this residence in 2028 as the company becomes international. The move is not a status race: the new home is better for long-term privacy, airport access, parking, and guest / board use.</w:t>
      </w:r>
    </w:p>
    <w:p>
      <w:pPr>
        <w:pStyle w:val="Heading1"/>
      </w:pPr>
      <w:r>
        <w:t>4. Zurich base</w:t>
      </w:r>
    </w:p>
    <w:p>
      <w:pPr>
        <w:spacing w:after="80" w:line="259" w:lineRule="auto"/>
      </w:pPr>
      <w:r>
        <w:rPr>
          <w:rFonts w:ascii="Aptos" w:hAnsi="Aptos"/>
          <w:color w:val="0B0D10"/>
          <w:sz w:val="19"/>
        </w:rPr>
        <w:t>The Zurich property is anchored to Brandschenkestrasse 72, 8002 Zürich. The public property record identifies Brandschenkestrasse 72 on the Hürlimann-Areal; the building houses condominiums above a kindergarten and dates from 2003. The exact purchase price is simulated because the public listing was price-on-request. The simulated acquisition is CHF 5.25M plus CHF 0.38M refurbishment and transaction cost, with a 2030 carrying/market mark of CHF 6.12M.</w:t>
      </w:r>
    </w:p>
    <w:p>
      <w:pPr>
        <w:pStyle w:val="Heading1"/>
      </w:pPr>
      <w:r>
        <w:t>5. Verbier base</w:t>
      </w:r>
    </w:p>
    <w:p>
      <w:pPr>
        <w:spacing w:after="80" w:line="259" w:lineRule="auto"/>
      </w:pPr>
      <w:r>
        <w:rPr>
          <w:rFonts w:ascii="Aptos" w:hAnsi="Aptos"/>
          <w:color w:val="0B0D10"/>
          <w:sz w:val="19"/>
        </w:rPr>
        <w:t>The Verbier base is anchored to Route des Creux 59, 1936 Verbier. The current public listing describes a renovated 2.5-room apartment around 57–64 m² with indoor parking, cellar and ski room and an asking price around CHF 1.79M. The simulation sets Lucien’s 2029 acquisition at CHF 1.92M and the 2030 value at CHF 2.12M after renovation and modest market appreciation.</w:t>
      </w:r>
    </w:p>
    <w:p>
      <w:pPr>
        <w:pStyle w:val="Heading1"/>
      </w:pPr>
      <w:r>
        <w:t>6. Aircraft</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3600"/>
            <w:vAlign w:val="center"/>
            <w:shd w:fill="252A30"/>
          </w:tcPr>
          <w:p>
            <w:pPr>
              <w:spacing w:after="0"/>
            </w:pPr>
            <w:r/>
            <w:r>
              <w:rPr>
                <w:rFonts w:ascii="Aptos" w:hAnsi="Aptos"/>
                <w:b/>
                <w:color w:val="FFFFFF"/>
                <w:sz w:val="16"/>
              </w:rPr>
              <w:t>Field</w:t>
            </w:r>
          </w:p>
        </w:tc>
        <w:tc>
          <w:tcPr>
            <w:tcW w:type="dxa" w:w="6624"/>
            <w:vAlign w:val="center"/>
            <w:shd w:fill="252A30"/>
          </w:tcPr>
          <w:p>
            <w:pPr>
              <w:spacing w:after="0"/>
            </w:pPr>
            <w:r/>
            <w:r>
              <w:rPr>
                <w:rFonts w:ascii="Aptos" w:hAnsi="Aptos"/>
                <w:b/>
                <w:color w:val="FFFFFF"/>
                <w:sz w:val="16"/>
              </w:rPr>
              <w:t>Endpoint</w:t>
            </w:r>
          </w:p>
        </w:tc>
      </w:tr>
      <w:tr>
        <w:tc>
          <w:tcPr>
            <w:tcW w:type="dxa" w:w="3600"/>
            <w:vAlign w:val="center"/>
            <w:shd w:fill="FFFFFF"/>
          </w:tcPr>
          <w:p>
            <w:pPr>
              <w:spacing w:after="0"/>
            </w:pPr>
            <w:r/>
            <w:r>
              <w:rPr>
                <w:rFonts w:ascii="Aptos" w:hAnsi="Aptos"/>
                <w:b w:val="0"/>
                <w:color w:val="0B0D10"/>
                <w:sz w:val="16"/>
              </w:rPr>
              <w:t>Aircraft</w:t>
            </w:r>
          </w:p>
        </w:tc>
        <w:tc>
          <w:tcPr>
            <w:tcW w:type="dxa" w:w="6624"/>
            <w:vAlign w:val="center"/>
            <w:shd w:fill="FFFFFF"/>
          </w:tcPr>
          <w:p>
            <w:pPr>
              <w:spacing w:after="0"/>
            </w:pPr>
            <w:r/>
            <w:r>
              <w:rPr>
                <w:rFonts w:ascii="Aptos" w:hAnsi="Aptos"/>
                <w:b w:val="0"/>
                <w:color w:val="0B0D10"/>
                <w:sz w:val="16"/>
              </w:rPr>
              <w:t>Gulfstream G280</w:t>
            </w:r>
          </w:p>
        </w:tc>
      </w:tr>
      <w:tr>
        <w:tc>
          <w:tcPr>
            <w:tcW w:type="dxa" w:w="3600"/>
            <w:vAlign w:val="center"/>
            <w:shd w:fill="F1F2F0"/>
          </w:tcPr>
          <w:p>
            <w:pPr>
              <w:spacing w:after="0"/>
            </w:pPr>
            <w:r/>
            <w:r>
              <w:rPr>
                <w:rFonts w:ascii="Aptos" w:hAnsi="Aptos"/>
                <w:b w:val="0"/>
                <w:color w:val="0B0D10"/>
                <w:sz w:val="16"/>
              </w:rPr>
              <w:t>ID</w:t>
            </w:r>
          </w:p>
        </w:tc>
        <w:tc>
          <w:tcPr>
            <w:tcW w:type="dxa" w:w="6624"/>
            <w:vAlign w:val="center"/>
            <w:shd w:fill="F1F2F0"/>
          </w:tcPr>
          <w:p>
            <w:pPr>
              <w:spacing w:after="0"/>
            </w:pPr>
            <w:r/>
            <w:r>
              <w:rPr>
                <w:rFonts w:ascii="Aptos" w:hAnsi="Aptos"/>
                <w:b w:val="0"/>
                <w:color w:val="0B0D10"/>
                <w:sz w:val="16"/>
              </w:rPr>
              <w:t>AIR-001</w:t>
            </w:r>
          </w:p>
        </w:tc>
      </w:tr>
      <w:tr>
        <w:tc>
          <w:tcPr>
            <w:tcW w:type="dxa" w:w="3600"/>
            <w:vAlign w:val="center"/>
            <w:shd w:fill="FFFFFF"/>
          </w:tcPr>
          <w:p>
            <w:pPr>
              <w:spacing w:after="0"/>
            </w:pPr>
            <w:r/>
            <w:r>
              <w:rPr>
                <w:rFonts w:ascii="Aptos" w:hAnsi="Aptos"/>
                <w:b w:val="0"/>
                <w:color w:val="0B0D10"/>
                <w:sz w:val="16"/>
              </w:rPr>
              <w:t>Registration</w:t>
            </w:r>
          </w:p>
        </w:tc>
        <w:tc>
          <w:tcPr>
            <w:tcW w:type="dxa" w:w="6624"/>
            <w:vAlign w:val="center"/>
            <w:shd w:fill="FFFFFF"/>
          </w:tcPr>
          <w:p>
            <w:pPr>
              <w:spacing w:after="0"/>
            </w:pPr>
            <w:r/>
            <w:r>
              <w:rPr>
                <w:rFonts w:ascii="Aptos" w:hAnsi="Aptos"/>
                <w:b w:val="0"/>
                <w:color w:val="0B0D10"/>
                <w:sz w:val="16"/>
              </w:rPr>
              <w:t>LX-RFA [SIM]</w:t>
            </w:r>
          </w:p>
        </w:tc>
      </w:tr>
      <w:tr>
        <w:tc>
          <w:tcPr>
            <w:tcW w:type="dxa" w:w="3600"/>
            <w:vAlign w:val="center"/>
            <w:shd w:fill="F1F2F0"/>
          </w:tcPr>
          <w:p>
            <w:pPr>
              <w:spacing w:after="0"/>
            </w:pPr>
            <w:r/>
            <w:r>
              <w:rPr>
                <w:rFonts w:ascii="Aptos" w:hAnsi="Aptos"/>
                <w:b w:val="0"/>
                <w:color w:val="0B0D10"/>
                <w:sz w:val="16"/>
              </w:rPr>
              <w:t>Base</w:t>
            </w:r>
          </w:p>
        </w:tc>
        <w:tc>
          <w:tcPr>
            <w:tcW w:type="dxa" w:w="6624"/>
            <w:vAlign w:val="center"/>
            <w:shd w:fill="F1F2F0"/>
          </w:tcPr>
          <w:p>
            <w:pPr>
              <w:spacing w:after="0"/>
            </w:pPr>
            <w:r/>
            <w:r>
              <w:rPr>
                <w:rFonts w:ascii="Aptos" w:hAnsi="Aptos"/>
                <w:b w:val="0"/>
                <w:color w:val="0B0D10"/>
                <w:sz w:val="16"/>
              </w:rPr>
              <w:t>Luxembourg Airport, 4 Rue de Trèves, L-2632 Luxembourg-Findel [REAL/ANCHOR]</w:t>
            </w:r>
          </w:p>
        </w:tc>
      </w:tr>
      <w:tr>
        <w:tc>
          <w:tcPr>
            <w:tcW w:type="dxa" w:w="3600"/>
            <w:vAlign w:val="center"/>
            <w:shd w:fill="FFFFFF"/>
          </w:tcPr>
          <w:p>
            <w:pPr>
              <w:spacing w:after="0"/>
            </w:pPr>
            <w:r/>
            <w:r>
              <w:rPr>
                <w:rFonts w:ascii="Aptos" w:hAnsi="Aptos"/>
                <w:b w:val="0"/>
                <w:color w:val="0B0D10"/>
                <w:sz w:val="16"/>
              </w:rPr>
              <w:t>Acquisition</w:t>
            </w:r>
          </w:p>
        </w:tc>
        <w:tc>
          <w:tcPr>
            <w:tcW w:type="dxa" w:w="6624"/>
            <w:vAlign w:val="center"/>
            <w:shd w:fill="FFFFFF"/>
          </w:tcPr>
          <w:p>
            <w:pPr>
              <w:spacing w:after="0"/>
            </w:pPr>
            <w:r/>
            <w:r>
              <w:rPr>
                <w:rFonts w:ascii="Aptos" w:hAnsi="Aptos"/>
                <w:b w:val="0"/>
                <w:color w:val="0B0D10"/>
                <w:sz w:val="16"/>
              </w:rPr>
              <w:t>Q3 2029, pre-owned</w:t>
            </w:r>
          </w:p>
        </w:tc>
      </w:tr>
      <w:tr>
        <w:tc>
          <w:tcPr>
            <w:tcW w:type="dxa" w:w="3600"/>
            <w:vAlign w:val="center"/>
            <w:shd w:fill="F1F2F0"/>
          </w:tcPr>
          <w:p>
            <w:pPr>
              <w:spacing w:after="0"/>
            </w:pPr>
            <w:r/>
            <w:r>
              <w:rPr>
                <w:rFonts w:ascii="Aptos" w:hAnsi="Aptos"/>
                <w:b w:val="0"/>
                <w:color w:val="0B0D10"/>
                <w:sz w:val="16"/>
              </w:rPr>
              <w:t>Purchase price</w:t>
            </w:r>
          </w:p>
        </w:tc>
        <w:tc>
          <w:tcPr>
            <w:tcW w:type="dxa" w:w="6624"/>
            <w:vAlign w:val="center"/>
            <w:shd w:fill="F1F2F0"/>
          </w:tcPr>
          <w:p>
            <w:pPr>
              <w:spacing w:after="0"/>
            </w:pPr>
            <w:r/>
            <w:r>
              <w:rPr>
                <w:rFonts w:ascii="Aptos" w:hAnsi="Aptos"/>
                <w:b w:val="0"/>
                <w:color w:val="0B0D10"/>
                <w:sz w:val="16"/>
              </w:rPr>
              <w:t>€17.1M</w:t>
            </w:r>
          </w:p>
        </w:tc>
      </w:tr>
      <w:tr>
        <w:tc>
          <w:tcPr>
            <w:tcW w:type="dxa" w:w="3600"/>
            <w:vAlign w:val="center"/>
            <w:shd w:fill="FFFFFF"/>
          </w:tcPr>
          <w:p>
            <w:pPr>
              <w:spacing w:after="0"/>
            </w:pPr>
            <w:r/>
            <w:r>
              <w:rPr>
                <w:rFonts w:ascii="Aptos" w:hAnsi="Aptos"/>
                <w:b w:val="0"/>
                <w:color w:val="0B0D10"/>
                <w:sz w:val="16"/>
              </w:rPr>
              <w:t>2030 market value</w:t>
            </w:r>
          </w:p>
        </w:tc>
        <w:tc>
          <w:tcPr>
            <w:tcW w:type="dxa" w:w="6624"/>
            <w:vAlign w:val="center"/>
            <w:shd w:fill="FFFFFF"/>
          </w:tcPr>
          <w:p>
            <w:pPr>
              <w:spacing w:after="0"/>
            </w:pPr>
            <w:r/>
            <w:r>
              <w:rPr>
                <w:rFonts w:ascii="Aptos" w:hAnsi="Aptos"/>
                <w:b w:val="0"/>
                <w:color w:val="0B0D10"/>
                <w:sz w:val="16"/>
              </w:rPr>
              <w:t>€18.0M</w:t>
            </w:r>
          </w:p>
        </w:tc>
      </w:tr>
      <w:tr>
        <w:tc>
          <w:tcPr>
            <w:tcW w:type="dxa" w:w="3600"/>
            <w:vAlign w:val="center"/>
            <w:shd w:fill="F1F2F0"/>
          </w:tcPr>
          <w:p>
            <w:pPr>
              <w:spacing w:after="0"/>
            </w:pPr>
            <w:r/>
            <w:r>
              <w:rPr>
                <w:rFonts w:ascii="Aptos" w:hAnsi="Aptos"/>
                <w:b w:val="0"/>
                <w:color w:val="0B0D10"/>
                <w:sz w:val="16"/>
              </w:rPr>
              <w:t>Debt</w:t>
            </w:r>
          </w:p>
        </w:tc>
        <w:tc>
          <w:tcPr>
            <w:tcW w:type="dxa" w:w="6624"/>
            <w:vAlign w:val="center"/>
            <w:shd w:fill="F1F2F0"/>
          </w:tcPr>
          <w:p>
            <w:pPr>
              <w:spacing w:after="0"/>
            </w:pPr>
            <w:r/>
            <w:r>
              <w:rPr>
                <w:rFonts w:ascii="Aptos" w:hAnsi="Aptos"/>
                <w:b w:val="0"/>
                <w:color w:val="0B0D10"/>
                <w:sz w:val="16"/>
              </w:rPr>
              <w:t>€7.4M</w:t>
            </w:r>
          </w:p>
        </w:tc>
      </w:tr>
      <w:tr>
        <w:tc>
          <w:tcPr>
            <w:tcW w:type="dxa" w:w="3600"/>
            <w:vAlign w:val="center"/>
            <w:shd w:fill="FFFFFF"/>
          </w:tcPr>
          <w:p>
            <w:pPr>
              <w:spacing w:after="0"/>
            </w:pPr>
            <w:r/>
            <w:r>
              <w:rPr>
                <w:rFonts w:ascii="Aptos" w:hAnsi="Aptos"/>
                <w:b w:val="0"/>
                <w:color w:val="0B0D10"/>
                <w:sz w:val="16"/>
              </w:rPr>
              <w:t>Flight hours 2030</w:t>
            </w:r>
          </w:p>
        </w:tc>
        <w:tc>
          <w:tcPr>
            <w:tcW w:type="dxa" w:w="6624"/>
            <w:vAlign w:val="center"/>
            <w:shd w:fill="FFFFFF"/>
          </w:tcPr>
          <w:p>
            <w:pPr>
              <w:spacing w:after="0"/>
            </w:pPr>
            <w:r/>
            <w:r>
              <w:rPr>
                <w:rFonts w:ascii="Aptos" w:hAnsi="Aptos"/>
                <w:b w:val="0"/>
                <w:color w:val="0B0D10"/>
                <w:sz w:val="16"/>
              </w:rPr>
              <w:t>~290</w:t>
            </w:r>
          </w:p>
        </w:tc>
      </w:tr>
      <w:tr>
        <w:tc>
          <w:tcPr>
            <w:tcW w:type="dxa" w:w="3600"/>
            <w:vAlign w:val="center"/>
            <w:shd w:fill="F1F2F0"/>
          </w:tcPr>
          <w:p>
            <w:pPr>
              <w:spacing w:after="0"/>
            </w:pPr>
            <w:r/>
            <w:r>
              <w:rPr>
                <w:rFonts w:ascii="Aptos" w:hAnsi="Aptos"/>
                <w:b w:val="0"/>
                <w:color w:val="0B0D10"/>
                <w:sz w:val="16"/>
              </w:rPr>
              <w:t>Management</w:t>
            </w:r>
          </w:p>
        </w:tc>
        <w:tc>
          <w:tcPr>
            <w:tcW w:type="dxa" w:w="6624"/>
            <w:vAlign w:val="center"/>
            <w:shd w:fill="F1F2F0"/>
          </w:tcPr>
          <w:p>
            <w:pPr>
              <w:spacing w:after="0"/>
            </w:pPr>
            <w:r/>
            <w:r>
              <w:rPr>
                <w:rFonts w:ascii="Aptos" w:hAnsi="Aptos"/>
                <w:b w:val="0"/>
                <w:color w:val="0B0D10"/>
                <w:sz w:val="16"/>
              </w:rPr>
              <w:t>External aviation management / CAMO / crew</w:t>
            </w:r>
          </w:p>
        </w:tc>
      </w:tr>
      <w:tr>
        <w:tc>
          <w:tcPr>
            <w:tcW w:type="dxa" w:w="3600"/>
            <w:vAlign w:val="center"/>
            <w:shd w:fill="FFFFFF"/>
          </w:tcPr>
          <w:p>
            <w:pPr>
              <w:spacing w:after="0"/>
            </w:pPr>
            <w:r/>
            <w:r>
              <w:rPr>
                <w:rFonts w:ascii="Aptos" w:hAnsi="Aptos"/>
                <w:b w:val="0"/>
                <w:color w:val="0B0D10"/>
                <w:sz w:val="16"/>
              </w:rPr>
              <w:t>Use</w:t>
            </w:r>
          </w:p>
        </w:tc>
        <w:tc>
          <w:tcPr>
            <w:tcW w:type="dxa" w:w="6624"/>
            <w:vAlign w:val="center"/>
            <w:shd w:fill="FFFFFF"/>
          </w:tcPr>
          <w:p>
            <w:pPr>
              <w:spacing w:after="0"/>
            </w:pPr>
            <w:r/>
            <w:r>
              <w:rPr>
                <w:rFonts w:ascii="Aptos" w:hAnsi="Aptos"/>
                <w:b w:val="0"/>
                <w:color w:val="0B0D10"/>
                <w:sz w:val="16"/>
              </w:rPr>
              <w:t>RAS strategic travel, investor network, limited personal travel</w:t>
            </w:r>
          </w:p>
        </w:tc>
      </w:tr>
    </w:tbl>
    <w:p>
      <w:pPr>
        <w:spacing w:after="40"/>
      </w:pPr>
    </w:p>
    <w:p>
      <w:pPr>
        <w:pStyle w:val="Heading1"/>
      </w:pPr>
      <w:r>
        <w:t>7. Vehicle register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blHeader w:val="true"/>
          <w:tblHeader w:val="true"/>
          <w:tblHeader w:val="true"/>
          <w:tblHeader w:val="true"/>
          <w:tblHeader w:val="true"/>
        </w:trPr>
        <w:tc>
          <w:tcPr>
            <w:tcW w:type="dxa" w:w="1440"/>
            <w:vAlign w:val="center"/>
            <w:shd w:fill="252A30"/>
          </w:tcPr>
          <w:p>
            <w:pPr>
              <w:spacing w:after="0"/>
            </w:pPr>
            <w:r/>
            <w:r>
              <w:rPr>
                <w:rFonts w:ascii="Aptos" w:hAnsi="Aptos"/>
                <w:b/>
                <w:color w:val="FFFFFF"/>
                <w:sz w:val="16"/>
              </w:rPr>
              <w:t>ID</w:t>
            </w:r>
          </w:p>
        </w:tc>
        <w:tc>
          <w:tcPr>
            <w:tcW w:type="dxa" w:w="3024"/>
            <w:vAlign w:val="center"/>
            <w:shd w:fill="252A30"/>
          </w:tcPr>
          <w:p>
            <w:pPr>
              <w:spacing w:after="0"/>
            </w:pPr>
            <w:r/>
            <w:r>
              <w:rPr>
                <w:rFonts w:ascii="Aptos" w:hAnsi="Aptos"/>
                <w:b/>
                <w:color w:val="FFFFFF"/>
                <w:sz w:val="16"/>
              </w:rPr>
              <w:t>Model</w:t>
            </w:r>
          </w:p>
        </w:tc>
        <w:tc>
          <w:tcPr>
            <w:tcW w:type="dxa" w:w="1008"/>
            <w:vAlign w:val="center"/>
            <w:shd w:fill="252A30"/>
          </w:tcPr>
          <w:p>
            <w:pPr>
              <w:spacing w:after="0"/>
            </w:pPr>
            <w:r/>
            <w:r>
              <w:rPr>
                <w:rFonts w:ascii="Aptos" w:hAnsi="Aptos"/>
                <w:b/>
                <w:color w:val="FFFFFF"/>
                <w:sz w:val="16"/>
              </w:rPr>
              <w:t>Year</w:t>
            </w:r>
          </w:p>
        </w:tc>
        <w:tc>
          <w:tcPr>
            <w:tcW w:type="dxa" w:w="1440"/>
            <w:vAlign w:val="center"/>
            <w:shd w:fill="252A30"/>
          </w:tcPr>
          <w:p>
            <w:pPr>
              <w:spacing w:after="0"/>
            </w:pPr>
            <w:r/>
            <w:r>
              <w:rPr>
                <w:rFonts w:ascii="Aptos" w:hAnsi="Aptos"/>
                <w:b/>
                <w:color w:val="FFFFFF"/>
                <w:sz w:val="16"/>
              </w:rPr>
              <w:t>Acq. cost</w:t>
            </w:r>
          </w:p>
        </w:tc>
        <w:tc>
          <w:tcPr>
            <w:tcW w:type="dxa" w:w="1440"/>
            <w:vAlign w:val="center"/>
            <w:shd w:fill="252A30"/>
          </w:tcPr>
          <w:p>
            <w:pPr>
              <w:spacing w:after="0"/>
            </w:pPr>
            <w:r/>
            <w:r>
              <w:rPr>
                <w:rFonts w:ascii="Aptos" w:hAnsi="Aptos"/>
                <w:b/>
                <w:color w:val="FFFFFF"/>
                <w:sz w:val="16"/>
              </w:rPr>
              <w:t>2030 value</w:t>
            </w:r>
          </w:p>
        </w:tc>
        <w:tc>
          <w:tcPr>
            <w:tcW w:type="dxa" w:w="2304"/>
            <w:vAlign w:val="center"/>
            <w:shd w:fill="252A30"/>
          </w:tcPr>
          <w:p>
            <w:pPr>
              <w:spacing w:after="0"/>
            </w:pPr>
            <w:r/>
            <w:r>
              <w:rPr>
                <w:rFonts w:ascii="Aptos" w:hAnsi="Aptos"/>
                <w:b/>
                <w:color w:val="FFFFFF"/>
                <w:sz w:val="16"/>
              </w:rPr>
              <w:t>Use</w:t>
            </w:r>
          </w:p>
        </w:tc>
      </w:tr>
      <w:tr>
        <w:tc>
          <w:tcPr>
            <w:tcW w:type="dxa" w:w="1440"/>
            <w:vAlign w:val="center"/>
            <w:shd w:fill="FFFFFF"/>
          </w:tcPr>
          <w:p>
            <w:pPr>
              <w:spacing w:after="0"/>
            </w:pPr>
            <w:r/>
            <w:r>
              <w:rPr>
                <w:rFonts w:ascii="Aptos" w:hAnsi="Aptos"/>
                <w:b w:val="0"/>
                <w:color w:val="0B0D10"/>
                <w:sz w:val="16"/>
              </w:rPr>
              <w:t>VEH-P-001</w:t>
            </w:r>
          </w:p>
        </w:tc>
        <w:tc>
          <w:tcPr>
            <w:tcW w:type="dxa" w:w="3024"/>
            <w:vAlign w:val="center"/>
            <w:shd w:fill="FFFFFF"/>
          </w:tcPr>
          <w:p>
            <w:pPr>
              <w:spacing w:after="0"/>
            </w:pPr>
            <w:r/>
            <w:r>
              <w:rPr>
                <w:rFonts w:ascii="Aptos" w:hAnsi="Aptos"/>
                <w:b w:val="0"/>
                <w:color w:val="0B0D10"/>
                <w:sz w:val="16"/>
              </w:rPr>
              <w:t>Porsche 911 Turbo S</w:t>
            </w:r>
          </w:p>
        </w:tc>
        <w:tc>
          <w:tcPr>
            <w:tcW w:type="dxa" w:w="1008"/>
            <w:vAlign w:val="center"/>
            <w:shd w:fill="FFFFFF"/>
          </w:tcPr>
          <w:p>
            <w:pPr>
              <w:spacing w:after="0"/>
            </w:pPr>
            <w:r/>
            <w:r>
              <w:rPr>
                <w:rFonts w:ascii="Aptos" w:hAnsi="Aptos"/>
                <w:b w:val="0"/>
                <w:color w:val="0B0D10"/>
                <w:sz w:val="16"/>
              </w:rPr>
              <w:t>2029</w:t>
            </w:r>
          </w:p>
        </w:tc>
        <w:tc>
          <w:tcPr>
            <w:tcW w:type="dxa" w:w="1440"/>
            <w:vAlign w:val="center"/>
            <w:shd w:fill="FFFFFF"/>
          </w:tcPr>
          <w:p>
            <w:pPr>
              <w:spacing w:after="0"/>
            </w:pPr>
            <w:r/>
            <w:r>
              <w:rPr>
                <w:rFonts w:ascii="Aptos" w:hAnsi="Aptos"/>
                <w:b w:val="0"/>
                <w:color w:val="0B0D10"/>
                <w:sz w:val="16"/>
              </w:rPr>
              <w:t>€280k acquisition</w:t>
            </w:r>
          </w:p>
        </w:tc>
        <w:tc>
          <w:tcPr>
            <w:tcW w:type="dxa" w:w="1440"/>
            <w:vAlign w:val="center"/>
            <w:shd w:fill="FFFFFF"/>
          </w:tcPr>
          <w:p>
            <w:pPr>
              <w:spacing w:after="0"/>
            </w:pPr>
            <w:r/>
            <w:r>
              <w:rPr>
                <w:rFonts w:ascii="Aptos" w:hAnsi="Aptos"/>
                <w:b w:val="0"/>
                <w:color w:val="0B0D10"/>
                <w:sz w:val="16"/>
              </w:rPr>
              <w:t>€210k</w:t>
            </w:r>
          </w:p>
        </w:tc>
        <w:tc>
          <w:tcPr>
            <w:tcW w:type="dxa" w:w="2304"/>
            <w:vAlign w:val="center"/>
            <w:shd w:fill="FFFFFF"/>
          </w:tcPr>
          <w:p>
            <w:pPr>
              <w:spacing w:after="0"/>
            </w:pPr>
            <w:r/>
            <w:r>
              <w:rPr>
                <w:rFonts w:ascii="Aptos" w:hAnsi="Aptos"/>
                <w:b w:val="0"/>
                <w:color w:val="0B0D10"/>
                <w:sz w:val="16"/>
              </w:rPr>
              <w:t>Personal / Luxembourg</w:t>
            </w:r>
          </w:p>
        </w:tc>
      </w:tr>
      <w:tr>
        <w:tc>
          <w:tcPr>
            <w:tcW w:type="dxa" w:w="1440"/>
            <w:vAlign w:val="center"/>
            <w:shd w:fill="F1F2F0"/>
          </w:tcPr>
          <w:p>
            <w:pPr>
              <w:spacing w:after="0"/>
            </w:pPr>
            <w:r/>
            <w:r>
              <w:rPr>
                <w:rFonts w:ascii="Aptos" w:hAnsi="Aptos"/>
                <w:b w:val="0"/>
                <w:color w:val="0B0D10"/>
                <w:sz w:val="16"/>
              </w:rPr>
              <w:t>VEH-P-002</w:t>
            </w:r>
          </w:p>
        </w:tc>
        <w:tc>
          <w:tcPr>
            <w:tcW w:type="dxa" w:w="3024"/>
            <w:vAlign w:val="center"/>
            <w:shd w:fill="F1F2F0"/>
          </w:tcPr>
          <w:p>
            <w:pPr>
              <w:spacing w:after="0"/>
            </w:pPr>
            <w:r/>
            <w:r>
              <w:rPr>
                <w:rFonts w:ascii="Aptos" w:hAnsi="Aptos"/>
                <w:b w:val="0"/>
                <w:color w:val="0B0D10"/>
                <w:sz w:val="16"/>
              </w:rPr>
              <w:t>Range Rover SV LWB</w:t>
            </w:r>
          </w:p>
        </w:tc>
        <w:tc>
          <w:tcPr>
            <w:tcW w:type="dxa" w:w="1008"/>
            <w:vAlign w:val="center"/>
            <w:shd w:fill="F1F2F0"/>
          </w:tcPr>
          <w:p>
            <w:pPr>
              <w:spacing w:after="0"/>
            </w:pPr>
            <w:r/>
            <w:r>
              <w:rPr>
                <w:rFonts w:ascii="Aptos" w:hAnsi="Aptos"/>
                <w:b w:val="0"/>
                <w:color w:val="0B0D10"/>
                <w:sz w:val="16"/>
              </w:rPr>
              <w:t>2028</w:t>
            </w:r>
          </w:p>
        </w:tc>
        <w:tc>
          <w:tcPr>
            <w:tcW w:type="dxa" w:w="1440"/>
            <w:vAlign w:val="center"/>
            <w:shd w:fill="F1F2F0"/>
          </w:tcPr>
          <w:p>
            <w:pPr>
              <w:spacing w:after="0"/>
            </w:pPr>
            <w:r/>
            <w:r>
              <w:rPr>
                <w:rFonts w:ascii="Aptos" w:hAnsi="Aptos"/>
                <w:b w:val="0"/>
                <w:color w:val="0B0D10"/>
                <w:sz w:val="16"/>
              </w:rPr>
              <w:t>€210k</w:t>
            </w:r>
          </w:p>
        </w:tc>
        <w:tc>
          <w:tcPr>
            <w:tcW w:type="dxa" w:w="1440"/>
            <w:vAlign w:val="center"/>
            <w:shd w:fill="F1F2F0"/>
          </w:tcPr>
          <w:p>
            <w:pPr>
              <w:spacing w:after="0"/>
            </w:pPr>
            <w:r/>
            <w:r>
              <w:rPr>
                <w:rFonts w:ascii="Aptos" w:hAnsi="Aptos"/>
                <w:b w:val="0"/>
                <w:color w:val="0B0D10"/>
                <w:sz w:val="16"/>
              </w:rPr>
              <w:t>€195k</w:t>
            </w:r>
          </w:p>
        </w:tc>
        <w:tc>
          <w:tcPr>
            <w:tcW w:type="dxa" w:w="2304"/>
            <w:vAlign w:val="center"/>
            <w:shd w:fill="F1F2F0"/>
          </w:tcPr>
          <w:p>
            <w:pPr>
              <w:spacing w:after="0"/>
            </w:pPr>
            <w:r/>
            <w:r>
              <w:rPr>
                <w:rFonts w:ascii="Aptos" w:hAnsi="Aptos"/>
                <w:b w:val="0"/>
                <w:color w:val="0B0D10"/>
                <w:sz w:val="16"/>
              </w:rPr>
              <w:t>Primary residence / family / winter</w:t>
            </w:r>
          </w:p>
        </w:tc>
      </w:tr>
      <w:tr>
        <w:tc>
          <w:tcPr>
            <w:tcW w:type="dxa" w:w="1440"/>
            <w:vAlign w:val="center"/>
            <w:shd w:fill="FFFFFF"/>
          </w:tcPr>
          <w:p>
            <w:pPr>
              <w:spacing w:after="0"/>
            </w:pPr>
            <w:r/>
            <w:r>
              <w:rPr>
                <w:rFonts w:ascii="Aptos" w:hAnsi="Aptos"/>
                <w:b w:val="0"/>
                <w:color w:val="0B0D10"/>
                <w:sz w:val="16"/>
              </w:rPr>
              <w:t>VEH-P-003</w:t>
            </w:r>
          </w:p>
        </w:tc>
        <w:tc>
          <w:tcPr>
            <w:tcW w:type="dxa" w:w="3024"/>
            <w:vAlign w:val="center"/>
            <w:shd w:fill="FFFFFF"/>
          </w:tcPr>
          <w:p>
            <w:pPr>
              <w:spacing w:after="0"/>
            </w:pPr>
            <w:r/>
            <w:r>
              <w:rPr>
                <w:rFonts w:ascii="Aptos" w:hAnsi="Aptos"/>
                <w:b w:val="0"/>
                <w:color w:val="0B0D10"/>
                <w:sz w:val="16"/>
              </w:rPr>
              <w:t>BMW i7 xDrive60</w:t>
            </w:r>
          </w:p>
        </w:tc>
        <w:tc>
          <w:tcPr>
            <w:tcW w:type="dxa" w:w="1008"/>
            <w:vAlign w:val="center"/>
            <w:shd w:fill="FFFFFF"/>
          </w:tcPr>
          <w:p>
            <w:pPr>
              <w:spacing w:after="0"/>
            </w:pPr>
            <w:r/>
            <w:r>
              <w:rPr>
                <w:rFonts w:ascii="Aptos" w:hAnsi="Aptos"/>
                <w:b w:val="0"/>
                <w:color w:val="0B0D10"/>
                <w:sz w:val="16"/>
              </w:rPr>
              <w:t>2027</w:t>
            </w:r>
          </w:p>
        </w:tc>
        <w:tc>
          <w:tcPr>
            <w:tcW w:type="dxa" w:w="1440"/>
            <w:vAlign w:val="center"/>
            <w:shd w:fill="FFFFFF"/>
          </w:tcPr>
          <w:p>
            <w:pPr>
              <w:spacing w:after="0"/>
            </w:pPr>
            <w:r/>
            <w:r>
              <w:rPr>
                <w:rFonts w:ascii="Aptos" w:hAnsi="Aptos"/>
                <w:b w:val="0"/>
                <w:color w:val="0B0D10"/>
                <w:sz w:val="16"/>
              </w:rPr>
              <w:t>€145k</w:t>
            </w:r>
          </w:p>
        </w:tc>
        <w:tc>
          <w:tcPr>
            <w:tcW w:type="dxa" w:w="1440"/>
            <w:vAlign w:val="center"/>
            <w:shd w:fill="FFFFFF"/>
          </w:tcPr>
          <w:p>
            <w:pPr>
              <w:spacing w:after="0"/>
            </w:pPr>
            <w:r/>
            <w:r>
              <w:rPr>
                <w:rFonts w:ascii="Aptos" w:hAnsi="Aptos"/>
                <w:b w:val="0"/>
                <w:color w:val="0B0D10"/>
                <w:sz w:val="16"/>
              </w:rPr>
              <w:t>€65k</w:t>
            </w:r>
          </w:p>
        </w:tc>
        <w:tc>
          <w:tcPr>
            <w:tcW w:type="dxa" w:w="2304"/>
            <w:vAlign w:val="center"/>
            <w:shd w:fill="FFFFFF"/>
          </w:tcPr>
          <w:p>
            <w:pPr>
              <w:spacing w:after="0"/>
            </w:pPr>
            <w:r/>
            <w:r>
              <w:rPr>
                <w:rFonts w:ascii="Aptos" w:hAnsi="Aptos"/>
                <w:b w:val="0"/>
                <w:color w:val="0B0D10"/>
                <w:sz w:val="16"/>
              </w:rPr>
              <w:t>Urban / driver use</w:t>
            </w:r>
          </w:p>
        </w:tc>
      </w:tr>
    </w:tbl>
    <w:p>
      <w:pPr>
        <w:spacing w:after="40"/>
      </w:pPr>
    </w:p>
    <w:p>
      <w:pPr>
        <w:pStyle w:val="Heading1"/>
      </w:pPr>
      <w:r>
        <w:t>8. Wealth ledger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blHeader w:val="true"/>
          <w:tblHeader w:val="true"/>
          <w:tblHeader w:val="true"/>
        </w:trPr>
        <w:tc>
          <w:tcPr>
            <w:tcW w:type="dxa" w:w="3168"/>
            <w:vAlign w:val="center"/>
            <w:shd w:fill="252A30"/>
          </w:tcPr>
          <w:p>
            <w:pPr>
              <w:spacing w:after="0"/>
            </w:pPr>
            <w:r/>
            <w:r>
              <w:rPr>
                <w:rFonts w:ascii="Aptos" w:hAnsi="Aptos"/>
                <w:b/>
                <w:color w:val="FFFFFF"/>
                <w:sz w:val="16"/>
              </w:rPr>
              <w:t>Asset class</w:t>
            </w:r>
          </w:p>
        </w:tc>
        <w:tc>
          <w:tcPr>
            <w:tcW w:type="dxa" w:w="1800"/>
            <w:vAlign w:val="center"/>
            <w:shd w:fill="252A30"/>
          </w:tcPr>
          <w:p>
            <w:pPr>
              <w:spacing w:after="0"/>
            </w:pPr>
            <w:r/>
            <w:r>
              <w:rPr>
                <w:rFonts w:ascii="Aptos" w:hAnsi="Aptos"/>
                <w:b/>
                <w:color w:val="FFFFFF"/>
                <w:sz w:val="16"/>
              </w:rPr>
              <w:t>Value</w:t>
            </w:r>
          </w:p>
        </w:tc>
        <w:tc>
          <w:tcPr>
            <w:tcW w:type="dxa" w:w="1728"/>
            <w:vAlign w:val="center"/>
            <w:shd w:fill="252A30"/>
          </w:tcPr>
          <w:p>
            <w:pPr>
              <w:spacing w:after="0"/>
            </w:pPr>
            <w:r/>
            <w:r>
              <w:rPr>
                <w:rFonts w:ascii="Aptos" w:hAnsi="Aptos"/>
                <w:b/>
                <w:color w:val="FFFFFF"/>
                <w:sz w:val="16"/>
              </w:rPr>
              <w:t>Liquidity</w:t>
            </w:r>
          </w:p>
        </w:tc>
        <w:tc>
          <w:tcPr>
            <w:tcW w:type="dxa" w:w="4320"/>
            <w:vAlign w:val="center"/>
            <w:shd w:fill="252A30"/>
          </w:tcPr>
          <w:p>
            <w:pPr>
              <w:spacing w:after="0"/>
            </w:pPr>
            <w:r/>
            <w:r>
              <w:rPr>
                <w:rFonts w:ascii="Aptos" w:hAnsi="Aptos"/>
                <w:b/>
                <w:color w:val="FFFFFF"/>
                <w:sz w:val="16"/>
              </w:rPr>
              <w:t>Underlying</w:t>
            </w:r>
          </w:p>
        </w:tc>
      </w:tr>
      <w:tr>
        <w:tc>
          <w:tcPr>
            <w:tcW w:type="dxa" w:w="3168"/>
            <w:vAlign w:val="center"/>
            <w:shd w:fill="FFFFFF"/>
          </w:tcPr>
          <w:p>
            <w:pPr>
              <w:spacing w:after="0"/>
            </w:pPr>
            <w:r/>
            <w:r>
              <w:rPr>
                <w:rFonts w:ascii="Aptos" w:hAnsi="Aptos"/>
                <w:b w:val="0"/>
                <w:color w:val="0B0D10"/>
                <w:sz w:val="16"/>
              </w:rPr>
              <w:t>RAS equity</w:t>
            </w:r>
          </w:p>
        </w:tc>
        <w:tc>
          <w:tcPr>
            <w:tcW w:type="dxa" w:w="1800"/>
            <w:vAlign w:val="center"/>
            <w:shd w:fill="FFFFFF"/>
          </w:tcPr>
          <w:p>
            <w:pPr>
              <w:spacing w:after="0"/>
            </w:pPr>
            <w:r/>
            <w:r>
              <w:rPr>
                <w:rFonts w:ascii="Aptos" w:hAnsi="Aptos"/>
                <w:b w:val="0"/>
                <w:color w:val="0B0D10"/>
                <w:sz w:val="16"/>
              </w:rPr>
              <w:t>€333.904M</w:t>
            </w:r>
          </w:p>
        </w:tc>
        <w:tc>
          <w:tcPr>
            <w:tcW w:type="dxa" w:w="1728"/>
            <w:vAlign w:val="center"/>
            <w:shd w:fill="FFFFFF"/>
          </w:tcPr>
          <w:p>
            <w:pPr>
              <w:spacing w:after="0"/>
            </w:pPr>
            <w:r/>
            <w:r>
              <w:rPr>
                <w:rFonts w:ascii="Aptos" w:hAnsi="Aptos"/>
                <w:b w:val="0"/>
                <w:color w:val="0B0D10"/>
                <w:sz w:val="16"/>
              </w:rPr>
              <w:t>Strategic / illiquid</w:t>
            </w:r>
          </w:p>
        </w:tc>
        <w:tc>
          <w:tcPr>
            <w:tcW w:type="dxa" w:w="4320"/>
            <w:vAlign w:val="center"/>
            <w:shd w:fill="FFFFFF"/>
          </w:tcPr>
          <w:p>
            <w:pPr>
              <w:spacing w:after="0"/>
            </w:pPr>
            <w:r/>
            <w:r>
              <w:rPr>
                <w:rFonts w:ascii="Aptos" w:hAnsi="Aptos"/>
                <w:b w:val="0"/>
                <w:color w:val="0B0D10"/>
                <w:sz w:val="16"/>
              </w:rPr>
              <w:t>4.472M FD shares, conservative personal mark vs €366.704M gross company mark</w:t>
            </w:r>
          </w:p>
        </w:tc>
      </w:tr>
      <w:tr>
        <w:tc>
          <w:tcPr>
            <w:tcW w:type="dxa" w:w="3168"/>
            <w:vAlign w:val="center"/>
            <w:shd w:fill="F1F2F0"/>
          </w:tcPr>
          <w:p>
            <w:pPr>
              <w:spacing w:after="0"/>
            </w:pPr>
            <w:r/>
            <w:r>
              <w:rPr>
                <w:rFonts w:ascii="Aptos" w:hAnsi="Aptos"/>
                <w:b w:val="0"/>
                <w:color w:val="0B0D10"/>
                <w:sz w:val="16"/>
              </w:rPr>
              <w:t>Cash</w:t>
            </w:r>
          </w:p>
        </w:tc>
        <w:tc>
          <w:tcPr>
            <w:tcW w:type="dxa" w:w="1800"/>
            <w:vAlign w:val="center"/>
            <w:shd w:fill="F1F2F0"/>
          </w:tcPr>
          <w:p>
            <w:pPr>
              <w:spacing w:after="0"/>
            </w:pPr>
            <w:r/>
            <w:r>
              <w:rPr>
                <w:rFonts w:ascii="Aptos" w:hAnsi="Aptos"/>
                <w:b w:val="0"/>
                <w:color w:val="0B0D10"/>
                <w:sz w:val="16"/>
              </w:rPr>
              <w:t>€22.500M</w:t>
            </w:r>
          </w:p>
        </w:tc>
        <w:tc>
          <w:tcPr>
            <w:tcW w:type="dxa" w:w="1728"/>
            <w:vAlign w:val="center"/>
            <w:shd w:fill="F1F2F0"/>
          </w:tcPr>
          <w:p>
            <w:pPr>
              <w:spacing w:after="0"/>
            </w:pPr>
            <w:r/>
            <w:r>
              <w:rPr>
                <w:rFonts w:ascii="Aptos" w:hAnsi="Aptos"/>
                <w:b w:val="0"/>
                <w:color w:val="0B0D10"/>
                <w:sz w:val="16"/>
              </w:rPr>
              <w:t>High</w:t>
            </w:r>
          </w:p>
        </w:tc>
        <w:tc>
          <w:tcPr>
            <w:tcW w:type="dxa" w:w="4320"/>
            <w:vAlign w:val="center"/>
            <w:shd w:fill="F1F2F0"/>
          </w:tcPr>
          <w:p>
            <w:pPr>
              <w:spacing w:after="0"/>
            </w:pPr>
            <w:r/>
            <w:r>
              <w:rPr>
                <w:rFonts w:ascii="Aptos" w:hAnsi="Aptos"/>
                <w:b w:val="0"/>
                <w:color w:val="0B0D10"/>
                <w:sz w:val="16"/>
              </w:rPr>
              <w:t>Multi-bank HNW liquidity reserve</w:t>
            </w:r>
          </w:p>
        </w:tc>
      </w:tr>
      <w:tr>
        <w:tc>
          <w:tcPr>
            <w:tcW w:type="dxa" w:w="3168"/>
            <w:vAlign w:val="center"/>
            <w:shd w:fill="FFFFFF"/>
          </w:tcPr>
          <w:p>
            <w:pPr>
              <w:spacing w:after="0"/>
            </w:pPr>
            <w:r/>
            <w:r>
              <w:rPr>
                <w:rFonts w:ascii="Aptos" w:hAnsi="Aptos"/>
                <w:b w:val="0"/>
                <w:color w:val="0B0D10"/>
                <w:sz w:val="16"/>
              </w:rPr>
              <w:t>Listed securities</w:t>
            </w:r>
          </w:p>
        </w:tc>
        <w:tc>
          <w:tcPr>
            <w:tcW w:type="dxa" w:w="1800"/>
            <w:vAlign w:val="center"/>
            <w:shd w:fill="FFFFFF"/>
          </w:tcPr>
          <w:p>
            <w:pPr>
              <w:spacing w:after="0"/>
            </w:pPr>
            <w:r/>
            <w:r>
              <w:rPr>
                <w:rFonts w:ascii="Aptos" w:hAnsi="Aptos"/>
                <w:b w:val="0"/>
                <w:color w:val="0B0D10"/>
                <w:sz w:val="16"/>
              </w:rPr>
              <w:t>€18.200M</w:t>
            </w:r>
          </w:p>
        </w:tc>
        <w:tc>
          <w:tcPr>
            <w:tcW w:type="dxa" w:w="1728"/>
            <w:vAlign w:val="center"/>
            <w:shd w:fill="FFFFFF"/>
          </w:tcPr>
          <w:p>
            <w:pPr>
              <w:spacing w:after="0"/>
            </w:pPr>
            <w:r/>
            <w:r>
              <w:rPr>
                <w:rFonts w:ascii="Aptos" w:hAnsi="Aptos"/>
                <w:b w:val="0"/>
                <w:color w:val="0B0D10"/>
                <w:sz w:val="16"/>
              </w:rPr>
              <w:t>High</w:t>
            </w:r>
          </w:p>
        </w:tc>
        <w:tc>
          <w:tcPr>
            <w:tcW w:type="dxa" w:w="4320"/>
            <w:vAlign w:val="center"/>
            <w:shd w:fill="FFFFFF"/>
          </w:tcPr>
          <w:p>
            <w:pPr>
              <w:spacing w:after="0"/>
            </w:pPr>
            <w:r/>
            <w:r>
              <w:rPr>
                <w:rFonts w:ascii="Aptos" w:hAnsi="Aptos"/>
                <w:b w:val="0"/>
                <w:color w:val="0B0D10"/>
                <w:sz w:val="16"/>
              </w:rPr>
              <w:t>Diversified; ex-RAS concentration controlled</w:t>
            </w:r>
          </w:p>
        </w:tc>
      </w:tr>
      <w:tr>
        <w:tc>
          <w:tcPr>
            <w:tcW w:type="dxa" w:w="3168"/>
            <w:vAlign w:val="center"/>
            <w:shd w:fill="F1F2F0"/>
          </w:tcPr>
          <w:p>
            <w:pPr>
              <w:spacing w:after="0"/>
            </w:pPr>
            <w:r/>
            <w:r>
              <w:rPr>
                <w:rFonts w:ascii="Aptos" w:hAnsi="Aptos"/>
                <w:b w:val="0"/>
                <w:color w:val="0B0D10"/>
                <w:sz w:val="16"/>
              </w:rPr>
              <w:t>Private investments</w:t>
            </w:r>
          </w:p>
        </w:tc>
        <w:tc>
          <w:tcPr>
            <w:tcW w:type="dxa" w:w="1800"/>
            <w:vAlign w:val="center"/>
            <w:shd w:fill="F1F2F0"/>
          </w:tcPr>
          <w:p>
            <w:pPr>
              <w:spacing w:after="0"/>
            </w:pPr>
            <w:r/>
            <w:r>
              <w:rPr>
                <w:rFonts w:ascii="Aptos" w:hAnsi="Aptos"/>
                <w:b w:val="0"/>
                <w:color w:val="0B0D10"/>
                <w:sz w:val="16"/>
              </w:rPr>
              <w:t>€6.500M</w:t>
            </w:r>
          </w:p>
        </w:tc>
        <w:tc>
          <w:tcPr>
            <w:tcW w:type="dxa" w:w="1728"/>
            <w:vAlign w:val="center"/>
            <w:shd w:fill="F1F2F0"/>
          </w:tcPr>
          <w:p>
            <w:pPr>
              <w:spacing w:after="0"/>
            </w:pPr>
            <w:r/>
            <w:r>
              <w:rPr>
                <w:rFonts w:ascii="Aptos" w:hAnsi="Aptos"/>
                <w:b w:val="0"/>
                <w:color w:val="0B0D10"/>
                <w:sz w:val="16"/>
              </w:rPr>
              <w:t>Low</w:t>
            </w:r>
          </w:p>
        </w:tc>
        <w:tc>
          <w:tcPr>
            <w:tcW w:type="dxa" w:w="4320"/>
            <w:vAlign w:val="center"/>
            <w:shd w:fill="F1F2F0"/>
          </w:tcPr>
          <w:p>
            <w:pPr>
              <w:spacing w:after="0"/>
            </w:pPr>
            <w:r/>
            <w:r>
              <w:rPr>
                <w:rFonts w:ascii="Aptos" w:hAnsi="Aptos"/>
                <w:b w:val="0"/>
                <w:color w:val="0B0D10"/>
                <w:sz w:val="16"/>
              </w:rPr>
              <w:t>Deep-tech / industrial / space / quantum</w:t>
            </w:r>
          </w:p>
        </w:tc>
      </w:tr>
      <w:tr>
        <w:tc>
          <w:tcPr>
            <w:tcW w:type="dxa" w:w="3168"/>
            <w:vAlign w:val="center"/>
            <w:shd w:fill="FFFFFF"/>
          </w:tcPr>
          <w:p>
            <w:pPr>
              <w:spacing w:after="0"/>
            </w:pPr>
            <w:r/>
            <w:r>
              <w:rPr>
                <w:rFonts w:ascii="Aptos" w:hAnsi="Aptos"/>
                <w:b w:val="0"/>
                <w:color w:val="0B0D10"/>
                <w:sz w:val="16"/>
              </w:rPr>
              <w:t>Real estate</w:t>
            </w:r>
          </w:p>
        </w:tc>
        <w:tc>
          <w:tcPr>
            <w:tcW w:type="dxa" w:w="1800"/>
            <w:vAlign w:val="center"/>
            <w:shd w:fill="FFFFFF"/>
          </w:tcPr>
          <w:p>
            <w:pPr>
              <w:spacing w:after="0"/>
            </w:pPr>
            <w:r/>
            <w:r>
              <w:rPr>
                <w:rFonts w:ascii="Aptos" w:hAnsi="Aptos"/>
                <w:b w:val="0"/>
                <w:color w:val="0B0D10"/>
                <w:sz w:val="16"/>
              </w:rPr>
              <w:t>€11.100M</w:t>
            </w:r>
          </w:p>
        </w:tc>
        <w:tc>
          <w:tcPr>
            <w:tcW w:type="dxa" w:w="1728"/>
            <w:vAlign w:val="center"/>
            <w:shd w:fill="FFFFFF"/>
          </w:tcPr>
          <w:p>
            <w:pPr>
              <w:spacing w:after="0"/>
            </w:pPr>
            <w:r/>
            <w:r>
              <w:rPr>
                <w:rFonts w:ascii="Aptos" w:hAnsi="Aptos"/>
                <w:b w:val="0"/>
                <w:color w:val="0B0D10"/>
                <w:sz w:val="16"/>
              </w:rPr>
              <w:t>Low</w:t>
            </w:r>
          </w:p>
        </w:tc>
        <w:tc>
          <w:tcPr>
            <w:tcW w:type="dxa" w:w="4320"/>
            <w:vAlign w:val="center"/>
            <w:shd w:fill="FFFFFF"/>
          </w:tcPr>
          <w:p>
            <w:pPr>
              <w:spacing w:after="0"/>
            </w:pPr>
            <w:r/>
            <w:r>
              <w:rPr>
                <w:rFonts w:ascii="Aptos" w:hAnsi="Aptos"/>
                <w:b w:val="0"/>
                <w:color w:val="0B0D10"/>
                <w:sz w:val="16"/>
              </w:rPr>
              <w:t>Three owned properties</w:t>
            </w:r>
          </w:p>
        </w:tc>
      </w:tr>
      <w:tr>
        <w:tc>
          <w:tcPr>
            <w:tcW w:type="dxa" w:w="3168"/>
            <w:vAlign w:val="center"/>
            <w:shd w:fill="F1F2F0"/>
          </w:tcPr>
          <w:p>
            <w:pPr>
              <w:spacing w:after="0"/>
            </w:pPr>
            <w:r/>
            <w:r>
              <w:rPr>
                <w:rFonts w:ascii="Aptos" w:hAnsi="Aptos"/>
                <w:b w:val="0"/>
                <w:color w:val="0B0D10"/>
                <w:sz w:val="16"/>
              </w:rPr>
              <w:t>Aircraft</w:t>
            </w:r>
          </w:p>
        </w:tc>
        <w:tc>
          <w:tcPr>
            <w:tcW w:type="dxa" w:w="1800"/>
            <w:vAlign w:val="center"/>
            <w:shd w:fill="F1F2F0"/>
          </w:tcPr>
          <w:p>
            <w:pPr>
              <w:spacing w:after="0"/>
            </w:pPr>
            <w:r/>
            <w:r>
              <w:rPr>
                <w:rFonts w:ascii="Aptos" w:hAnsi="Aptos"/>
                <w:b w:val="0"/>
                <w:color w:val="0B0D10"/>
                <w:sz w:val="16"/>
              </w:rPr>
              <w:t>€18.000M</w:t>
            </w:r>
          </w:p>
        </w:tc>
        <w:tc>
          <w:tcPr>
            <w:tcW w:type="dxa" w:w="1728"/>
            <w:vAlign w:val="center"/>
            <w:shd w:fill="F1F2F0"/>
          </w:tcPr>
          <w:p>
            <w:pPr>
              <w:spacing w:after="0"/>
            </w:pPr>
            <w:r/>
            <w:r>
              <w:rPr>
                <w:rFonts w:ascii="Aptos" w:hAnsi="Aptos"/>
                <w:b w:val="0"/>
                <w:color w:val="0B0D10"/>
                <w:sz w:val="16"/>
              </w:rPr>
              <w:t>Medium</w:t>
            </w:r>
          </w:p>
        </w:tc>
        <w:tc>
          <w:tcPr>
            <w:tcW w:type="dxa" w:w="4320"/>
            <w:vAlign w:val="center"/>
            <w:shd w:fill="F1F2F0"/>
          </w:tcPr>
          <w:p>
            <w:pPr>
              <w:spacing w:after="0"/>
            </w:pPr>
            <w:r/>
            <w:r>
              <w:rPr>
                <w:rFonts w:ascii="Aptos" w:hAnsi="Aptos"/>
                <w:b w:val="0"/>
                <w:color w:val="0B0D10"/>
                <w:sz w:val="16"/>
              </w:rPr>
              <w:t>G280; debt-backed</w:t>
            </w:r>
          </w:p>
        </w:tc>
      </w:tr>
      <w:tr>
        <w:tc>
          <w:tcPr>
            <w:tcW w:type="dxa" w:w="3168"/>
            <w:vAlign w:val="center"/>
            <w:shd w:fill="FFFFFF"/>
          </w:tcPr>
          <w:p>
            <w:pPr>
              <w:spacing w:after="0"/>
            </w:pPr>
            <w:r/>
            <w:r>
              <w:rPr>
                <w:rFonts w:ascii="Aptos" w:hAnsi="Aptos"/>
                <w:b w:val="0"/>
                <w:color w:val="0B0D10"/>
                <w:sz w:val="16"/>
              </w:rPr>
              <w:t>Vehicles</w:t>
            </w:r>
          </w:p>
        </w:tc>
        <w:tc>
          <w:tcPr>
            <w:tcW w:type="dxa" w:w="1800"/>
            <w:vAlign w:val="center"/>
            <w:shd w:fill="FFFFFF"/>
          </w:tcPr>
          <w:p>
            <w:pPr>
              <w:spacing w:after="0"/>
            </w:pPr>
            <w:r/>
            <w:r>
              <w:rPr>
                <w:rFonts w:ascii="Aptos" w:hAnsi="Aptos"/>
                <w:b w:val="0"/>
                <w:color w:val="0B0D10"/>
                <w:sz w:val="16"/>
              </w:rPr>
              <w:t>€0.470M</w:t>
            </w:r>
          </w:p>
        </w:tc>
        <w:tc>
          <w:tcPr>
            <w:tcW w:type="dxa" w:w="1728"/>
            <w:vAlign w:val="center"/>
            <w:shd w:fill="FFFFFF"/>
          </w:tcPr>
          <w:p>
            <w:pPr>
              <w:spacing w:after="0"/>
            </w:pPr>
            <w:r/>
            <w:r>
              <w:rPr>
                <w:rFonts w:ascii="Aptos" w:hAnsi="Aptos"/>
                <w:b w:val="0"/>
                <w:color w:val="0B0D10"/>
                <w:sz w:val="16"/>
              </w:rPr>
              <w:t>Medium</w:t>
            </w:r>
          </w:p>
        </w:tc>
        <w:tc>
          <w:tcPr>
            <w:tcW w:type="dxa" w:w="4320"/>
            <w:vAlign w:val="center"/>
            <w:shd w:fill="FFFFFF"/>
          </w:tcPr>
          <w:p>
            <w:pPr>
              <w:spacing w:after="0"/>
            </w:pPr>
            <w:r/>
            <w:r>
              <w:rPr>
                <w:rFonts w:ascii="Aptos" w:hAnsi="Aptos"/>
                <w:b w:val="0"/>
                <w:color w:val="0B0D10"/>
                <w:sz w:val="16"/>
              </w:rPr>
              <w:t>Three vehicles</w:t>
            </w:r>
          </w:p>
        </w:tc>
      </w:tr>
      <w:tr>
        <w:tc>
          <w:tcPr>
            <w:tcW w:type="dxa" w:w="3168"/>
            <w:vAlign w:val="center"/>
            <w:shd w:fill="F1F2F0"/>
          </w:tcPr>
          <w:p>
            <w:pPr>
              <w:spacing w:after="0"/>
            </w:pPr>
            <w:r/>
            <w:r>
              <w:rPr>
                <w:rFonts w:ascii="Aptos" w:hAnsi="Aptos"/>
                <w:b w:val="0"/>
                <w:color w:val="0B0D10"/>
                <w:sz w:val="16"/>
              </w:rPr>
              <w:t>Watches</w:t>
            </w:r>
          </w:p>
        </w:tc>
        <w:tc>
          <w:tcPr>
            <w:tcW w:type="dxa" w:w="1800"/>
            <w:vAlign w:val="center"/>
            <w:shd w:fill="F1F2F0"/>
          </w:tcPr>
          <w:p>
            <w:pPr>
              <w:spacing w:after="0"/>
            </w:pPr>
            <w:r/>
            <w:r>
              <w:rPr>
                <w:rFonts w:ascii="Aptos" w:hAnsi="Aptos"/>
                <w:b w:val="0"/>
                <w:color w:val="0B0D10"/>
                <w:sz w:val="16"/>
              </w:rPr>
              <w:t>€0.550M</w:t>
            </w:r>
          </w:p>
        </w:tc>
        <w:tc>
          <w:tcPr>
            <w:tcW w:type="dxa" w:w="1728"/>
            <w:vAlign w:val="center"/>
            <w:shd w:fill="F1F2F0"/>
          </w:tcPr>
          <w:p>
            <w:pPr>
              <w:spacing w:after="0"/>
            </w:pPr>
            <w:r/>
            <w:r>
              <w:rPr>
                <w:rFonts w:ascii="Aptos" w:hAnsi="Aptos"/>
                <w:b w:val="0"/>
                <w:color w:val="0B0D10"/>
                <w:sz w:val="16"/>
              </w:rPr>
              <w:t>Low/medium</w:t>
            </w:r>
          </w:p>
        </w:tc>
        <w:tc>
          <w:tcPr>
            <w:tcW w:type="dxa" w:w="4320"/>
            <w:vAlign w:val="center"/>
            <w:shd w:fill="F1F2F0"/>
          </w:tcPr>
          <w:p>
            <w:pPr>
              <w:spacing w:after="0"/>
            </w:pPr>
            <w:r/>
            <w:r>
              <w:rPr>
                <w:rFonts w:ascii="Aptos" w:hAnsi="Aptos"/>
                <w:b w:val="0"/>
                <w:color w:val="0B0D10"/>
                <w:sz w:val="16"/>
              </w:rPr>
              <w:t>Collector-grade, insured</w:t>
            </w:r>
          </w:p>
        </w:tc>
      </w:tr>
      <w:tr>
        <w:tc>
          <w:tcPr>
            <w:tcW w:type="dxa" w:w="3168"/>
            <w:vAlign w:val="center"/>
            <w:shd w:fill="FFFFFF"/>
          </w:tcPr>
          <w:p>
            <w:pPr>
              <w:spacing w:after="0"/>
            </w:pPr>
            <w:r/>
            <w:r>
              <w:rPr>
                <w:rFonts w:ascii="Aptos" w:hAnsi="Aptos"/>
                <w:b w:val="0"/>
                <w:color w:val="0B0D10"/>
                <w:sz w:val="16"/>
              </w:rPr>
              <w:t>Jewellery</w:t>
            </w:r>
          </w:p>
        </w:tc>
        <w:tc>
          <w:tcPr>
            <w:tcW w:type="dxa" w:w="1800"/>
            <w:vAlign w:val="center"/>
            <w:shd w:fill="FFFFFF"/>
          </w:tcPr>
          <w:p>
            <w:pPr>
              <w:spacing w:after="0"/>
            </w:pPr>
            <w:r/>
            <w:r>
              <w:rPr>
                <w:rFonts w:ascii="Aptos" w:hAnsi="Aptos"/>
                <w:b w:val="0"/>
                <w:color w:val="0B0D10"/>
                <w:sz w:val="16"/>
              </w:rPr>
              <w:t>€0.250M</w:t>
            </w:r>
          </w:p>
        </w:tc>
        <w:tc>
          <w:tcPr>
            <w:tcW w:type="dxa" w:w="1728"/>
            <w:vAlign w:val="center"/>
            <w:shd w:fill="FFFFFF"/>
          </w:tcPr>
          <w:p>
            <w:pPr>
              <w:spacing w:after="0"/>
            </w:pPr>
            <w:r/>
            <w:r>
              <w:rPr>
                <w:rFonts w:ascii="Aptos" w:hAnsi="Aptos"/>
                <w:b w:val="0"/>
                <w:color w:val="0B0D10"/>
                <w:sz w:val="16"/>
              </w:rPr>
              <w:t>Low</w:t>
            </w:r>
          </w:p>
        </w:tc>
        <w:tc>
          <w:tcPr>
            <w:tcW w:type="dxa" w:w="4320"/>
            <w:vAlign w:val="center"/>
            <w:shd w:fill="FFFFFF"/>
          </w:tcPr>
          <w:p>
            <w:pPr>
              <w:spacing w:after="0"/>
            </w:pPr>
            <w:r/>
            <w:r>
              <w:rPr>
                <w:rFonts w:ascii="Aptos" w:hAnsi="Aptos"/>
                <w:b w:val="0"/>
                <w:color w:val="0B0D10"/>
                <w:sz w:val="16"/>
              </w:rPr>
              <w:t>Selective pieces</w:t>
            </w:r>
          </w:p>
        </w:tc>
      </w:tr>
      <w:tr>
        <w:tc>
          <w:tcPr>
            <w:tcW w:type="dxa" w:w="3168"/>
            <w:vAlign w:val="center"/>
            <w:shd w:fill="F1F2F0"/>
          </w:tcPr>
          <w:p>
            <w:pPr>
              <w:spacing w:after="0"/>
            </w:pPr>
            <w:r/>
            <w:r>
              <w:rPr>
                <w:rFonts w:ascii="Aptos" w:hAnsi="Aptos"/>
                <w:b w:val="0"/>
                <w:color w:val="0B0D10"/>
                <w:sz w:val="16"/>
              </w:rPr>
              <w:t>Contemporary art / design</w:t>
            </w:r>
          </w:p>
        </w:tc>
        <w:tc>
          <w:tcPr>
            <w:tcW w:type="dxa" w:w="1800"/>
            <w:vAlign w:val="center"/>
            <w:shd w:fill="F1F2F0"/>
          </w:tcPr>
          <w:p>
            <w:pPr>
              <w:spacing w:after="0"/>
            </w:pPr>
            <w:r/>
            <w:r>
              <w:rPr>
                <w:rFonts w:ascii="Aptos" w:hAnsi="Aptos"/>
                <w:b w:val="0"/>
                <w:color w:val="0B0D10"/>
                <w:sz w:val="16"/>
              </w:rPr>
              <w:t>€1.200M</w:t>
            </w:r>
          </w:p>
        </w:tc>
        <w:tc>
          <w:tcPr>
            <w:tcW w:type="dxa" w:w="1728"/>
            <w:vAlign w:val="center"/>
            <w:shd w:fill="F1F2F0"/>
          </w:tcPr>
          <w:p>
            <w:pPr>
              <w:spacing w:after="0"/>
            </w:pPr>
            <w:r/>
            <w:r>
              <w:rPr>
                <w:rFonts w:ascii="Aptos" w:hAnsi="Aptos"/>
                <w:b w:val="0"/>
                <w:color w:val="0B0D10"/>
                <w:sz w:val="16"/>
              </w:rPr>
              <w:t>Low/medium</w:t>
            </w:r>
          </w:p>
        </w:tc>
        <w:tc>
          <w:tcPr>
            <w:tcW w:type="dxa" w:w="4320"/>
            <w:vAlign w:val="center"/>
            <w:shd w:fill="F1F2F0"/>
          </w:tcPr>
          <w:p>
            <w:pPr>
              <w:spacing w:after="0"/>
            </w:pPr>
            <w:r/>
            <w:r>
              <w:rPr>
                <w:rFonts w:ascii="Aptos" w:hAnsi="Aptos"/>
                <w:b w:val="0"/>
                <w:color w:val="0B0D10"/>
                <w:sz w:val="16"/>
              </w:rPr>
              <w:t>5–8 works / design objects</w:t>
            </w:r>
          </w:p>
        </w:tc>
      </w:tr>
      <w:tr>
        <w:tc>
          <w:tcPr>
            <w:tcW w:type="dxa" w:w="3168"/>
            <w:vAlign w:val="center"/>
            <w:shd w:fill="FFFFFF"/>
          </w:tcPr>
          <w:p>
            <w:pPr>
              <w:spacing w:after="0"/>
            </w:pPr>
            <w:r/>
            <w:r>
              <w:rPr>
                <w:rFonts w:ascii="Aptos" w:hAnsi="Aptos"/>
                <w:b w:val="0"/>
                <w:color w:val="0B0D10"/>
                <w:sz w:val="16"/>
              </w:rPr>
              <w:t>Other HNW goods</w:t>
            </w:r>
          </w:p>
        </w:tc>
        <w:tc>
          <w:tcPr>
            <w:tcW w:type="dxa" w:w="1800"/>
            <w:vAlign w:val="center"/>
            <w:shd w:fill="FFFFFF"/>
          </w:tcPr>
          <w:p>
            <w:pPr>
              <w:spacing w:after="0"/>
            </w:pPr>
            <w:r/>
            <w:r>
              <w:rPr>
                <w:rFonts w:ascii="Aptos" w:hAnsi="Aptos"/>
                <w:b w:val="0"/>
                <w:color w:val="0B0D10"/>
                <w:sz w:val="16"/>
              </w:rPr>
              <w:t>€0.400M</w:t>
            </w:r>
          </w:p>
        </w:tc>
        <w:tc>
          <w:tcPr>
            <w:tcW w:type="dxa" w:w="1728"/>
            <w:vAlign w:val="center"/>
            <w:shd w:fill="FFFFFF"/>
          </w:tcPr>
          <w:p>
            <w:pPr>
              <w:spacing w:after="0"/>
            </w:pPr>
            <w:r/>
            <w:r>
              <w:rPr>
                <w:rFonts w:ascii="Aptos" w:hAnsi="Aptos"/>
                <w:b w:val="0"/>
                <w:color w:val="0B0D10"/>
                <w:sz w:val="16"/>
              </w:rPr>
              <w:t>Low</w:t>
            </w:r>
          </w:p>
        </w:tc>
        <w:tc>
          <w:tcPr>
            <w:tcW w:type="dxa" w:w="4320"/>
            <w:vAlign w:val="center"/>
            <w:shd w:fill="FFFFFF"/>
          </w:tcPr>
          <w:p>
            <w:pPr>
              <w:spacing w:after="0"/>
            </w:pPr>
            <w:r/>
            <w:r>
              <w:rPr>
                <w:rFonts w:ascii="Aptos" w:hAnsi="Aptos"/>
                <w:b w:val="0"/>
                <w:color w:val="0B0D10"/>
                <w:sz w:val="16"/>
              </w:rPr>
              <w:t>Cameras, instruments, collectibles, equipment</w:t>
            </w:r>
          </w:p>
        </w:tc>
      </w:tr>
      <w:tr>
        <w:tc>
          <w:tcPr>
            <w:tcW w:type="dxa" w:w="3168"/>
            <w:vAlign w:val="center"/>
            <w:shd w:fill="F1F2F0"/>
          </w:tcPr>
          <w:p>
            <w:pPr>
              <w:spacing w:after="0"/>
            </w:pPr>
            <w:r/>
            <w:r>
              <w:rPr>
                <w:rFonts w:ascii="Aptos" w:hAnsi="Aptos"/>
                <w:b w:val="0"/>
                <w:color w:val="0B0D10"/>
                <w:sz w:val="16"/>
              </w:rPr>
              <w:t>Founder IP / royalty rights</w:t>
            </w:r>
          </w:p>
        </w:tc>
        <w:tc>
          <w:tcPr>
            <w:tcW w:type="dxa" w:w="1800"/>
            <w:vAlign w:val="center"/>
            <w:shd w:fill="F1F2F0"/>
          </w:tcPr>
          <w:p>
            <w:pPr>
              <w:spacing w:after="0"/>
            </w:pPr>
            <w:r/>
            <w:r>
              <w:rPr>
                <w:rFonts w:ascii="Aptos" w:hAnsi="Aptos"/>
                <w:b w:val="0"/>
                <w:color w:val="0B0D10"/>
                <w:sz w:val="16"/>
              </w:rPr>
              <w:t>€0.500M</w:t>
            </w:r>
          </w:p>
        </w:tc>
        <w:tc>
          <w:tcPr>
            <w:tcW w:type="dxa" w:w="1728"/>
            <w:vAlign w:val="center"/>
            <w:shd w:fill="F1F2F0"/>
          </w:tcPr>
          <w:p>
            <w:pPr>
              <w:spacing w:after="0"/>
            </w:pPr>
            <w:r/>
            <w:r>
              <w:rPr>
                <w:rFonts w:ascii="Aptos" w:hAnsi="Aptos"/>
                <w:b w:val="0"/>
                <w:color w:val="0B0D10"/>
                <w:sz w:val="16"/>
              </w:rPr>
              <w:t>Low</w:t>
            </w:r>
          </w:p>
        </w:tc>
        <w:tc>
          <w:tcPr>
            <w:tcW w:type="dxa" w:w="4320"/>
            <w:vAlign w:val="center"/>
            <w:shd w:fill="F1F2F0"/>
          </w:tcPr>
          <w:p>
            <w:pPr>
              <w:spacing w:after="0"/>
            </w:pPr>
            <w:r/>
            <w:r>
              <w:rPr>
                <w:rFonts w:ascii="Aptos" w:hAnsi="Aptos"/>
                <w:b w:val="0"/>
                <w:color w:val="0B0D10"/>
                <w:sz w:val="16"/>
              </w:rPr>
              <w:t>Carrying value / contracted royalty stream</w:t>
            </w:r>
          </w:p>
        </w:tc>
      </w:tr>
    </w:tbl>
    <w:p>
      <w:pPr>
        <w:spacing w:after="40"/>
      </w:pPr>
    </w:p>
    <w:p>
      <w:pPr>
        <w:pStyle w:val="Heading1"/>
      </w:pPr>
      <w:r>
        <w:t>9. Liabilities</w:t>
      </w:r>
    </w:p>
    <w:tbl>
      <w:tblPr>
        <w:tblStyle w:val="TableGrid"/>
        <w:tblW w:type="auto" w:w="0"/>
        <w:jc w:val="center"/>
        <w:tblLook w:firstColumn="1" w:firstRow="1" w:lastColumn="0" w:lastRow="0" w:noHBand="0" w:noVBand="1" w:val="04A0"/>
      </w:tblPr>
      <w:tblGrid>
        <w:gridCol w:w="3408"/>
        <w:gridCol w:w="3408"/>
        <w:gridCol w:w="3408"/>
      </w:tblGrid>
      <w:tr>
        <w:trPr>
          <w:tblHeader w:val="true"/>
          <w:tblHeader w:val="true"/>
          <w:tblHeader w:val="true"/>
        </w:trPr>
        <w:tc>
          <w:tcPr>
            <w:tcW w:type="dxa" w:w="4320"/>
            <w:vAlign w:val="center"/>
            <w:shd w:fill="252A30"/>
          </w:tcPr>
          <w:p>
            <w:pPr>
              <w:spacing w:after="0"/>
            </w:pPr>
            <w:r/>
            <w:r>
              <w:rPr>
                <w:rFonts w:ascii="Aptos" w:hAnsi="Aptos"/>
                <w:b/>
                <w:color w:val="FFFFFF"/>
                <w:sz w:val="16"/>
              </w:rPr>
              <w:t>Liability</w:t>
            </w:r>
          </w:p>
        </w:tc>
        <w:tc>
          <w:tcPr>
            <w:tcW w:type="dxa" w:w="2016"/>
            <w:vAlign w:val="center"/>
            <w:shd w:fill="252A30"/>
          </w:tcPr>
          <w:p>
            <w:pPr>
              <w:spacing w:after="0"/>
            </w:pPr>
            <w:r/>
            <w:r>
              <w:rPr>
                <w:rFonts w:ascii="Aptos" w:hAnsi="Aptos"/>
                <w:b/>
                <w:color w:val="FFFFFF"/>
                <w:sz w:val="16"/>
              </w:rPr>
              <w:t>Amount</w:t>
            </w:r>
          </w:p>
        </w:tc>
        <w:tc>
          <w:tcPr>
            <w:tcW w:type="dxa" w:w="4608"/>
            <w:vAlign w:val="center"/>
            <w:shd w:fill="252A30"/>
          </w:tcPr>
          <w:p>
            <w:pPr>
              <w:spacing w:after="0"/>
            </w:pPr>
            <w:r/>
            <w:r>
              <w:rPr>
                <w:rFonts w:ascii="Aptos" w:hAnsi="Aptos"/>
                <w:b/>
                <w:color w:val="FFFFFF"/>
                <w:sz w:val="16"/>
              </w:rPr>
              <w:t>Terms</w:t>
            </w:r>
          </w:p>
        </w:tc>
      </w:tr>
      <w:tr>
        <w:tc>
          <w:tcPr>
            <w:tcW w:type="dxa" w:w="4320"/>
            <w:vAlign w:val="center"/>
            <w:shd w:fill="FFFFFF"/>
          </w:tcPr>
          <w:p>
            <w:pPr>
              <w:spacing w:after="0"/>
            </w:pPr>
            <w:r/>
            <w:r>
              <w:rPr>
                <w:rFonts w:ascii="Aptos" w:hAnsi="Aptos"/>
                <w:b w:val="0"/>
                <w:color w:val="0B0D10"/>
                <w:sz w:val="16"/>
              </w:rPr>
              <w:t>Mortgage / property debt</w:t>
            </w:r>
          </w:p>
        </w:tc>
        <w:tc>
          <w:tcPr>
            <w:tcW w:type="dxa" w:w="2016"/>
            <w:vAlign w:val="center"/>
            <w:shd w:fill="FFFFFF"/>
          </w:tcPr>
          <w:p>
            <w:pPr>
              <w:spacing w:after="0"/>
            </w:pPr>
            <w:r/>
            <w:r>
              <w:rPr>
                <w:rFonts w:ascii="Aptos" w:hAnsi="Aptos"/>
                <w:b w:val="0"/>
                <w:color w:val="0B0D10"/>
                <w:sz w:val="16"/>
              </w:rPr>
              <w:t>€6.60M</w:t>
            </w:r>
          </w:p>
        </w:tc>
        <w:tc>
          <w:tcPr>
            <w:tcW w:type="dxa" w:w="4608"/>
            <w:vAlign w:val="center"/>
            <w:shd w:fill="FFFFFF"/>
          </w:tcPr>
          <w:p>
            <w:pPr>
              <w:spacing w:after="0"/>
            </w:pPr>
            <w:r/>
            <w:r>
              <w:rPr>
                <w:rFonts w:ascii="Aptos" w:hAnsi="Aptos"/>
                <w:b w:val="0"/>
                <w:color w:val="0B0D10"/>
                <w:sz w:val="16"/>
              </w:rPr>
              <w:t>Property-backed</w:t>
            </w:r>
          </w:p>
        </w:tc>
      </w:tr>
      <w:tr>
        <w:tc>
          <w:tcPr>
            <w:tcW w:type="dxa" w:w="4320"/>
            <w:vAlign w:val="center"/>
            <w:shd w:fill="F1F2F0"/>
          </w:tcPr>
          <w:p>
            <w:pPr>
              <w:spacing w:after="0"/>
            </w:pPr>
            <w:r/>
            <w:r>
              <w:rPr>
                <w:rFonts w:ascii="Aptos" w:hAnsi="Aptos"/>
                <w:b w:val="0"/>
                <w:color w:val="0B0D10"/>
                <w:sz w:val="16"/>
              </w:rPr>
              <w:t>Aircraft debt</w:t>
            </w:r>
          </w:p>
        </w:tc>
        <w:tc>
          <w:tcPr>
            <w:tcW w:type="dxa" w:w="2016"/>
            <w:vAlign w:val="center"/>
            <w:shd w:fill="F1F2F0"/>
          </w:tcPr>
          <w:p>
            <w:pPr>
              <w:spacing w:after="0"/>
            </w:pPr>
            <w:r/>
            <w:r>
              <w:rPr>
                <w:rFonts w:ascii="Aptos" w:hAnsi="Aptos"/>
                <w:b w:val="0"/>
                <w:color w:val="0B0D10"/>
                <w:sz w:val="16"/>
              </w:rPr>
              <w:t>€7.40M</w:t>
            </w:r>
          </w:p>
        </w:tc>
        <w:tc>
          <w:tcPr>
            <w:tcW w:type="dxa" w:w="4608"/>
            <w:vAlign w:val="center"/>
            <w:shd w:fill="F1F2F0"/>
          </w:tcPr>
          <w:p>
            <w:pPr>
              <w:spacing w:after="0"/>
            </w:pPr>
            <w:r/>
            <w:r>
              <w:rPr>
                <w:rFonts w:ascii="Aptos" w:hAnsi="Aptos"/>
                <w:b w:val="0"/>
                <w:color w:val="0B0D10"/>
                <w:sz w:val="16"/>
              </w:rPr>
              <w:t>Asset-backed</w:t>
            </w:r>
          </w:p>
        </w:tc>
      </w:tr>
      <w:tr>
        <w:tc>
          <w:tcPr>
            <w:tcW w:type="dxa" w:w="4320"/>
            <w:vAlign w:val="center"/>
            <w:shd w:fill="FFFFFF"/>
          </w:tcPr>
          <w:p>
            <w:pPr>
              <w:spacing w:after="0"/>
            </w:pPr>
            <w:r/>
            <w:r>
              <w:rPr>
                <w:rFonts w:ascii="Aptos" w:hAnsi="Aptos"/>
                <w:b w:val="0"/>
                <w:color w:val="0B0D10"/>
                <w:sz w:val="16"/>
              </w:rPr>
              <w:t>Other personal credit / commitments</w:t>
            </w:r>
          </w:p>
        </w:tc>
        <w:tc>
          <w:tcPr>
            <w:tcW w:type="dxa" w:w="2016"/>
            <w:vAlign w:val="center"/>
            <w:shd w:fill="FFFFFF"/>
          </w:tcPr>
          <w:p>
            <w:pPr>
              <w:spacing w:after="0"/>
            </w:pPr>
            <w:r/>
            <w:r>
              <w:rPr>
                <w:rFonts w:ascii="Aptos" w:hAnsi="Aptos"/>
                <w:b w:val="0"/>
                <w:color w:val="0B0D10"/>
                <w:sz w:val="16"/>
              </w:rPr>
              <w:t>€0.35M</w:t>
            </w:r>
          </w:p>
        </w:tc>
        <w:tc>
          <w:tcPr>
            <w:tcW w:type="dxa" w:w="4608"/>
            <w:vAlign w:val="center"/>
            <w:shd w:fill="FFFFFF"/>
          </w:tcPr>
          <w:p>
            <w:pPr>
              <w:spacing w:after="0"/>
            </w:pPr>
            <w:r/>
            <w:r>
              <w:rPr>
                <w:rFonts w:ascii="Aptos" w:hAnsi="Aptos"/>
                <w:b w:val="0"/>
                <w:color w:val="0B0D10"/>
                <w:sz w:val="16"/>
              </w:rPr>
              <w:t>Short/medium-term</w:t>
            </w:r>
          </w:p>
        </w:tc>
      </w:tr>
      <w:tr>
        <w:tc>
          <w:tcPr>
            <w:tcW w:type="dxa" w:w="4320"/>
            <w:vAlign w:val="center"/>
            <w:shd w:fill="F1F2F0"/>
          </w:tcPr>
          <w:p>
            <w:pPr>
              <w:spacing w:after="0"/>
            </w:pPr>
            <w:r/>
            <w:r>
              <w:rPr>
                <w:rFonts w:ascii="Aptos" w:hAnsi="Aptos"/>
                <w:b w:val="0"/>
                <w:color w:val="0B0D10"/>
                <w:sz w:val="16"/>
              </w:rPr>
              <w:t>Total liabilities</w:t>
            </w:r>
          </w:p>
        </w:tc>
        <w:tc>
          <w:tcPr>
            <w:tcW w:type="dxa" w:w="2016"/>
            <w:vAlign w:val="center"/>
            <w:shd w:fill="F1F2F0"/>
          </w:tcPr>
          <w:p>
            <w:pPr>
              <w:spacing w:after="0"/>
            </w:pPr>
            <w:r/>
            <w:r>
              <w:rPr>
                <w:rFonts w:ascii="Aptos" w:hAnsi="Aptos"/>
                <w:b w:val="0"/>
                <w:color w:val="0B0D10"/>
                <w:sz w:val="16"/>
              </w:rPr>
              <w:t>€14.35M</w:t>
            </w:r>
          </w:p>
        </w:tc>
        <w:tc>
          <w:tcPr>
            <w:tcW w:type="dxa" w:w="4608"/>
            <w:vAlign w:val="center"/>
            <w:shd w:fill="F1F2F0"/>
          </w:tcPr>
          <w:p>
            <w:pPr>
              <w:spacing w:after="0"/>
            </w:pPr>
            <w:r/>
            <w:r>
              <w:rPr>
                <w:rFonts w:ascii="Aptos" w:hAnsi="Aptos"/>
                <w:b w:val="0"/>
                <w:color w:val="0B0D10"/>
                <w:sz w:val="16"/>
              </w:rPr>
            </w:r>
          </w:p>
        </w:tc>
      </w:tr>
    </w:tbl>
    <w:p>
      <w:pPr>
        <w:spacing w:after="40"/>
      </w:pPr>
    </w:p>
    <w:p>
      <w:pPr>
        <w:pStyle w:val="Heading1"/>
      </w:pPr>
      <w:r>
        <w:t>10. Listed portfolio</w:t>
      </w:r>
    </w:p>
    <w:tbl>
      <w:tblPr>
        <w:tblStyle w:val="TableGrid"/>
        <w:tblW w:type="auto" w:w="0"/>
        <w:jc w:val="center"/>
        <w:tblLook w:firstColumn="1" w:firstRow="1" w:lastColumn="0" w:lastRow="0" w:noHBand="0" w:noVBand="1" w:val="04A0"/>
      </w:tblPr>
      <w:tblGrid>
        <w:gridCol w:w="3408"/>
        <w:gridCol w:w="3408"/>
        <w:gridCol w:w="3408"/>
      </w:tblGrid>
      <w:tr>
        <w:trPr>
          <w:tblHeader w:val="true"/>
          <w:tblHeader w:val="true"/>
          <w:tblHeader w:val="true"/>
        </w:trPr>
        <w:tc>
          <w:tcPr>
            <w:tcW w:type="dxa" w:w="4320"/>
            <w:vAlign w:val="center"/>
            <w:shd w:fill="252A30"/>
          </w:tcPr>
          <w:p>
            <w:pPr>
              <w:spacing w:after="0"/>
            </w:pPr>
            <w:r/>
            <w:r>
              <w:rPr>
                <w:rFonts w:ascii="Aptos" w:hAnsi="Aptos"/>
                <w:b/>
                <w:color w:val="FFFFFF"/>
                <w:sz w:val="16"/>
              </w:rPr>
              <w:t>Instrument</w:t>
            </w:r>
          </w:p>
        </w:tc>
        <w:tc>
          <w:tcPr>
            <w:tcW w:type="dxa" w:w="1872"/>
            <w:vAlign w:val="center"/>
            <w:shd w:fill="252A30"/>
          </w:tcPr>
          <w:p>
            <w:pPr>
              <w:spacing w:after="0"/>
            </w:pPr>
            <w:r/>
            <w:r>
              <w:rPr>
                <w:rFonts w:ascii="Aptos" w:hAnsi="Aptos"/>
                <w:b/>
                <w:color w:val="FFFFFF"/>
                <w:sz w:val="16"/>
              </w:rPr>
              <w:t>Value</w:t>
            </w:r>
          </w:p>
        </w:tc>
        <w:tc>
          <w:tcPr>
            <w:tcW w:type="dxa" w:w="4608"/>
            <w:vAlign w:val="center"/>
            <w:shd w:fill="252A30"/>
          </w:tcPr>
          <w:p>
            <w:pPr>
              <w:spacing w:after="0"/>
            </w:pPr>
            <w:r/>
            <w:r>
              <w:rPr>
                <w:rFonts w:ascii="Aptos" w:hAnsi="Aptos"/>
                <w:b/>
                <w:color w:val="FFFFFF"/>
                <w:sz w:val="16"/>
              </w:rPr>
              <w:t>Purpose</w:t>
            </w:r>
          </w:p>
        </w:tc>
      </w:tr>
      <w:tr>
        <w:tc>
          <w:tcPr>
            <w:tcW w:type="dxa" w:w="4320"/>
            <w:vAlign w:val="center"/>
            <w:shd w:fill="FFFFFF"/>
          </w:tcPr>
          <w:p>
            <w:pPr>
              <w:spacing w:after="0"/>
            </w:pPr>
            <w:r/>
            <w:r>
              <w:rPr>
                <w:rFonts w:ascii="Aptos" w:hAnsi="Aptos"/>
                <w:b w:val="0"/>
                <w:color w:val="0B0D10"/>
                <w:sz w:val="16"/>
              </w:rPr>
              <w:t>Global developed-market ETF</w:t>
            </w:r>
          </w:p>
        </w:tc>
        <w:tc>
          <w:tcPr>
            <w:tcW w:type="dxa" w:w="1872"/>
            <w:vAlign w:val="center"/>
            <w:shd w:fill="FFFFFF"/>
          </w:tcPr>
          <w:p>
            <w:pPr>
              <w:spacing w:after="0"/>
            </w:pPr>
            <w:r/>
            <w:r>
              <w:rPr>
                <w:rFonts w:ascii="Aptos" w:hAnsi="Aptos"/>
                <w:b w:val="0"/>
                <w:color w:val="0B0D10"/>
                <w:sz w:val="16"/>
              </w:rPr>
              <w:t>€5.8M</w:t>
            </w:r>
          </w:p>
        </w:tc>
        <w:tc>
          <w:tcPr>
            <w:tcW w:type="dxa" w:w="4608"/>
            <w:vAlign w:val="center"/>
            <w:shd w:fill="FFFFFF"/>
          </w:tcPr>
          <w:p>
            <w:pPr>
              <w:spacing w:after="0"/>
            </w:pPr>
            <w:r/>
            <w:r>
              <w:rPr>
                <w:rFonts w:ascii="Aptos" w:hAnsi="Aptos"/>
                <w:b w:val="0"/>
                <w:color w:val="0B0D10"/>
                <w:sz w:val="16"/>
              </w:rPr>
              <w:t>Core liquidity / broad diversification</w:t>
            </w:r>
          </w:p>
        </w:tc>
      </w:tr>
      <w:tr>
        <w:tc>
          <w:tcPr>
            <w:tcW w:type="dxa" w:w="4320"/>
            <w:vAlign w:val="center"/>
            <w:shd w:fill="F1F2F0"/>
          </w:tcPr>
          <w:p>
            <w:pPr>
              <w:spacing w:after="0"/>
            </w:pPr>
            <w:r/>
            <w:r>
              <w:rPr>
                <w:rFonts w:ascii="Aptos" w:hAnsi="Aptos"/>
                <w:b w:val="0"/>
                <w:color w:val="0B0D10"/>
                <w:sz w:val="16"/>
              </w:rPr>
              <w:t>S&amp;P 500 ETF</w:t>
            </w:r>
          </w:p>
        </w:tc>
        <w:tc>
          <w:tcPr>
            <w:tcW w:type="dxa" w:w="1872"/>
            <w:vAlign w:val="center"/>
            <w:shd w:fill="F1F2F0"/>
          </w:tcPr>
          <w:p>
            <w:pPr>
              <w:spacing w:after="0"/>
            </w:pPr>
            <w:r/>
            <w:r>
              <w:rPr>
                <w:rFonts w:ascii="Aptos" w:hAnsi="Aptos"/>
                <w:b w:val="0"/>
                <w:color w:val="0B0D10"/>
                <w:sz w:val="16"/>
              </w:rPr>
              <w:t>€2.5M</w:t>
            </w:r>
          </w:p>
        </w:tc>
        <w:tc>
          <w:tcPr>
            <w:tcW w:type="dxa" w:w="4608"/>
            <w:vAlign w:val="center"/>
            <w:shd w:fill="F1F2F0"/>
          </w:tcPr>
          <w:p>
            <w:pPr>
              <w:spacing w:after="0"/>
            </w:pPr>
            <w:r/>
            <w:r>
              <w:rPr>
                <w:rFonts w:ascii="Aptos" w:hAnsi="Aptos"/>
                <w:b w:val="0"/>
                <w:color w:val="0B0D10"/>
                <w:sz w:val="16"/>
              </w:rPr>
              <w:t>US growth exposure</w:t>
            </w:r>
          </w:p>
        </w:tc>
      </w:tr>
      <w:tr>
        <w:tc>
          <w:tcPr>
            <w:tcW w:type="dxa" w:w="4320"/>
            <w:vAlign w:val="center"/>
            <w:shd w:fill="FFFFFF"/>
          </w:tcPr>
          <w:p>
            <w:pPr>
              <w:spacing w:after="0"/>
            </w:pPr>
            <w:r/>
            <w:r>
              <w:rPr>
                <w:rFonts w:ascii="Aptos" w:hAnsi="Aptos"/>
                <w:b w:val="0"/>
                <w:color w:val="0B0D10"/>
                <w:sz w:val="16"/>
              </w:rPr>
              <w:t>NVIDIA</w:t>
            </w:r>
          </w:p>
        </w:tc>
        <w:tc>
          <w:tcPr>
            <w:tcW w:type="dxa" w:w="1872"/>
            <w:vAlign w:val="center"/>
            <w:shd w:fill="FFFFFF"/>
          </w:tcPr>
          <w:p>
            <w:pPr>
              <w:spacing w:after="0"/>
            </w:pPr>
            <w:r/>
            <w:r>
              <w:rPr>
                <w:rFonts w:ascii="Aptos" w:hAnsi="Aptos"/>
                <w:b w:val="0"/>
                <w:color w:val="0B0D10"/>
                <w:sz w:val="16"/>
              </w:rPr>
              <w:t>€2.8M</w:t>
            </w:r>
          </w:p>
        </w:tc>
        <w:tc>
          <w:tcPr>
            <w:tcW w:type="dxa" w:w="4608"/>
            <w:vAlign w:val="center"/>
            <w:shd w:fill="FFFFFF"/>
          </w:tcPr>
          <w:p>
            <w:pPr>
              <w:spacing w:after="0"/>
            </w:pPr>
            <w:r/>
            <w:r>
              <w:rPr>
                <w:rFonts w:ascii="Aptos" w:hAnsi="Aptos"/>
                <w:b w:val="0"/>
                <w:color w:val="0B0D10"/>
                <w:sz w:val="16"/>
              </w:rPr>
              <w:t>Strategic technology exposure</w:t>
            </w:r>
          </w:p>
        </w:tc>
      </w:tr>
      <w:tr>
        <w:tc>
          <w:tcPr>
            <w:tcW w:type="dxa" w:w="4320"/>
            <w:vAlign w:val="center"/>
            <w:shd w:fill="F1F2F0"/>
          </w:tcPr>
          <w:p>
            <w:pPr>
              <w:spacing w:after="0"/>
            </w:pPr>
            <w:r/>
            <w:r>
              <w:rPr>
                <w:rFonts w:ascii="Aptos" w:hAnsi="Aptos"/>
                <w:b w:val="0"/>
                <w:color w:val="0B0D10"/>
                <w:sz w:val="16"/>
              </w:rPr>
              <w:t>Microsoft</w:t>
            </w:r>
          </w:p>
        </w:tc>
        <w:tc>
          <w:tcPr>
            <w:tcW w:type="dxa" w:w="1872"/>
            <w:vAlign w:val="center"/>
            <w:shd w:fill="F1F2F0"/>
          </w:tcPr>
          <w:p>
            <w:pPr>
              <w:spacing w:after="0"/>
            </w:pPr>
            <w:r/>
            <w:r>
              <w:rPr>
                <w:rFonts w:ascii="Aptos" w:hAnsi="Aptos"/>
                <w:b w:val="0"/>
                <w:color w:val="0B0D10"/>
                <w:sz w:val="16"/>
              </w:rPr>
              <w:t>€1.2M</w:t>
            </w:r>
          </w:p>
        </w:tc>
        <w:tc>
          <w:tcPr>
            <w:tcW w:type="dxa" w:w="4608"/>
            <w:vAlign w:val="center"/>
            <w:shd w:fill="F1F2F0"/>
          </w:tcPr>
          <w:p>
            <w:pPr>
              <w:spacing w:after="0"/>
            </w:pPr>
            <w:r/>
            <w:r>
              <w:rPr>
                <w:rFonts w:ascii="Aptos" w:hAnsi="Aptos"/>
                <w:b w:val="0"/>
                <w:color w:val="0B0D10"/>
                <w:sz w:val="16"/>
              </w:rPr>
              <w:t>AI/cloud exposure</w:t>
            </w:r>
          </w:p>
        </w:tc>
      </w:tr>
      <w:tr>
        <w:tc>
          <w:tcPr>
            <w:tcW w:type="dxa" w:w="4320"/>
            <w:vAlign w:val="center"/>
            <w:shd w:fill="FFFFFF"/>
          </w:tcPr>
          <w:p>
            <w:pPr>
              <w:spacing w:after="0"/>
            </w:pPr>
            <w:r/>
            <w:r>
              <w:rPr>
                <w:rFonts w:ascii="Aptos" w:hAnsi="Aptos"/>
                <w:b w:val="0"/>
                <w:color w:val="0B0D10"/>
                <w:sz w:val="16"/>
              </w:rPr>
              <w:t>TSMC</w:t>
            </w:r>
          </w:p>
        </w:tc>
        <w:tc>
          <w:tcPr>
            <w:tcW w:type="dxa" w:w="1872"/>
            <w:vAlign w:val="center"/>
            <w:shd w:fill="FFFFFF"/>
          </w:tcPr>
          <w:p>
            <w:pPr>
              <w:spacing w:after="0"/>
            </w:pPr>
            <w:r/>
            <w:r>
              <w:rPr>
                <w:rFonts w:ascii="Aptos" w:hAnsi="Aptos"/>
                <w:b w:val="0"/>
                <w:color w:val="0B0D10"/>
                <w:sz w:val="16"/>
              </w:rPr>
              <w:t>€1.1M</w:t>
            </w:r>
          </w:p>
        </w:tc>
        <w:tc>
          <w:tcPr>
            <w:tcW w:type="dxa" w:w="4608"/>
            <w:vAlign w:val="center"/>
            <w:shd w:fill="FFFFFF"/>
          </w:tcPr>
          <w:p>
            <w:pPr>
              <w:spacing w:after="0"/>
            </w:pPr>
            <w:r/>
            <w:r>
              <w:rPr>
                <w:rFonts w:ascii="Aptos" w:hAnsi="Aptos"/>
                <w:b w:val="0"/>
                <w:color w:val="0B0D10"/>
                <w:sz w:val="16"/>
              </w:rPr>
              <w:t>Semiconductor exposure</w:t>
            </w:r>
          </w:p>
        </w:tc>
      </w:tr>
      <w:tr>
        <w:tc>
          <w:tcPr>
            <w:tcW w:type="dxa" w:w="4320"/>
            <w:vAlign w:val="center"/>
            <w:shd w:fill="F1F2F0"/>
          </w:tcPr>
          <w:p>
            <w:pPr>
              <w:spacing w:after="0"/>
            </w:pPr>
            <w:r/>
            <w:r>
              <w:rPr>
                <w:rFonts w:ascii="Aptos" w:hAnsi="Aptos"/>
                <w:b w:val="0"/>
                <w:color w:val="0B0D10"/>
                <w:sz w:val="16"/>
              </w:rPr>
              <w:t>ASML</w:t>
            </w:r>
          </w:p>
        </w:tc>
        <w:tc>
          <w:tcPr>
            <w:tcW w:type="dxa" w:w="1872"/>
            <w:vAlign w:val="center"/>
            <w:shd w:fill="F1F2F0"/>
          </w:tcPr>
          <w:p>
            <w:pPr>
              <w:spacing w:after="0"/>
            </w:pPr>
            <w:r/>
            <w:r>
              <w:rPr>
                <w:rFonts w:ascii="Aptos" w:hAnsi="Aptos"/>
                <w:b w:val="0"/>
                <w:color w:val="0B0D10"/>
                <w:sz w:val="16"/>
              </w:rPr>
              <w:t>€1.3M</w:t>
            </w:r>
          </w:p>
        </w:tc>
        <w:tc>
          <w:tcPr>
            <w:tcW w:type="dxa" w:w="4608"/>
            <w:vAlign w:val="center"/>
            <w:shd w:fill="F1F2F0"/>
          </w:tcPr>
          <w:p>
            <w:pPr>
              <w:spacing w:after="0"/>
            </w:pPr>
            <w:r/>
            <w:r>
              <w:rPr>
                <w:rFonts w:ascii="Aptos" w:hAnsi="Aptos"/>
                <w:b w:val="0"/>
                <w:color w:val="0B0D10"/>
                <w:sz w:val="16"/>
              </w:rPr>
              <w:t>Semiconductor equipment</w:t>
            </w:r>
          </w:p>
        </w:tc>
      </w:tr>
      <w:tr>
        <w:tc>
          <w:tcPr>
            <w:tcW w:type="dxa" w:w="4320"/>
            <w:vAlign w:val="center"/>
            <w:shd w:fill="FFFFFF"/>
          </w:tcPr>
          <w:p>
            <w:pPr>
              <w:spacing w:after="0"/>
            </w:pPr>
            <w:r/>
            <w:r>
              <w:rPr>
                <w:rFonts w:ascii="Aptos" w:hAnsi="Aptos"/>
                <w:b w:val="0"/>
                <w:color w:val="0B0D10"/>
                <w:sz w:val="16"/>
              </w:rPr>
              <w:t>Schneider Electric</w:t>
            </w:r>
          </w:p>
        </w:tc>
        <w:tc>
          <w:tcPr>
            <w:tcW w:type="dxa" w:w="1872"/>
            <w:vAlign w:val="center"/>
            <w:shd w:fill="FFFFFF"/>
          </w:tcPr>
          <w:p>
            <w:pPr>
              <w:spacing w:after="0"/>
            </w:pPr>
            <w:r/>
            <w:r>
              <w:rPr>
                <w:rFonts w:ascii="Aptos" w:hAnsi="Aptos"/>
                <w:b w:val="0"/>
                <w:color w:val="0B0D10"/>
                <w:sz w:val="16"/>
              </w:rPr>
              <w:t>€0.8M</w:t>
            </w:r>
          </w:p>
        </w:tc>
        <w:tc>
          <w:tcPr>
            <w:tcW w:type="dxa" w:w="4608"/>
            <w:vAlign w:val="center"/>
            <w:shd w:fill="FFFFFF"/>
          </w:tcPr>
          <w:p>
            <w:pPr>
              <w:spacing w:after="0"/>
            </w:pPr>
            <w:r/>
            <w:r>
              <w:rPr>
                <w:rFonts w:ascii="Aptos" w:hAnsi="Aptos"/>
                <w:b w:val="0"/>
                <w:color w:val="0B0D10"/>
                <w:sz w:val="16"/>
              </w:rPr>
              <w:t>Electrification / automation</w:t>
            </w:r>
          </w:p>
        </w:tc>
      </w:tr>
      <w:tr>
        <w:tc>
          <w:tcPr>
            <w:tcW w:type="dxa" w:w="4320"/>
            <w:vAlign w:val="center"/>
            <w:shd w:fill="F1F2F0"/>
          </w:tcPr>
          <w:p>
            <w:pPr>
              <w:spacing w:after="0"/>
            </w:pPr>
            <w:r/>
            <w:r>
              <w:rPr>
                <w:rFonts w:ascii="Aptos" w:hAnsi="Aptos"/>
                <w:b w:val="0"/>
                <w:color w:val="0B0D10"/>
                <w:sz w:val="16"/>
              </w:rPr>
              <w:t>Berkshire Hathaway</w:t>
            </w:r>
          </w:p>
        </w:tc>
        <w:tc>
          <w:tcPr>
            <w:tcW w:type="dxa" w:w="1872"/>
            <w:vAlign w:val="center"/>
            <w:shd w:fill="F1F2F0"/>
          </w:tcPr>
          <w:p>
            <w:pPr>
              <w:spacing w:after="0"/>
            </w:pPr>
            <w:r/>
            <w:r>
              <w:rPr>
                <w:rFonts w:ascii="Aptos" w:hAnsi="Aptos"/>
                <w:b w:val="0"/>
                <w:color w:val="0B0D10"/>
                <w:sz w:val="16"/>
              </w:rPr>
              <w:t>€1.2M</w:t>
            </w:r>
          </w:p>
        </w:tc>
        <w:tc>
          <w:tcPr>
            <w:tcW w:type="dxa" w:w="4608"/>
            <w:vAlign w:val="center"/>
            <w:shd w:fill="F1F2F0"/>
          </w:tcPr>
          <w:p>
            <w:pPr>
              <w:spacing w:after="0"/>
            </w:pPr>
            <w:r/>
            <w:r>
              <w:rPr>
                <w:rFonts w:ascii="Aptos" w:hAnsi="Aptos"/>
                <w:b w:val="0"/>
                <w:color w:val="0B0D10"/>
                <w:sz w:val="16"/>
              </w:rPr>
              <w:t>Capital preservation / diversification</w:t>
            </w:r>
          </w:p>
        </w:tc>
      </w:tr>
      <w:tr>
        <w:tc>
          <w:tcPr>
            <w:tcW w:type="dxa" w:w="4320"/>
            <w:vAlign w:val="center"/>
            <w:shd w:fill="FFFFFF"/>
          </w:tcPr>
          <w:p>
            <w:pPr>
              <w:spacing w:after="0"/>
            </w:pPr>
            <w:r/>
            <w:r>
              <w:rPr>
                <w:rFonts w:ascii="Aptos" w:hAnsi="Aptos"/>
                <w:b w:val="0"/>
                <w:color w:val="0B0D10"/>
                <w:sz w:val="16"/>
              </w:rPr>
              <w:t>Airbus</w:t>
            </w:r>
          </w:p>
        </w:tc>
        <w:tc>
          <w:tcPr>
            <w:tcW w:type="dxa" w:w="1872"/>
            <w:vAlign w:val="center"/>
            <w:shd w:fill="FFFFFF"/>
          </w:tcPr>
          <w:p>
            <w:pPr>
              <w:spacing w:after="0"/>
            </w:pPr>
            <w:r/>
            <w:r>
              <w:rPr>
                <w:rFonts w:ascii="Aptos" w:hAnsi="Aptos"/>
                <w:b w:val="0"/>
                <w:color w:val="0B0D10"/>
                <w:sz w:val="16"/>
              </w:rPr>
              <w:t>€0.5M</w:t>
            </w:r>
          </w:p>
        </w:tc>
        <w:tc>
          <w:tcPr>
            <w:tcW w:type="dxa" w:w="4608"/>
            <w:vAlign w:val="center"/>
            <w:shd w:fill="FFFFFF"/>
          </w:tcPr>
          <w:p>
            <w:pPr>
              <w:spacing w:after="0"/>
            </w:pPr>
            <w:r/>
            <w:r>
              <w:rPr>
                <w:rFonts w:ascii="Aptos" w:hAnsi="Aptos"/>
                <w:b w:val="0"/>
                <w:color w:val="0B0D10"/>
                <w:sz w:val="16"/>
              </w:rPr>
              <w:t>Aerospace exposure</w:t>
            </w:r>
          </w:p>
        </w:tc>
      </w:tr>
      <w:tr>
        <w:tc>
          <w:tcPr>
            <w:tcW w:type="dxa" w:w="4320"/>
            <w:vAlign w:val="center"/>
            <w:shd w:fill="F1F2F0"/>
          </w:tcPr>
          <w:p>
            <w:pPr>
              <w:spacing w:after="0"/>
            </w:pPr>
            <w:r/>
            <w:r>
              <w:rPr>
                <w:rFonts w:ascii="Aptos" w:hAnsi="Aptos"/>
                <w:b w:val="0"/>
                <w:color w:val="0B0D10"/>
                <w:sz w:val="16"/>
              </w:rPr>
              <w:t>Short-duration government / money-market funds</w:t>
            </w:r>
          </w:p>
        </w:tc>
        <w:tc>
          <w:tcPr>
            <w:tcW w:type="dxa" w:w="1872"/>
            <w:vAlign w:val="center"/>
            <w:shd w:fill="F1F2F0"/>
          </w:tcPr>
          <w:p>
            <w:pPr>
              <w:spacing w:after="0"/>
            </w:pPr>
            <w:r/>
            <w:r>
              <w:rPr>
                <w:rFonts w:ascii="Aptos" w:hAnsi="Aptos"/>
                <w:b w:val="0"/>
                <w:color w:val="0B0D10"/>
                <w:sz w:val="16"/>
              </w:rPr>
              <w:t>€1.0M</w:t>
            </w:r>
          </w:p>
        </w:tc>
        <w:tc>
          <w:tcPr>
            <w:tcW w:type="dxa" w:w="4608"/>
            <w:vAlign w:val="center"/>
            <w:shd w:fill="F1F2F0"/>
          </w:tcPr>
          <w:p>
            <w:pPr>
              <w:spacing w:after="0"/>
            </w:pPr>
            <w:r/>
            <w:r>
              <w:rPr>
                <w:rFonts w:ascii="Aptos" w:hAnsi="Aptos"/>
                <w:b w:val="0"/>
                <w:color w:val="0B0D10"/>
                <w:sz w:val="16"/>
              </w:rPr>
              <w:t>Liquidity buffer</w:t>
            </w:r>
          </w:p>
        </w:tc>
      </w:tr>
    </w:tbl>
    <w:p>
      <w:pPr>
        <w:spacing w:after="40"/>
      </w:pP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blHeader w:val="true"/>
          <w:tblHeader w:val="true"/>
          <w:tblHeader w:val="true"/>
          <w:tblHeader w:val="true"/>
        </w:trPr>
        <w:tc>
          <w:tcPr>
            <w:tcW w:type="dxa" w:w="3600"/>
            <w:vAlign w:val="center"/>
            <w:shd w:fill="252A30"/>
          </w:tcPr>
          <w:p>
            <w:pPr>
              <w:spacing w:after="0"/>
            </w:pPr>
            <w:r/>
            <w:r>
              <w:rPr>
                <w:rFonts w:ascii="Aptos" w:hAnsi="Aptos"/>
                <w:b/>
                <w:color w:val="FFFFFF"/>
                <w:sz w:val="13"/>
              </w:rPr>
              <w:t>Instrument</w:t>
            </w:r>
          </w:p>
        </w:tc>
        <w:tc>
          <w:tcPr>
            <w:tcW w:type="dxa" w:w="2016"/>
            <w:vAlign w:val="center"/>
            <w:shd w:fill="252A30"/>
          </w:tcPr>
          <w:p>
            <w:pPr>
              <w:spacing w:after="0"/>
            </w:pPr>
            <w:r/>
            <w:r>
              <w:rPr>
                <w:rFonts w:ascii="Aptos" w:hAnsi="Aptos"/>
                <w:b/>
                <w:color w:val="FFFFFF"/>
                <w:sz w:val="13"/>
              </w:rPr>
              <w:t>Units / position</w:t>
            </w:r>
          </w:p>
        </w:tc>
        <w:tc>
          <w:tcPr>
            <w:tcW w:type="dxa" w:w="1728"/>
            <w:vAlign w:val="center"/>
            <w:shd w:fill="252A30"/>
          </w:tcPr>
          <w:p>
            <w:pPr>
              <w:spacing w:after="0"/>
            </w:pPr>
            <w:r/>
            <w:r>
              <w:rPr>
                <w:rFonts w:ascii="Aptos" w:hAnsi="Aptos"/>
                <w:b/>
                <w:color w:val="FFFFFF"/>
                <w:sz w:val="13"/>
              </w:rPr>
              <w:t>Cost basis</w:t>
            </w:r>
          </w:p>
        </w:tc>
        <w:tc>
          <w:tcPr>
            <w:tcW w:type="dxa" w:w="1584"/>
            <w:vAlign w:val="center"/>
            <w:shd w:fill="252A30"/>
          </w:tcPr>
          <w:p>
            <w:pPr>
              <w:spacing w:after="0"/>
            </w:pPr>
            <w:r/>
            <w:r>
              <w:rPr>
                <w:rFonts w:ascii="Aptos" w:hAnsi="Aptos"/>
                <w:b/>
                <w:color w:val="FFFFFF"/>
                <w:sz w:val="13"/>
              </w:rPr>
              <w:t>2030 mark</w:t>
            </w:r>
          </w:p>
        </w:tc>
        <w:tc>
          <w:tcPr>
            <w:tcW w:type="dxa" w:w="2304"/>
            <w:vAlign w:val="center"/>
            <w:shd w:fill="252A30"/>
          </w:tcPr>
          <w:p>
            <w:pPr>
              <w:spacing w:after="0"/>
            </w:pPr>
            <w:r/>
            <w:r>
              <w:rPr>
                <w:rFonts w:ascii="Aptos" w:hAnsi="Aptos"/>
                <w:b/>
                <w:color w:val="FFFFFF"/>
                <w:sz w:val="13"/>
              </w:rPr>
              <w:t>Role</w:t>
            </w:r>
          </w:p>
        </w:tc>
      </w:tr>
      <w:tr>
        <w:tc>
          <w:tcPr>
            <w:tcW w:type="dxa" w:w="3600"/>
            <w:vAlign w:val="center"/>
            <w:shd w:fill="FFFFFF"/>
          </w:tcPr>
          <w:p>
            <w:pPr>
              <w:spacing w:after="0"/>
            </w:pPr>
            <w:r/>
            <w:r>
              <w:rPr>
                <w:rFonts w:ascii="Aptos" w:hAnsi="Aptos"/>
                <w:b w:val="0"/>
                <w:color w:val="0B0D10"/>
                <w:sz w:val="13"/>
              </w:rPr>
              <w:t>MSCI World ETF</w:t>
            </w:r>
          </w:p>
        </w:tc>
        <w:tc>
          <w:tcPr>
            <w:tcW w:type="dxa" w:w="2016"/>
            <w:vAlign w:val="center"/>
            <w:shd w:fill="FFFFFF"/>
          </w:tcPr>
          <w:p>
            <w:pPr>
              <w:spacing w:after="0"/>
            </w:pPr>
            <w:r/>
            <w:r>
              <w:rPr>
                <w:rFonts w:ascii="Aptos" w:hAnsi="Aptos"/>
                <w:b w:val="0"/>
                <w:color w:val="0B0D10"/>
                <w:sz w:val="13"/>
              </w:rPr>
              <w:t>€6.2M equivalent</w:t>
            </w:r>
          </w:p>
        </w:tc>
        <w:tc>
          <w:tcPr>
            <w:tcW w:type="dxa" w:w="1728"/>
            <w:vAlign w:val="center"/>
            <w:shd w:fill="FFFFFF"/>
          </w:tcPr>
          <w:p>
            <w:pPr>
              <w:spacing w:after="0"/>
            </w:pPr>
            <w:r/>
            <w:r>
              <w:rPr>
                <w:rFonts w:ascii="Aptos" w:hAnsi="Aptos"/>
                <w:b w:val="0"/>
                <w:color w:val="0B0D10"/>
                <w:sz w:val="13"/>
              </w:rPr>
              <w:t>€4.8M</w:t>
            </w:r>
          </w:p>
        </w:tc>
        <w:tc>
          <w:tcPr>
            <w:tcW w:type="dxa" w:w="1584"/>
            <w:vAlign w:val="center"/>
            <w:shd w:fill="FFFFFF"/>
          </w:tcPr>
          <w:p>
            <w:pPr>
              <w:spacing w:after="0"/>
            </w:pPr>
            <w:r/>
            <w:r>
              <w:rPr>
                <w:rFonts w:ascii="Aptos" w:hAnsi="Aptos"/>
                <w:b w:val="0"/>
                <w:color w:val="0B0D10"/>
                <w:sz w:val="13"/>
              </w:rPr>
              <w:t>€6.2M</w:t>
            </w:r>
          </w:p>
        </w:tc>
        <w:tc>
          <w:tcPr>
            <w:tcW w:type="dxa" w:w="2304"/>
            <w:vAlign w:val="center"/>
            <w:shd w:fill="FFFFFF"/>
          </w:tcPr>
          <w:p>
            <w:pPr>
              <w:spacing w:after="0"/>
            </w:pPr>
            <w:r/>
            <w:r>
              <w:rPr>
                <w:rFonts w:ascii="Aptos" w:hAnsi="Aptos"/>
                <w:b w:val="0"/>
                <w:color w:val="0B0D10"/>
                <w:sz w:val="13"/>
              </w:rPr>
              <w:t>Core diversification</w:t>
            </w:r>
          </w:p>
        </w:tc>
      </w:tr>
      <w:tr>
        <w:tc>
          <w:tcPr>
            <w:tcW w:type="dxa" w:w="3600"/>
            <w:vAlign w:val="center"/>
            <w:shd w:fill="F1F2F0"/>
          </w:tcPr>
          <w:p>
            <w:pPr>
              <w:spacing w:after="0"/>
            </w:pPr>
            <w:r/>
            <w:r>
              <w:rPr>
                <w:rFonts w:ascii="Aptos" w:hAnsi="Aptos"/>
                <w:b w:val="0"/>
                <w:color w:val="0B0D10"/>
                <w:sz w:val="13"/>
              </w:rPr>
              <w:t>Euro government bills / money-market</w:t>
            </w:r>
          </w:p>
        </w:tc>
        <w:tc>
          <w:tcPr>
            <w:tcW w:type="dxa" w:w="2016"/>
            <w:vAlign w:val="center"/>
            <w:shd w:fill="F1F2F0"/>
          </w:tcPr>
          <w:p>
            <w:pPr>
              <w:spacing w:after="0"/>
            </w:pPr>
            <w:r/>
            <w:r>
              <w:rPr>
                <w:rFonts w:ascii="Aptos" w:hAnsi="Aptos"/>
                <w:b w:val="0"/>
                <w:color w:val="0B0D10"/>
                <w:sz w:val="13"/>
              </w:rPr>
              <w:t>€4.0M</w:t>
            </w:r>
          </w:p>
        </w:tc>
        <w:tc>
          <w:tcPr>
            <w:tcW w:type="dxa" w:w="1728"/>
            <w:vAlign w:val="center"/>
            <w:shd w:fill="F1F2F0"/>
          </w:tcPr>
          <w:p>
            <w:pPr>
              <w:spacing w:after="0"/>
            </w:pPr>
            <w:r/>
            <w:r>
              <w:rPr>
                <w:rFonts w:ascii="Aptos" w:hAnsi="Aptos"/>
                <w:b w:val="0"/>
                <w:color w:val="0B0D10"/>
                <w:sz w:val="13"/>
              </w:rPr>
              <w:t>€4.0M</w:t>
            </w:r>
          </w:p>
        </w:tc>
        <w:tc>
          <w:tcPr>
            <w:tcW w:type="dxa" w:w="1584"/>
            <w:vAlign w:val="center"/>
            <w:shd w:fill="F1F2F0"/>
          </w:tcPr>
          <w:p>
            <w:pPr>
              <w:spacing w:after="0"/>
            </w:pPr>
            <w:r/>
            <w:r>
              <w:rPr>
                <w:rFonts w:ascii="Aptos" w:hAnsi="Aptos"/>
                <w:b w:val="0"/>
                <w:color w:val="0B0D10"/>
                <w:sz w:val="13"/>
              </w:rPr>
              <w:t>€4.0M</w:t>
            </w:r>
          </w:p>
        </w:tc>
        <w:tc>
          <w:tcPr>
            <w:tcW w:type="dxa" w:w="2304"/>
            <w:vAlign w:val="center"/>
            <w:shd w:fill="F1F2F0"/>
          </w:tcPr>
          <w:p>
            <w:pPr>
              <w:spacing w:after="0"/>
            </w:pPr>
            <w:r/>
            <w:r>
              <w:rPr>
                <w:rFonts w:ascii="Aptos" w:hAnsi="Aptos"/>
                <w:b w:val="0"/>
                <w:color w:val="0B0D10"/>
                <w:sz w:val="13"/>
              </w:rPr>
              <w:t>Capital preservation</w:t>
            </w:r>
          </w:p>
        </w:tc>
      </w:tr>
      <w:tr>
        <w:tc>
          <w:tcPr>
            <w:tcW w:type="dxa" w:w="3600"/>
            <w:vAlign w:val="center"/>
            <w:shd w:fill="FFFFFF"/>
          </w:tcPr>
          <w:p>
            <w:pPr>
              <w:spacing w:after="0"/>
            </w:pPr>
            <w:r/>
            <w:r>
              <w:rPr>
                <w:rFonts w:ascii="Aptos" w:hAnsi="Aptos"/>
                <w:b w:val="0"/>
                <w:color w:val="0B0D10"/>
                <w:sz w:val="13"/>
              </w:rPr>
              <w:t>NVIDIA</w:t>
            </w:r>
          </w:p>
        </w:tc>
        <w:tc>
          <w:tcPr>
            <w:tcW w:type="dxa" w:w="2016"/>
            <w:vAlign w:val="center"/>
            <w:shd w:fill="FFFFFF"/>
          </w:tcPr>
          <w:p>
            <w:pPr>
              <w:spacing w:after="0"/>
            </w:pPr>
            <w:r/>
            <w:r>
              <w:rPr>
                <w:rFonts w:ascii="Aptos" w:hAnsi="Aptos"/>
                <w:b w:val="0"/>
                <w:color w:val="0B0D10"/>
                <w:sz w:val="13"/>
              </w:rPr>
              <w:t>€1.4M</w:t>
            </w:r>
          </w:p>
        </w:tc>
        <w:tc>
          <w:tcPr>
            <w:tcW w:type="dxa" w:w="1728"/>
            <w:vAlign w:val="center"/>
            <w:shd w:fill="FFFFFF"/>
          </w:tcPr>
          <w:p>
            <w:pPr>
              <w:spacing w:after="0"/>
            </w:pPr>
            <w:r/>
            <w:r>
              <w:rPr>
                <w:rFonts w:ascii="Aptos" w:hAnsi="Aptos"/>
                <w:b w:val="0"/>
                <w:color w:val="0B0D10"/>
                <w:sz w:val="13"/>
              </w:rPr>
              <w:t>€0.65M</w:t>
            </w:r>
          </w:p>
        </w:tc>
        <w:tc>
          <w:tcPr>
            <w:tcW w:type="dxa" w:w="1584"/>
            <w:vAlign w:val="center"/>
            <w:shd w:fill="FFFFFF"/>
          </w:tcPr>
          <w:p>
            <w:pPr>
              <w:spacing w:after="0"/>
            </w:pPr>
            <w:r/>
            <w:r>
              <w:rPr>
                <w:rFonts w:ascii="Aptos" w:hAnsi="Aptos"/>
                <w:b w:val="0"/>
                <w:color w:val="0B0D10"/>
                <w:sz w:val="13"/>
              </w:rPr>
              <w:t>€1.4M</w:t>
            </w:r>
          </w:p>
        </w:tc>
        <w:tc>
          <w:tcPr>
            <w:tcW w:type="dxa" w:w="2304"/>
            <w:vAlign w:val="center"/>
            <w:shd w:fill="FFFFFF"/>
          </w:tcPr>
          <w:p>
            <w:pPr>
              <w:spacing w:after="0"/>
            </w:pPr>
            <w:r/>
            <w:r>
              <w:rPr>
                <w:rFonts w:ascii="Aptos" w:hAnsi="Aptos"/>
                <w:b w:val="0"/>
                <w:color w:val="0B0D10"/>
                <w:sz w:val="13"/>
              </w:rPr>
              <w:t>AI infrastructure exposure</w:t>
            </w:r>
          </w:p>
        </w:tc>
      </w:tr>
      <w:tr>
        <w:tc>
          <w:tcPr>
            <w:tcW w:type="dxa" w:w="3600"/>
            <w:vAlign w:val="center"/>
            <w:shd w:fill="F1F2F0"/>
          </w:tcPr>
          <w:p>
            <w:pPr>
              <w:spacing w:after="0"/>
            </w:pPr>
            <w:r/>
            <w:r>
              <w:rPr>
                <w:rFonts w:ascii="Aptos" w:hAnsi="Aptos"/>
                <w:b w:val="0"/>
                <w:color w:val="0B0D10"/>
                <w:sz w:val="13"/>
              </w:rPr>
              <w:t>TSMC</w:t>
            </w:r>
          </w:p>
        </w:tc>
        <w:tc>
          <w:tcPr>
            <w:tcW w:type="dxa" w:w="2016"/>
            <w:vAlign w:val="center"/>
            <w:shd w:fill="F1F2F0"/>
          </w:tcPr>
          <w:p>
            <w:pPr>
              <w:spacing w:after="0"/>
            </w:pPr>
            <w:r/>
            <w:r>
              <w:rPr>
                <w:rFonts w:ascii="Aptos" w:hAnsi="Aptos"/>
                <w:b w:val="0"/>
                <w:color w:val="0B0D10"/>
                <w:sz w:val="13"/>
              </w:rPr>
              <w:t>€1.2M</w:t>
            </w:r>
          </w:p>
        </w:tc>
        <w:tc>
          <w:tcPr>
            <w:tcW w:type="dxa" w:w="1728"/>
            <w:vAlign w:val="center"/>
            <w:shd w:fill="F1F2F0"/>
          </w:tcPr>
          <w:p>
            <w:pPr>
              <w:spacing w:after="0"/>
            </w:pPr>
            <w:r/>
            <w:r>
              <w:rPr>
                <w:rFonts w:ascii="Aptos" w:hAnsi="Aptos"/>
                <w:b w:val="0"/>
                <w:color w:val="0B0D10"/>
                <w:sz w:val="13"/>
              </w:rPr>
              <w:t>€0.55M</w:t>
            </w:r>
          </w:p>
        </w:tc>
        <w:tc>
          <w:tcPr>
            <w:tcW w:type="dxa" w:w="1584"/>
            <w:vAlign w:val="center"/>
            <w:shd w:fill="F1F2F0"/>
          </w:tcPr>
          <w:p>
            <w:pPr>
              <w:spacing w:after="0"/>
            </w:pPr>
            <w:r/>
            <w:r>
              <w:rPr>
                <w:rFonts w:ascii="Aptos" w:hAnsi="Aptos"/>
                <w:b w:val="0"/>
                <w:color w:val="0B0D10"/>
                <w:sz w:val="13"/>
              </w:rPr>
              <w:t>€1.2M</w:t>
            </w:r>
          </w:p>
        </w:tc>
        <w:tc>
          <w:tcPr>
            <w:tcW w:type="dxa" w:w="2304"/>
            <w:vAlign w:val="center"/>
            <w:shd w:fill="F1F2F0"/>
          </w:tcPr>
          <w:p>
            <w:pPr>
              <w:spacing w:after="0"/>
            </w:pPr>
            <w:r/>
            <w:r>
              <w:rPr>
                <w:rFonts w:ascii="Aptos" w:hAnsi="Aptos"/>
                <w:b w:val="0"/>
                <w:color w:val="0B0D10"/>
                <w:sz w:val="13"/>
              </w:rPr>
              <w:t>Semiconductor exposure</w:t>
            </w:r>
          </w:p>
        </w:tc>
      </w:tr>
      <w:tr>
        <w:tc>
          <w:tcPr>
            <w:tcW w:type="dxa" w:w="3600"/>
            <w:vAlign w:val="center"/>
            <w:shd w:fill="FFFFFF"/>
          </w:tcPr>
          <w:p>
            <w:pPr>
              <w:spacing w:after="0"/>
            </w:pPr>
            <w:r/>
            <w:r>
              <w:rPr>
                <w:rFonts w:ascii="Aptos" w:hAnsi="Aptos"/>
                <w:b w:val="0"/>
                <w:color w:val="0B0D10"/>
                <w:sz w:val="13"/>
              </w:rPr>
              <w:t>ASML</w:t>
            </w:r>
          </w:p>
        </w:tc>
        <w:tc>
          <w:tcPr>
            <w:tcW w:type="dxa" w:w="2016"/>
            <w:vAlign w:val="center"/>
            <w:shd w:fill="FFFFFF"/>
          </w:tcPr>
          <w:p>
            <w:pPr>
              <w:spacing w:after="0"/>
            </w:pPr>
            <w:r/>
            <w:r>
              <w:rPr>
                <w:rFonts w:ascii="Aptos" w:hAnsi="Aptos"/>
                <w:b w:val="0"/>
                <w:color w:val="0B0D10"/>
                <w:sz w:val="13"/>
              </w:rPr>
              <w:t>€0.95M</w:t>
            </w:r>
          </w:p>
        </w:tc>
        <w:tc>
          <w:tcPr>
            <w:tcW w:type="dxa" w:w="1728"/>
            <w:vAlign w:val="center"/>
            <w:shd w:fill="FFFFFF"/>
          </w:tcPr>
          <w:p>
            <w:pPr>
              <w:spacing w:after="0"/>
            </w:pPr>
            <w:r/>
            <w:r>
              <w:rPr>
                <w:rFonts w:ascii="Aptos" w:hAnsi="Aptos"/>
                <w:b w:val="0"/>
                <w:color w:val="0B0D10"/>
                <w:sz w:val="13"/>
              </w:rPr>
              <w:t>€0.52M</w:t>
            </w:r>
          </w:p>
        </w:tc>
        <w:tc>
          <w:tcPr>
            <w:tcW w:type="dxa" w:w="1584"/>
            <w:vAlign w:val="center"/>
            <w:shd w:fill="FFFFFF"/>
          </w:tcPr>
          <w:p>
            <w:pPr>
              <w:spacing w:after="0"/>
            </w:pPr>
            <w:r/>
            <w:r>
              <w:rPr>
                <w:rFonts w:ascii="Aptos" w:hAnsi="Aptos"/>
                <w:b w:val="0"/>
                <w:color w:val="0B0D10"/>
                <w:sz w:val="13"/>
              </w:rPr>
              <w:t>€0.95M</w:t>
            </w:r>
          </w:p>
        </w:tc>
        <w:tc>
          <w:tcPr>
            <w:tcW w:type="dxa" w:w="2304"/>
            <w:vAlign w:val="center"/>
            <w:shd w:fill="FFFFFF"/>
          </w:tcPr>
          <w:p>
            <w:pPr>
              <w:spacing w:after="0"/>
            </w:pPr>
            <w:r/>
            <w:r>
              <w:rPr>
                <w:rFonts w:ascii="Aptos" w:hAnsi="Aptos"/>
                <w:b w:val="0"/>
                <w:color w:val="0B0D10"/>
                <w:sz w:val="13"/>
              </w:rPr>
              <w:t>Semiconductor equipment</w:t>
            </w:r>
          </w:p>
        </w:tc>
      </w:tr>
      <w:tr>
        <w:tc>
          <w:tcPr>
            <w:tcW w:type="dxa" w:w="3600"/>
            <w:vAlign w:val="center"/>
            <w:shd w:fill="F1F2F0"/>
          </w:tcPr>
          <w:p>
            <w:pPr>
              <w:spacing w:after="0"/>
            </w:pPr>
            <w:r/>
            <w:r>
              <w:rPr>
                <w:rFonts w:ascii="Aptos" w:hAnsi="Aptos"/>
                <w:b w:val="0"/>
                <w:color w:val="0B0D10"/>
                <w:sz w:val="13"/>
              </w:rPr>
              <w:t>Siemens</w:t>
            </w:r>
          </w:p>
        </w:tc>
        <w:tc>
          <w:tcPr>
            <w:tcW w:type="dxa" w:w="2016"/>
            <w:vAlign w:val="center"/>
            <w:shd w:fill="F1F2F0"/>
          </w:tcPr>
          <w:p>
            <w:pPr>
              <w:spacing w:after="0"/>
            </w:pPr>
            <w:r/>
            <w:r>
              <w:rPr>
                <w:rFonts w:ascii="Aptos" w:hAnsi="Aptos"/>
                <w:b w:val="0"/>
                <w:color w:val="0B0D10"/>
                <w:sz w:val="13"/>
              </w:rPr>
              <w:t>€0.78M</w:t>
            </w:r>
          </w:p>
        </w:tc>
        <w:tc>
          <w:tcPr>
            <w:tcW w:type="dxa" w:w="1728"/>
            <w:vAlign w:val="center"/>
            <w:shd w:fill="F1F2F0"/>
          </w:tcPr>
          <w:p>
            <w:pPr>
              <w:spacing w:after="0"/>
            </w:pPr>
            <w:r/>
            <w:r>
              <w:rPr>
                <w:rFonts w:ascii="Aptos" w:hAnsi="Aptos"/>
                <w:b w:val="0"/>
                <w:color w:val="0B0D10"/>
                <w:sz w:val="13"/>
              </w:rPr>
              <w:t>€0.48M</w:t>
            </w:r>
          </w:p>
        </w:tc>
        <w:tc>
          <w:tcPr>
            <w:tcW w:type="dxa" w:w="1584"/>
            <w:vAlign w:val="center"/>
            <w:shd w:fill="F1F2F0"/>
          </w:tcPr>
          <w:p>
            <w:pPr>
              <w:spacing w:after="0"/>
            </w:pPr>
            <w:r/>
            <w:r>
              <w:rPr>
                <w:rFonts w:ascii="Aptos" w:hAnsi="Aptos"/>
                <w:b w:val="0"/>
                <w:color w:val="0B0D10"/>
                <w:sz w:val="13"/>
              </w:rPr>
              <w:t>€0.78M</w:t>
            </w:r>
          </w:p>
        </w:tc>
        <w:tc>
          <w:tcPr>
            <w:tcW w:type="dxa" w:w="2304"/>
            <w:vAlign w:val="center"/>
            <w:shd w:fill="F1F2F0"/>
          </w:tcPr>
          <w:p>
            <w:pPr>
              <w:spacing w:after="0"/>
            </w:pPr>
            <w:r/>
            <w:r>
              <w:rPr>
                <w:rFonts w:ascii="Aptos" w:hAnsi="Aptos"/>
                <w:b w:val="0"/>
                <w:color w:val="0B0D10"/>
                <w:sz w:val="13"/>
              </w:rPr>
              <w:t>Industrial automation</w:t>
            </w:r>
          </w:p>
        </w:tc>
      </w:tr>
      <w:tr>
        <w:tc>
          <w:tcPr>
            <w:tcW w:type="dxa" w:w="3600"/>
            <w:vAlign w:val="center"/>
            <w:shd w:fill="FFFFFF"/>
          </w:tcPr>
          <w:p>
            <w:pPr>
              <w:spacing w:after="0"/>
            </w:pPr>
            <w:r/>
            <w:r>
              <w:rPr>
                <w:rFonts w:ascii="Aptos" w:hAnsi="Aptos"/>
                <w:b w:val="0"/>
                <w:color w:val="0B0D10"/>
                <w:sz w:val="13"/>
              </w:rPr>
              <w:t>Airbus</w:t>
            </w:r>
          </w:p>
        </w:tc>
        <w:tc>
          <w:tcPr>
            <w:tcW w:type="dxa" w:w="2016"/>
            <w:vAlign w:val="center"/>
            <w:shd w:fill="FFFFFF"/>
          </w:tcPr>
          <w:p>
            <w:pPr>
              <w:spacing w:after="0"/>
            </w:pPr>
            <w:r/>
            <w:r>
              <w:rPr>
                <w:rFonts w:ascii="Aptos" w:hAnsi="Aptos"/>
                <w:b w:val="0"/>
                <w:color w:val="0B0D10"/>
                <w:sz w:val="13"/>
              </w:rPr>
              <w:t>€0.65M</w:t>
            </w:r>
          </w:p>
        </w:tc>
        <w:tc>
          <w:tcPr>
            <w:tcW w:type="dxa" w:w="1728"/>
            <w:vAlign w:val="center"/>
            <w:shd w:fill="FFFFFF"/>
          </w:tcPr>
          <w:p>
            <w:pPr>
              <w:spacing w:after="0"/>
            </w:pPr>
            <w:r/>
            <w:r>
              <w:rPr>
                <w:rFonts w:ascii="Aptos" w:hAnsi="Aptos"/>
                <w:b w:val="0"/>
                <w:color w:val="0B0D10"/>
                <w:sz w:val="13"/>
              </w:rPr>
              <w:t>€0.42M</w:t>
            </w:r>
          </w:p>
        </w:tc>
        <w:tc>
          <w:tcPr>
            <w:tcW w:type="dxa" w:w="1584"/>
            <w:vAlign w:val="center"/>
            <w:shd w:fill="FFFFFF"/>
          </w:tcPr>
          <w:p>
            <w:pPr>
              <w:spacing w:after="0"/>
            </w:pPr>
            <w:r/>
            <w:r>
              <w:rPr>
                <w:rFonts w:ascii="Aptos" w:hAnsi="Aptos"/>
                <w:b w:val="0"/>
                <w:color w:val="0B0D10"/>
                <w:sz w:val="13"/>
              </w:rPr>
              <w:t>€0.65M</w:t>
            </w:r>
          </w:p>
        </w:tc>
        <w:tc>
          <w:tcPr>
            <w:tcW w:type="dxa" w:w="2304"/>
            <w:vAlign w:val="center"/>
            <w:shd w:fill="FFFFFF"/>
          </w:tcPr>
          <w:p>
            <w:pPr>
              <w:spacing w:after="0"/>
            </w:pPr>
            <w:r/>
            <w:r>
              <w:rPr>
                <w:rFonts w:ascii="Aptos" w:hAnsi="Aptos"/>
                <w:b w:val="0"/>
                <w:color w:val="0B0D10"/>
                <w:sz w:val="13"/>
              </w:rPr>
              <w:t>Aerospace</w:t>
            </w:r>
          </w:p>
        </w:tc>
      </w:tr>
      <w:tr>
        <w:tc>
          <w:tcPr>
            <w:tcW w:type="dxa" w:w="3600"/>
            <w:vAlign w:val="center"/>
            <w:shd w:fill="F1F2F0"/>
          </w:tcPr>
          <w:p>
            <w:pPr>
              <w:spacing w:after="0"/>
            </w:pPr>
            <w:r/>
            <w:r>
              <w:rPr>
                <w:rFonts w:ascii="Aptos" w:hAnsi="Aptos"/>
                <w:b w:val="0"/>
                <w:color w:val="0B0D10"/>
                <w:sz w:val="13"/>
              </w:rPr>
              <w:t>S&amp;P 500 low-cost ETF / cash equities</w:t>
            </w:r>
          </w:p>
        </w:tc>
        <w:tc>
          <w:tcPr>
            <w:tcW w:type="dxa" w:w="2016"/>
            <w:vAlign w:val="center"/>
            <w:shd w:fill="F1F2F0"/>
          </w:tcPr>
          <w:p>
            <w:pPr>
              <w:spacing w:after="0"/>
            </w:pPr>
            <w:r/>
            <w:r>
              <w:rPr>
                <w:rFonts w:ascii="Aptos" w:hAnsi="Aptos"/>
                <w:b w:val="0"/>
                <w:color w:val="0B0D10"/>
                <w:sz w:val="13"/>
              </w:rPr>
              <w:t>€3.02M</w:t>
            </w:r>
          </w:p>
        </w:tc>
        <w:tc>
          <w:tcPr>
            <w:tcW w:type="dxa" w:w="1728"/>
            <w:vAlign w:val="center"/>
            <w:shd w:fill="F1F2F0"/>
          </w:tcPr>
          <w:p>
            <w:pPr>
              <w:spacing w:after="0"/>
            </w:pPr>
            <w:r/>
            <w:r>
              <w:rPr>
                <w:rFonts w:ascii="Aptos" w:hAnsi="Aptos"/>
                <w:b w:val="0"/>
                <w:color w:val="0B0D10"/>
                <w:sz w:val="13"/>
              </w:rPr>
              <w:t>€2.45M</w:t>
            </w:r>
          </w:p>
        </w:tc>
        <w:tc>
          <w:tcPr>
            <w:tcW w:type="dxa" w:w="1584"/>
            <w:vAlign w:val="center"/>
            <w:shd w:fill="F1F2F0"/>
          </w:tcPr>
          <w:p>
            <w:pPr>
              <w:spacing w:after="0"/>
            </w:pPr>
            <w:r/>
            <w:r>
              <w:rPr>
                <w:rFonts w:ascii="Aptos" w:hAnsi="Aptos"/>
                <w:b w:val="0"/>
                <w:color w:val="0B0D10"/>
                <w:sz w:val="13"/>
              </w:rPr>
              <w:t>€3.02M</w:t>
            </w:r>
          </w:p>
        </w:tc>
        <w:tc>
          <w:tcPr>
            <w:tcW w:type="dxa" w:w="2304"/>
            <w:vAlign w:val="center"/>
            <w:shd w:fill="F1F2F0"/>
          </w:tcPr>
          <w:p>
            <w:pPr>
              <w:spacing w:after="0"/>
            </w:pPr>
            <w:r/>
            <w:r>
              <w:rPr>
                <w:rFonts w:ascii="Aptos" w:hAnsi="Aptos"/>
                <w:b w:val="0"/>
                <w:color w:val="0B0D10"/>
                <w:sz w:val="13"/>
              </w:rPr>
              <w:t>General diversification</w:t>
            </w:r>
          </w:p>
        </w:tc>
      </w:tr>
    </w:tbl>
    <w:p>
      <w:pPr>
        <w:spacing w:after="40"/>
      </w:pPr>
    </w:p>
    <w:p>
      <w:pPr>
        <w:pStyle w:val="Heading1"/>
      </w:pPr>
      <w:r>
        <w:t>11. Private portfolio</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blHeader w:val="true"/>
          <w:tblHeader w:val="true"/>
          <w:tblHeader w:val="true"/>
        </w:trPr>
        <w:tc>
          <w:tcPr>
            <w:tcW w:type="dxa" w:w="3600"/>
            <w:vAlign w:val="center"/>
            <w:shd w:fill="252A30"/>
          </w:tcPr>
          <w:p>
            <w:pPr>
              <w:spacing w:after="0"/>
            </w:pPr>
            <w:r/>
            <w:r>
              <w:rPr>
                <w:rFonts w:ascii="Aptos" w:hAnsi="Aptos"/>
                <w:b/>
                <w:color w:val="FFFFFF"/>
                <w:sz w:val="16"/>
              </w:rPr>
              <w:t>Company / vehicle</w:t>
            </w:r>
          </w:p>
        </w:tc>
        <w:tc>
          <w:tcPr>
            <w:tcW w:type="dxa" w:w="1584"/>
            <w:vAlign w:val="center"/>
            <w:shd w:fill="252A30"/>
          </w:tcPr>
          <w:p>
            <w:pPr>
              <w:spacing w:after="0"/>
            </w:pPr>
            <w:r/>
            <w:r>
              <w:rPr>
                <w:rFonts w:ascii="Aptos" w:hAnsi="Aptos"/>
                <w:b/>
                <w:color w:val="FFFFFF"/>
                <w:sz w:val="16"/>
              </w:rPr>
              <w:t>Value</w:t>
            </w:r>
          </w:p>
        </w:tc>
        <w:tc>
          <w:tcPr>
            <w:tcW w:type="dxa" w:w="3168"/>
            <w:vAlign w:val="center"/>
            <w:shd w:fill="252A30"/>
          </w:tcPr>
          <w:p>
            <w:pPr>
              <w:spacing w:after="0"/>
            </w:pPr>
            <w:r/>
            <w:r>
              <w:rPr>
                <w:rFonts w:ascii="Aptos" w:hAnsi="Aptos"/>
                <w:b/>
                <w:color w:val="FFFFFF"/>
                <w:sz w:val="16"/>
              </w:rPr>
              <w:t>Theme</w:t>
            </w:r>
          </w:p>
        </w:tc>
        <w:tc>
          <w:tcPr>
            <w:tcW w:type="dxa" w:w="1584"/>
            <w:vAlign w:val="center"/>
            <w:shd w:fill="252A30"/>
          </w:tcPr>
          <w:p>
            <w:pPr>
              <w:spacing w:after="0"/>
            </w:pPr>
            <w:r/>
            <w:r>
              <w:rPr>
                <w:rFonts w:ascii="Aptos" w:hAnsi="Aptos"/>
                <w:b/>
                <w:color w:val="FFFFFF"/>
                <w:sz w:val="16"/>
              </w:rPr>
              <w:t>Comment</w:t>
            </w:r>
          </w:p>
        </w:tc>
      </w:tr>
      <w:tr>
        <w:tc>
          <w:tcPr>
            <w:tcW w:type="dxa" w:w="3600"/>
            <w:vAlign w:val="center"/>
            <w:shd w:fill="FFFFFF"/>
          </w:tcPr>
          <w:p>
            <w:pPr>
              <w:spacing w:after="0"/>
            </w:pPr>
            <w:r/>
            <w:r>
              <w:rPr>
                <w:rFonts w:ascii="Aptos" w:hAnsi="Aptos"/>
                <w:b w:val="0"/>
                <w:color w:val="0B0D10"/>
                <w:sz w:val="16"/>
              </w:rPr>
              <w:t>Kestrel Autonomous Materials S.à r.l.</w:t>
            </w:r>
          </w:p>
        </w:tc>
        <w:tc>
          <w:tcPr>
            <w:tcW w:type="dxa" w:w="1584"/>
            <w:vAlign w:val="center"/>
            <w:shd w:fill="FFFFFF"/>
          </w:tcPr>
          <w:p>
            <w:pPr>
              <w:spacing w:after="0"/>
            </w:pPr>
            <w:r/>
            <w:r>
              <w:rPr>
                <w:rFonts w:ascii="Aptos" w:hAnsi="Aptos"/>
                <w:b w:val="0"/>
                <w:color w:val="0B0D10"/>
                <w:sz w:val="16"/>
              </w:rPr>
              <w:t>€1.20M</w:t>
            </w:r>
          </w:p>
        </w:tc>
        <w:tc>
          <w:tcPr>
            <w:tcW w:type="dxa" w:w="3168"/>
            <w:vAlign w:val="center"/>
            <w:shd w:fill="FFFFFF"/>
          </w:tcPr>
          <w:p>
            <w:pPr>
              <w:spacing w:after="0"/>
            </w:pPr>
            <w:r/>
            <w:r>
              <w:rPr>
                <w:rFonts w:ascii="Aptos" w:hAnsi="Aptos"/>
                <w:b w:val="0"/>
                <w:color w:val="0B0D10"/>
                <w:sz w:val="16"/>
              </w:rPr>
              <w:t>Advanced materials / robotics</w:t>
            </w:r>
          </w:p>
        </w:tc>
        <w:tc>
          <w:tcPr>
            <w:tcW w:type="dxa" w:w="1584"/>
            <w:vAlign w:val="center"/>
            <w:shd w:fill="FFFFFF"/>
          </w:tcPr>
          <w:p>
            <w:pPr>
              <w:spacing w:after="0"/>
            </w:pPr>
            <w:r/>
            <w:r>
              <w:rPr>
                <w:rFonts w:ascii="Aptos" w:hAnsi="Aptos"/>
                <w:b w:val="0"/>
                <w:color w:val="0B0D10"/>
                <w:sz w:val="16"/>
              </w:rPr>
              <w:t>2026–2030</w:t>
            </w:r>
          </w:p>
        </w:tc>
      </w:tr>
      <w:tr>
        <w:tc>
          <w:tcPr>
            <w:tcW w:type="dxa" w:w="3600"/>
            <w:vAlign w:val="center"/>
            <w:shd w:fill="F1F2F0"/>
          </w:tcPr>
          <w:p>
            <w:pPr>
              <w:spacing w:after="0"/>
            </w:pPr>
            <w:r/>
            <w:r>
              <w:rPr>
                <w:rFonts w:ascii="Aptos" w:hAnsi="Aptos"/>
                <w:b w:val="0"/>
                <w:color w:val="0B0D10"/>
                <w:sz w:val="16"/>
              </w:rPr>
              <w:t>Axiom Motion Systems GmbH</w:t>
            </w:r>
          </w:p>
        </w:tc>
        <w:tc>
          <w:tcPr>
            <w:tcW w:type="dxa" w:w="1584"/>
            <w:vAlign w:val="center"/>
            <w:shd w:fill="F1F2F0"/>
          </w:tcPr>
          <w:p>
            <w:pPr>
              <w:spacing w:after="0"/>
            </w:pPr>
            <w:r/>
            <w:r>
              <w:rPr>
                <w:rFonts w:ascii="Aptos" w:hAnsi="Aptos"/>
                <w:b w:val="0"/>
                <w:color w:val="0B0D10"/>
                <w:sz w:val="16"/>
              </w:rPr>
              <w:t>€0.80M</w:t>
            </w:r>
          </w:p>
        </w:tc>
        <w:tc>
          <w:tcPr>
            <w:tcW w:type="dxa" w:w="3168"/>
            <w:vAlign w:val="center"/>
            <w:shd w:fill="F1F2F0"/>
          </w:tcPr>
          <w:p>
            <w:pPr>
              <w:spacing w:after="0"/>
            </w:pPr>
            <w:r/>
            <w:r>
              <w:rPr>
                <w:rFonts w:ascii="Aptos" w:hAnsi="Aptos"/>
                <w:b w:val="0"/>
                <w:color w:val="0B0D10"/>
                <w:sz w:val="16"/>
              </w:rPr>
              <w:t>Actuation / drives</w:t>
            </w:r>
          </w:p>
        </w:tc>
        <w:tc>
          <w:tcPr>
            <w:tcW w:type="dxa" w:w="1584"/>
            <w:vAlign w:val="center"/>
            <w:shd w:fill="F1F2F0"/>
          </w:tcPr>
          <w:p>
            <w:pPr>
              <w:spacing w:after="0"/>
            </w:pPr>
            <w:r/>
            <w:r>
              <w:rPr>
                <w:rFonts w:ascii="Aptos" w:hAnsi="Aptos"/>
                <w:b w:val="0"/>
                <w:color w:val="0B0D10"/>
                <w:sz w:val="16"/>
              </w:rPr>
              <w:t>2026–2030</w:t>
            </w:r>
          </w:p>
        </w:tc>
      </w:tr>
      <w:tr>
        <w:tc>
          <w:tcPr>
            <w:tcW w:type="dxa" w:w="3600"/>
            <w:vAlign w:val="center"/>
            <w:shd w:fill="FFFFFF"/>
          </w:tcPr>
          <w:p>
            <w:pPr>
              <w:spacing w:after="0"/>
            </w:pPr>
            <w:r/>
            <w:r>
              <w:rPr>
                <w:rFonts w:ascii="Aptos" w:hAnsi="Aptos"/>
                <w:b w:val="0"/>
                <w:color w:val="0B0D10"/>
                <w:sz w:val="16"/>
              </w:rPr>
              <w:t>Novalytica Vision AB</w:t>
            </w:r>
          </w:p>
        </w:tc>
        <w:tc>
          <w:tcPr>
            <w:tcW w:type="dxa" w:w="1584"/>
            <w:vAlign w:val="center"/>
            <w:shd w:fill="FFFFFF"/>
          </w:tcPr>
          <w:p>
            <w:pPr>
              <w:spacing w:after="0"/>
            </w:pPr>
            <w:r/>
            <w:r>
              <w:rPr>
                <w:rFonts w:ascii="Aptos" w:hAnsi="Aptos"/>
                <w:b w:val="0"/>
                <w:color w:val="0B0D10"/>
                <w:sz w:val="16"/>
              </w:rPr>
              <w:t>€0.60M</w:t>
            </w:r>
          </w:p>
        </w:tc>
        <w:tc>
          <w:tcPr>
            <w:tcW w:type="dxa" w:w="3168"/>
            <w:vAlign w:val="center"/>
            <w:shd w:fill="FFFFFF"/>
          </w:tcPr>
          <w:p>
            <w:pPr>
              <w:spacing w:after="0"/>
            </w:pPr>
            <w:r/>
            <w:r>
              <w:rPr>
                <w:rFonts w:ascii="Aptos" w:hAnsi="Aptos"/>
                <w:b w:val="0"/>
                <w:color w:val="0B0D10"/>
                <w:sz w:val="16"/>
              </w:rPr>
              <w:t>Vision / sensing</w:t>
            </w:r>
          </w:p>
        </w:tc>
        <w:tc>
          <w:tcPr>
            <w:tcW w:type="dxa" w:w="1584"/>
            <w:vAlign w:val="center"/>
            <w:shd w:fill="FFFFFF"/>
          </w:tcPr>
          <w:p>
            <w:pPr>
              <w:spacing w:after="0"/>
            </w:pPr>
            <w:r/>
            <w:r>
              <w:rPr>
                <w:rFonts w:ascii="Aptos" w:hAnsi="Aptos"/>
                <w:b w:val="0"/>
                <w:color w:val="0B0D10"/>
                <w:sz w:val="16"/>
              </w:rPr>
              <w:t>2026–2030</w:t>
            </w:r>
          </w:p>
        </w:tc>
      </w:tr>
      <w:tr>
        <w:tc>
          <w:tcPr>
            <w:tcW w:type="dxa" w:w="3600"/>
            <w:vAlign w:val="center"/>
            <w:shd w:fill="F1F2F0"/>
          </w:tcPr>
          <w:p>
            <w:pPr>
              <w:spacing w:after="0"/>
            </w:pPr>
            <w:r/>
            <w:r>
              <w:rPr>
                <w:rFonts w:ascii="Aptos" w:hAnsi="Aptos"/>
                <w:b w:val="0"/>
                <w:color w:val="0B0D10"/>
                <w:sz w:val="16"/>
              </w:rPr>
              <w:t>Orbital Infrastructure Ventures S.à r.l.</w:t>
            </w:r>
          </w:p>
        </w:tc>
        <w:tc>
          <w:tcPr>
            <w:tcW w:type="dxa" w:w="1584"/>
            <w:vAlign w:val="center"/>
            <w:shd w:fill="F1F2F0"/>
          </w:tcPr>
          <w:p>
            <w:pPr>
              <w:spacing w:after="0"/>
            </w:pPr>
            <w:r/>
            <w:r>
              <w:rPr>
                <w:rFonts w:ascii="Aptos" w:hAnsi="Aptos"/>
                <w:b w:val="0"/>
                <w:color w:val="0B0D10"/>
                <w:sz w:val="16"/>
              </w:rPr>
              <w:t>€1.00M</w:t>
            </w:r>
          </w:p>
        </w:tc>
        <w:tc>
          <w:tcPr>
            <w:tcW w:type="dxa" w:w="3168"/>
            <w:vAlign w:val="center"/>
            <w:shd w:fill="F1F2F0"/>
          </w:tcPr>
          <w:p>
            <w:pPr>
              <w:spacing w:after="0"/>
            </w:pPr>
            <w:r/>
            <w:r>
              <w:rPr>
                <w:rFonts w:ascii="Aptos" w:hAnsi="Aptos"/>
                <w:b w:val="0"/>
                <w:color w:val="0B0D10"/>
                <w:sz w:val="16"/>
              </w:rPr>
              <w:t>Orbital servicing / logistics</w:t>
            </w:r>
          </w:p>
        </w:tc>
        <w:tc>
          <w:tcPr>
            <w:tcW w:type="dxa" w:w="1584"/>
            <w:vAlign w:val="center"/>
            <w:shd w:fill="F1F2F0"/>
          </w:tcPr>
          <w:p>
            <w:pPr>
              <w:spacing w:after="0"/>
            </w:pPr>
            <w:r/>
            <w:r>
              <w:rPr>
                <w:rFonts w:ascii="Aptos" w:hAnsi="Aptos"/>
                <w:b w:val="0"/>
                <w:color w:val="0B0D10"/>
                <w:sz w:val="16"/>
              </w:rPr>
              <w:t>2029–2030</w:t>
            </w:r>
          </w:p>
        </w:tc>
      </w:tr>
      <w:tr>
        <w:tc>
          <w:tcPr>
            <w:tcW w:type="dxa" w:w="3600"/>
            <w:vAlign w:val="center"/>
            <w:shd w:fill="FFFFFF"/>
          </w:tcPr>
          <w:p>
            <w:pPr>
              <w:spacing w:after="0"/>
            </w:pPr>
            <w:r/>
            <w:r>
              <w:rPr>
                <w:rFonts w:ascii="Aptos" w:hAnsi="Aptos"/>
                <w:b w:val="0"/>
                <w:color w:val="0B0D10"/>
                <w:sz w:val="16"/>
              </w:rPr>
              <w:t>Luxembourg Quantum Systems S.A.</w:t>
            </w:r>
          </w:p>
        </w:tc>
        <w:tc>
          <w:tcPr>
            <w:tcW w:type="dxa" w:w="1584"/>
            <w:vAlign w:val="center"/>
            <w:shd w:fill="FFFFFF"/>
          </w:tcPr>
          <w:p>
            <w:pPr>
              <w:spacing w:after="0"/>
            </w:pPr>
            <w:r/>
            <w:r>
              <w:rPr>
                <w:rFonts w:ascii="Aptos" w:hAnsi="Aptos"/>
                <w:b w:val="0"/>
                <w:color w:val="0B0D10"/>
                <w:sz w:val="16"/>
              </w:rPr>
              <w:t>€0.80M</w:t>
            </w:r>
          </w:p>
        </w:tc>
        <w:tc>
          <w:tcPr>
            <w:tcW w:type="dxa" w:w="3168"/>
            <w:vAlign w:val="center"/>
            <w:shd w:fill="FFFFFF"/>
          </w:tcPr>
          <w:p>
            <w:pPr>
              <w:spacing w:after="0"/>
            </w:pPr>
            <w:r/>
            <w:r>
              <w:rPr>
                <w:rFonts w:ascii="Aptos" w:hAnsi="Aptos"/>
                <w:b w:val="0"/>
                <w:color w:val="0B0D10"/>
                <w:sz w:val="16"/>
              </w:rPr>
              <w:t>Quantum control / industrial optimization</w:t>
            </w:r>
          </w:p>
        </w:tc>
        <w:tc>
          <w:tcPr>
            <w:tcW w:type="dxa" w:w="1584"/>
            <w:vAlign w:val="center"/>
            <w:shd w:fill="FFFFFF"/>
          </w:tcPr>
          <w:p>
            <w:pPr>
              <w:spacing w:after="0"/>
            </w:pPr>
            <w:r/>
            <w:r>
              <w:rPr>
                <w:rFonts w:ascii="Aptos" w:hAnsi="Aptos"/>
                <w:b w:val="0"/>
                <w:color w:val="0B0D10"/>
                <w:sz w:val="16"/>
              </w:rPr>
              <w:t>2028–2030</w:t>
            </w:r>
          </w:p>
        </w:tc>
      </w:tr>
      <w:tr>
        <w:tc>
          <w:tcPr>
            <w:tcW w:type="dxa" w:w="3600"/>
            <w:vAlign w:val="center"/>
            <w:shd w:fill="F1F2F0"/>
          </w:tcPr>
          <w:p>
            <w:pPr>
              <w:spacing w:after="0"/>
            </w:pPr>
            <w:r/>
            <w:r>
              <w:rPr>
                <w:rFonts w:ascii="Aptos" w:hAnsi="Aptos"/>
                <w:b w:val="0"/>
                <w:color w:val="0B0D10"/>
                <w:sz w:val="16"/>
              </w:rPr>
              <w:t>North Sea Industrial AI Fund</w:t>
            </w:r>
          </w:p>
        </w:tc>
        <w:tc>
          <w:tcPr>
            <w:tcW w:type="dxa" w:w="1584"/>
            <w:vAlign w:val="center"/>
            <w:shd w:fill="F1F2F0"/>
          </w:tcPr>
          <w:p>
            <w:pPr>
              <w:spacing w:after="0"/>
            </w:pPr>
            <w:r/>
            <w:r>
              <w:rPr>
                <w:rFonts w:ascii="Aptos" w:hAnsi="Aptos"/>
                <w:b w:val="0"/>
                <w:color w:val="0B0D10"/>
                <w:sz w:val="16"/>
              </w:rPr>
              <w:t>€1.10M</w:t>
            </w:r>
          </w:p>
        </w:tc>
        <w:tc>
          <w:tcPr>
            <w:tcW w:type="dxa" w:w="3168"/>
            <w:vAlign w:val="center"/>
            <w:shd w:fill="F1F2F0"/>
          </w:tcPr>
          <w:p>
            <w:pPr>
              <w:spacing w:after="0"/>
            </w:pPr>
            <w:r/>
            <w:r>
              <w:rPr>
                <w:rFonts w:ascii="Aptos" w:hAnsi="Aptos"/>
                <w:b w:val="0"/>
                <w:color w:val="0B0D10"/>
                <w:sz w:val="16"/>
              </w:rPr>
              <w:t>Industrial AI portfolio fund</w:t>
            </w:r>
          </w:p>
        </w:tc>
        <w:tc>
          <w:tcPr>
            <w:tcW w:type="dxa" w:w="1584"/>
            <w:vAlign w:val="center"/>
            <w:shd w:fill="F1F2F0"/>
          </w:tcPr>
          <w:p>
            <w:pPr>
              <w:spacing w:after="0"/>
            </w:pPr>
            <w:r/>
            <w:r>
              <w:rPr>
                <w:rFonts w:ascii="Aptos" w:hAnsi="Aptos"/>
                <w:b w:val="0"/>
                <w:color w:val="0B0D10"/>
                <w:sz w:val="16"/>
              </w:rPr>
              <w:t>2029–2030</w:t>
            </w:r>
          </w:p>
        </w:tc>
      </w:tr>
      <w:tr>
        <w:tc>
          <w:tcPr>
            <w:tcW w:type="dxa" w:w="3600"/>
            <w:vAlign w:val="center"/>
            <w:shd w:fill="FFFFFF"/>
          </w:tcPr>
          <w:p>
            <w:pPr>
              <w:spacing w:after="0"/>
            </w:pPr>
            <w:r/>
            <w:r>
              <w:rPr>
                <w:rFonts w:ascii="Aptos" w:hAnsi="Aptos"/>
                <w:b w:val="0"/>
                <w:color w:val="0B0D10"/>
                <w:sz w:val="16"/>
              </w:rPr>
              <w:t>Other strategic minorities</w:t>
            </w:r>
          </w:p>
        </w:tc>
        <w:tc>
          <w:tcPr>
            <w:tcW w:type="dxa" w:w="1584"/>
            <w:vAlign w:val="center"/>
            <w:shd w:fill="FFFFFF"/>
          </w:tcPr>
          <w:p>
            <w:pPr>
              <w:spacing w:after="0"/>
            </w:pPr>
            <w:r/>
            <w:r>
              <w:rPr>
                <w:rFonts w:ascii="Aptos" w:hAnsi="Aptos"/>
                <w:b w:val="0"/>
                <w:color w:val="0B0D10"/>
                <w:sz w:val="16"/>
              </w:rPr>
              <w:t>€1.00M</w:t>
            </w:r>
          </w:p>
        </w:tc>
        <w:tc>
          <w:tcPr>
            <w:tcW w:type="dxa" w:w="3168"/>
            <w:vAlign w:val="center"/>
            <w:shd w:fill="FFFFFF"/>
          </w:tcPr>
          <w:p>
            <w:pPr>
              <w:spacing w:after="0"/>
            </w:pPr>
            <w:r/>
            <w:r>
              <w:rPr>
                <w:rFonts w:ascii="Aptos" w:hAnsi="Aptos"/>
                <w:b w:val="0"/>
                <w:color w:val="0B0D10"/>
                <w:sz w:val="16"/>
              </w:rPr>
              <w:t>Small positions / optionality</w:t>
            </w:r>
          </w:p>
        </w:tc>
        <w:tc>
          <w:tcPr>
            <w:tcW w:type="dxa" w:w="1584"/>
            <w:vAlign w:val="center"/>
            <w:shd w:fill="FFFFFF"/>
          </w:tcPr>
          <w:p>
            <w:pPr>
              <w:spacing w:after="0"/>
            </w:pPr>
            <w:r/>
            <w:r>
              <w:rPr>
                <w:rFonts w:ascii="Aptos" w:hAnsi="Aptos"/>
                <w:b w:val="0"/>
                <w:color w:val="0B0D10"/>
                <w:sz w:val="16"/>
              </w:rPr>
              <w:t>Mixed</w:t>
            </w:r>
          </w:p>
        </w:tc>
      </w:tr>
    </w:tbl>
    <w:p>
      <w:pPr>
        <w:spacing w:after="40"/>
      </w:pPr>
    </w:p>
    <w:p>
      <w:pPr>
        <w:pStyle w:val="Heading1"/>
      </w:pPr>
      <w:r>
        <w:t>12. Cash accounts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blHeader w:val="true"/>
          <w:tblHeader w:val="true"/>
          <w:tblHeader w:val="true"/>
        </w:trPr>
        <w:tc>
          <w:tcPr>
            <w:tcW w:type="dxa" w:w="2016"/>
            <w:vAlign w:val="center"/>
            <w:shd w:fill="252A30"/>
          </w:tcPr>
          <w:p>
            <w:pPr>
              <w:spacing w:after="0"/>
            </w:pPr>
            <w:r/>
            <w:r>
              <w:rPr>
                <w:rFonts w:ascii="Aptos" w:hAnsi="Aptos"/>
                <w:b/>
                <w:color w:val="FFFFFF"/>
                <w:sz w:val="16"/>
              </w:rPr>
              <w:t>Account</w:t>
            </w:r>
          </w:p>
        </w:tc>
        <w:tc>
          <w:tcPr>
            <w:tcW w:type="dxa" w:w="3024"/>
            <w:vAlign w:val="center"/>
            <w:shd w:fill="252A30"/>
          </w:tcPr>
          <w:p>
            <w:pPr>
              <w:spacing w:after="0"/>
            </w:pPr>
            <w:r/>
            <w:r>
              <w:rPr>
                <w:rFonts w:ascii="Aptos" w:hAnsi="Aptos"/>
                <w:b/>
                <w:color w:val="FFFFFF"/>
                <w:sz w:val="16"/>
              </w:rPr>
              <w:t>Institution / type</w:t>
            </w:r>
          </w:p>
        </w:tc>
        <w:tc>
          <w:tcPr>
            <w:tcW w:type="dxa" w:w="1728"/>
            <w:vAlign w:val="center"/>
            <w:shd w:fill="252A30"/>
          </w:tcPr>
          <w:p>
            <w:pPr>
              <w:spacing w:after="0"/>
            </w:pPr>
            <w:r/>
            <w:r>
              <w:rPr>
                <w:rFonts w:ascii="Aptos" w:hAnsi="Aptos"/>
                <w:b/>
                <w:color w:val="FFFFFF"/>
                <w:sz w:val="16"/>
              </w:rPr>
              <w:t>Balance</w:t>
            </w:r>
          </w:p>
        </w:tc>
        <w:tc>
          <w:tcPr>
            <w:tcW w:type="dxa" w:w="3168"/>
            <w:vAlign w:val="center"/>
            <w:shd w:fill="252A30"/>
          </w:tcPr>
          <w:p>
            <w:pPr>
              <w:spacing w:after="0"/>
            </w:pPr>
            <w:r/>
            <w:r>
              <w:rPr>
                <w:rFonts w:ascii="Aptos" w:hAnsi="Aptos"/>
                <w:b/>
                <w:color w:val="FFFFFF"/>
                <w:sz w:val="16"/>
              </w:rPr>
              <w:t>Purpose</w:t>
            </w:r>
          </w:p>
        </w:tc>
      </w:tr>
      <w:tr>
        <w:tc>
          <w:tcPr>
            <w:tcW w:type="dxa" w:w="2016"/>
            <w:vAlign w:val="center"/>
            <w:shd w:fill="FFFFFF"/>
          </w:tcPr>
          <w:p>
            <w:pPr>
              <w:spacing w:after="0"/>
            </w:pPr>
            <w:r/>
            <w:r>
              <w:rPr>
                <w:rFonts w:ascii="Aptos" w:hAnsi="Aptos"/>
                <w:b w:val="0"/>
                <w:color w:val="0B0D10"/>
                <w:sz w:val="16"/>
              </w:rPr>
              <w:t>PERS-CASH-001</w:t>
            </w:r>
          </w:p>
        </w:tc>
        <w:tc>
          <w:tcPr>
            <w:tcW w:type="dxa" w:w="3024"/>
            <w:vAlign w:val="center"/>
            <w:shd w:fill="FFFFFF"/>
          </w:tcPr>
          <w:p>
            <w:pPr>
              <w:spacing w:after="0"/>
            </w:pPr>
            <w:r/>
            <w:r>
              <w:rPr>
                <w:rFonts w:ascii="Aptos" w:hAnsi="Aptos"/>
                <w:b w:val="0"/>
                <w:color w:val="0B0D10"/>
                <w:sz w:val="16"/>
              </w:rPr>
              <w:t>Banque de Luxembourg — HNW current</w:t>
            </w:r>
          </w:p>
        </w:tc>
        <w:tc>
          <w:tcPr>
            <w:tcW w:type="dxa" w:w="1728"/>
            <w:vAlign w:val="center"/>
            <w:shd w:fill="FFFFFF"/>
          </w:tcPr>
          <w:p>
            <w:pPr>
              <w:spacing w:after="0"/>
            </w:pPr>
            <w:r/>
            <w:r>
              <w:rPr>
                <w:rFonts w:ascii="Aptos" w:hAnsi="Aptos"/>
                <w:b w:val="0"/>
                <w:color w:val="0B0D10"/>
                <w:sz w:val="16"/>
              </w:rPr>
              <w:t>€8.50M</w:t>
            </w:r>
          </w:p>
        </w:tc>
        <w:tc>
          <w:tcPr>
            <w:tcW w:type="dxa" w:w="3168"/>
            <w:vAlign w:val="center"/>
            <w:shd w:fill="FFFFFF"/>
          </w:tcPr>
          <w:p>
            <w:pPr>
              <w:spacing w:after="0"/>
            </w:pPr>
            <w:r/>
            <w:r>
              <w:rPr>
                <w:rFonts w:ascii="Aptos" w:hAnsi="Aptos"/>
                <w:b w:val="0"/>
                <w:color w:val="0B0D10"/>
                <w:sz w:val="16"/>
              </w:rPr>
              <w:t>Primary liquidity / tax</w:t>
            </w:r>
          </w:p>
        </w:tc>
      </w:tr>
      <w:tr>
        <w:tc>
          <w:tcPr>
            <w:tcW w:type="dxa" w:w="2016"/>
            <w:vAlign w:val="center"/>
            <w:shd w:fill="F1F2F0"/>
          </w:tcPr>
          <w:p>
            <w:pPr>
              <w:spacing w:after="0"/>
            </w:pPr>
            <w:r/>
            <w:r>
              <w:rPr>
                <w:rFonts w:ascii="Aptos" w:hAnsi="Aptos"/>
                <w:b w:val="0"/>
                <w:color w:val="0B0D10"/>
                <w:sz w:val="16"/>
              </w:rPr>
              <w:t>PERS-CASH-002</w:t>
            </w:r>
          </w:p>
        </w:tc>
        <w:tc>
          <w:tcPr>
            <w:tcW w:type="dxa" w:w="3024"/>
            <w:vAlign w:val="center"/>
            <w:shd w:fill="F1F2F0"/>
          </w:tcPr>
          <w:p>
            <w:pPr>
              <w:spacing w:after="0"/>
            </w:pPr>
            <w:r/>
            <w:r>
              <w:rPr>
                <w:rFonts w:ascii="Aptos" w:hAnsi="Aptos"/>
                <w:b w:val="0"/>
                <w:color w:val="0B0D10"/>
                <w:sz w:val="16"/>
              </w:rPr>
              <w:t>BGL BNP Paribas — HNW current</w:t>
            </w:r>
          </w:p>
        </w:tc>
        <w:tc>
          <w:tcPr>
            <w:tcW w:type="dxa" w:w="1728"/>
            <w:vAlign w:val="center"/>
            <w:shd w:fill="F1F2F0"/>
          </w:tcPr>
          <w:p>
            <w:pPr>
              <w:spacing w:after="0"/>
            </w:pPr>
            <w:r/>
            <w:r>
              <w:rPr>
                <w:rFonts w:ascii="Aptos" w:hAnsi="Aptos"/>
                <w:b w:val="0"/>
                <w:color w:val="0B0D10"/>
                <w:sz w:val="16"/>
              </w:rPr>
              <w:t>€5.20M</w:t>
            </w:r>
          </w:p>
        </w:tc>
        <w:tc>
          <w:tcPr>
            <w:tcW w:type="dxa" w:w="3168"/>
            <w:vAlign w:val="center"/>
            <w:shd w:fill="F1F2F0"/>
          </w:tcPr>
          <w:p>
            <w:pPr>
              <w:spacing w:after="0"/>
            </w:pPr>
            <w:r/>
            <w:r>
              <w:rPr>
                <w:rFonts w:ascii="Aptos" w:hAnsi="Aptos"/>
                <w:b w:val="0"/>
                <w:color w:val="0B0D10"/>
                <w:sz w:val="16"/>
              </w:rPr>
              <w:t>Property / travel / operating</w:t>
            </w:r>
          </w:p>
        </w:tc>
      </w:tr>
      <w:tr>
        <w:tc>
          <w:tcPr>
            <w:tcW w:type="dxa" w:w="2016"/>
            <w:vAlign w:val="center"/>
            <w:shd w:fill="FFFFFF"/>
          </w:tcPr>
          <w:p>
            <w:pPr>
              <w:spacing w:after="0"/>
            </w:pPr>
            <w:r/>
            <w:r>
              <w:rPr>
                <w:rFonts w:ascii="Aptos" w:hAnsi="Aptos"/>
                <w:b w:val="0"/>
                <w:color w:val="0B0D10"/>
                <w:sz w:val="16"/>
              </w:rPr>
              <w:t>PERS-CASH-003</w:t>
            </w:r>
          </w:p>
        </w:tc>
        <w:tc>
          <w:tcPr>
            <w:tcW w:type="dxa" w:w="3024"/>
            <w:vAlign w:val="center"/>
            <w:shd w:fill="FFFFFF"/>
          </w:tcPr>
          <w:p>
            <w:pPr>
              <w:spacing w:after="0"/>
            </w:pPr>
            <w:r/>
            <w:r>
              <w:rPr>
                <w:rFonts w:ascii="Aptos" w:hAnsi="Aptos"/>
                <w:b w:val="0"/>
                <w:color w:val="0B0D10"/>
                <w:sz w:val="16"/>
              </w:rPr>
              <w:t>UBS Switzerland — private banking</w:t>
            </w:r>
          </w:p>
        </w:tc>
        <w:tc>
          <w:tcPr>
            <w:tcW w:type="dxa" w:w="1728"/>
            <w:vAlign w:val="center"/>
            <w:shd w:fill="FFFFFF"/>
          </w:tcPr>
          <w:p>
            <w:pPr>
              <w:spacing w:after="0"/>
            </w:pPr>
            <w:r/>
            <w:r>
              <w:rPr>
                <w:rFonts w:ascii="Aptos" w:hAnsi="Aptos"/>
                <w:b w:val="0"/>
                <w:color w:val="0B0D10"/>
                <w:sz w:val="16"/>
              </w:rPr>
              <w:t>€4.80M equivalent</w:t>
            </w:r>
          </w:p>
        </w:tc>
        <w:tc>
          <w:tcPr>
            <w:tcW w:type="dxa" w:w="3168"/>
            <w:vAlign w:val="center"/>
            <w:shd w:fill="FFFFFF"/>
          </w:tcPr>
          <w:p>
            <w:pPr>
              <w:spacing w:after="0"/>
            </w:pPr>
            <w:r/>
            <w:r>
              <w:rPr>
                <w:rFonts w:ascii="Aptos" w:hAnsi="Aptos"/>
                <w:b w:val="0"/>
                <w:color w:val="0B0D10"/>
                <w:sz w:val="16"/>
              </w:rPr>
              <w:t>Zurich / investment reserve</w:t>
            </w:r>
          </w:p>
        </w:tc>
      </w:tr>
      <w:tr>
        <w:tc>
          <w:tcPr>
            <w:tcW w:type="dxa" w:w="2016"/>
            <w:vAlign w:val="center"/>
            <w:shd w:fill="F1F2F0"/>
          </w:tcPr>
          <w:p>
            <w:pPr>
              <w:spacing w:after="0"/>
            </w:pPr>
            <w:r/>
            <w:r>
              <w:rPr>
                <w:rFonts w:ascii="Aptos" w:hAnsi="Aptos"/>
                <w:b w:val="0"/>
                <w:color w:val="0B0D10"/>
                <w:sz w:val="16"/>
              </w:rPr>
              <w:t>PERS-CASH-004</w:t>
            </w:r>
          </w:p>
        </w:tc>
        <w:tc>
          <w:tcPr>
            <w:tcW w:type="dxa" w:w="3024"/>
            <w:vAlign w:val="center"/>
            <w:shd w:fill="F1F2F0"/>
          </w:tcPr>
          <w:p>
            <w:pPr>
              <w:spacing w:after="0"/>
            </w:pPr>
            <w:r/>
            <w:r>
              <w:rPr>
                <w:rFonts w:ascii="Aptos" w:hAnsi="Aptos"/>
                <w:b w:val="0"/>
                <w:color w:val="0B0D10"/>
                <w:sz w:val="16"/>
              </w:rPr>
              <w:t>Money-market / T-bill reserve</w:t>
            </w:r>
          </w:p>
        </w:tc>
        <w:tc>
          <w:tcPr>
            <w:tcW w:type="dxa" w:w="1728"/>
            <w:vAlign w:val="center"/>
            <w:shd w:fill="F1F2F0"/>
          </w:tcPr>
          <w:p>
            <w:pPr>
              <w:spacing w:after="0"/>
            </w:pPr>
            <w:r/>
            <w:r>
              <w:rPr>
                <w:rFonts w:ascii="Aptos" w:hAnsi="Aptos"/>
                <w:b w:val="0"/>
                <w:color w:val="0B0D10"/>
                <w:sz w:val="16"/>
              </w:rPr>
              <w:t>€4.00M</w:t>
            </w:r>
          </w:p>
        </w:tc>
        <w:tc>
          <w:tcPr>
            <w:tcW w:type="dxa" w:w="3168"/>
            <w:vAlign w:val="center"/>
            <w:shd w:fill="F1F2F0"/>
          </w:tcPr>
          <w:p>
            <w:pPr>
              <w:spacing w:after="0"/>
            </w:pPr>
            <w:r/>
            <w:r>
              <w:rPr>
                <w:rFonts w:ascii="Aptos" w:hAnsi="Aptos"/>
                <w:b w:val="0"/>
                <w:color w:val="0B0D10"/>
                <w:sz w:val="16"/>
              </w:rPr>
              <w:t>Capital preservation</w:t>
            </w:r>
          </w:p>
        </w:tc>
      </w:tr>
    </w:tbl>
    <w:p>
      <w:pPr>
        <w:spacing w:after="40"/>
      </w:pPr>
    </w:p>
    <w:p>
      <w:pPr>
        <w:pStyle w:val="Heading1"/>
      </w:pPr>
      <w:r>
        <w:t>13. Private office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blHeader w:val="true"/>
          <w:tblHeader w:val="true"/>
          <w:tblHeader w:val="true"/>
        </w:trPr>
        <w:tc>
          <w:tcPr>
            <w:tcW w:type="dxa" w:w="2880"/>
            <w:vAlign w:val="center"/>
            <w:shd w:fill="252A30"/>
          </w:tcPr>
          <w:p>
            <w:pPr>
              <w:spacing w:after="0"/>
            </w:pPr>
            <w:r/>
            <w:r>
              <w:rPr>
                <w:rFonts w:ascii="Aptos" w:hAnsi="Aptos"/>
                <w:b/>
                <w:color w:val="FFFFFF"/>
                <w:sz w:val="16"/>
              </w:rPr>
              <w:t>Function</w:t>
            </w:r>
          </w:p>
        </w:tc>
        <w:tc>
          <w:tcPr>
            <w:tcW w:type="dxa" w:w="3600"/>
            <w:vAlign w:val="center"/>
            <w:shd w:fill="252A30"/>
          </w:tcPr>
          <w:p>
            <w:pPr>
              <w:spacing w:after="0"/>
            </w:pPr>
            <w:r/>
            <w:r>
              <w:rPr>
                <w:rFonts w:ascii="Aptos" w:hAnsi="Aptos"/>
                <w:b/>
                <w:color w:val="FFFFFF"/>
                <w:sz w:val="16"/>
              </w:rPr>
              <w:t>People / service</w:t>
            </w:r>
          </w:p>
        </w:tc>
        <w:tc>
          <w:tcPr>
            <w:tcW w:type="dxa" w:w="1872"/>
            <w:vAlign w:val="center"/>
            <w:shd w:fill="252A30"/>
          </w:tcPr>
          <w:p>
            <w:pPr>
              <w:spacing w:after="0"/>
            </w:pPr>
            <w:r/>
            <w:r>
              <w:rPr>
                <w:rFonts w:ascii="Aptos" w:hAnsi="Aptos"/>
                <w:b/>
                <w:color w:val="FFFFFF"/>
                <w:sz w:val="16"/>
              </w:rPr>
              <w:t>Annual budget</w:t>
            </w:r>
          </w:p>
        </w:tc>
        <w:tc>
          <w:tcPr>
            <w:tcW w:type="dxa" w:w="1728"/>
            <w:vAlign w:val="center"/>
            <w:shd w:fill="252A30"/>
          </w:tcPr>
          <w:p>
            <w:pPr>
              <w:spacing w:after="0"/>
            </w:pPr>
            <w:r/>
            <w:r>
              <w:rPr>
                <w:rFonts w:ascii="Aptos" w:hAnsi="Aptos"/>
                <w:b/>
                <w:color w:val="FFFFFF"/>
                <w:sz w:val="16"/>
              </w:rPr>
              <w:t>Endpoint</w:t>
            </w:r>
          </w:p>
        </w:tc>
      </w:tr>
      <w:tr>
        <w:tc>
          <w:tcPr>
            <w:tcW w:type="dxa" w:w="2880"/>
            <w:vAlign w:val="center"/>
            <w:shd w:fill="FFFFFF"/>
          </w:tcPr>
          <w:p>
            <w:pPr>
              <w:spacing w:after="0"/>
            </w:pPr>
            <w:r/>
            <w:r>
              <w:rPr>
                <w:rFonts w:ascii="Aptos" w:hAnsi="Aptos"/>
                <w:b w:val="0"/>
                <w:color w:val="0B0D10"/>
                <w:sz w:val="16"/>
              </w:rPr>
              <w:t>Administration</w:t>
            </w:r>
          </w:p>
        </w:tc>
        <w:tc>
          <w:tcPr>
            <w:tcW w:type="dxa" w:w="3600"/>
            <w:vAlign w:val="center"/>
            <w:shd w:fill="FFFFFF"/>
          </w:tcPr>
          <w:p>
            <w:pPr>
              <w:spacing w:after="0"/>
            </w:pPr>
            <w:r/>
            <w:r>
              <w:rPr>
                <w:rFonts w:ascii="Aptos" w:hAnsi="Aptos"/>
                <w:b w:val="0"/>
                <w:color w:val="0B0D10"/>
                <w:sz w:val="16"/>
              </w:rPr>
              <w:t>Family office manager + assistant</w:t>
            </w:r>
          </w:p>
        </w:tc>
        <w:tc>
          <w:tcPr>
            <w:tcW w:type="dxa" w:w="1872"/>
            <w:vAlign w:val="center"/>
            <w:shd w:fill="FFFFFF"/>
          </w:tcPr>
          <w:p>
            <w:pPr>
              <w:spacing w:after="0"/>
            </w:pPr>
            <w:r/>
            <w:r>
              <w:rPr>
                <w:rFonts w:ascii="Aptos" w:hAnsi="Aptos"/>
                <w:b w:val="0"/>
                <w:color w:val="0B0D10"/>
                <w:sz w:val="16"/>
              </w:rPr>
              <w:t>€420k</w:t>
            </w:r>
          </w:p>
        </w:tc>
        <w:tc>
          <w:tcPr>
            <w:tcW w:type="dxa" w:w="1728"/>
            <w:vAlign w:val="center"/>
            <w:shd w:fill="FFFFFF"/>
          </w:tcPr>
          <w:p>
            <w:pPr>
              <w:spacing w:after="0"/>
            </w:pPr>
            <w:r/>
            <w:r>
              <w:rPr>
                <w:rFonts w:ascii="Aptos" w:hAnsi="Aptos"/>
                <w:b w:val="0"/>
                <w:color w:val="0B0D10"/>
                <w:sz w:val="16"/>
              </w:rPr>
              <w:t>In-house</w:t>
            </w:r>
          </w:p>
        </w:tc>
      </w:tr>
      <w:tr>
        <w:tc>
          <w:tcPr>
            <w:tcW w:type="dxa" w:w="2880"/>
            <w:vAlign w:val="center"/>
            <w:shd w:fill="F1F2F0"/>
          </w:tcPr>
          <w:p>
            <w:pPr>
              <w:spacing w:after="0"/>
            </w:pPr>
            <w:r/>
            <w:r>
              <w:rPr>
                <w:rFonts w:ascii="Aptos" w:hAnsi="Aptos"/>
                <w:b w:val="0"/>
                <w:color w:val="0B0D10"/>
                <w:sz w:val="16"/>
              </w:rPr>
              <w:t>Tax / legal</w:t>
            </w:r>
          </w:p>
        </w:tc>
        <w:tc>
          <w:tcPr>
            <w:tcW w:type="dxa" w:w="3600"/>
            <w:vAlign w:val="center"/>
            <w:shd w:fill="F1F2F0"/>
          </w:tcPr>
          <w:p>
            <w:pPr>
              <w:spacing w:after="0"/>
            </w:pPr>
            <w:r/>
            <w:r>
              <w:rPr>
                <w:rFonts w:ascii="Aptos" w:hAnsi="Aptos"/>
                <w:b w:val="0"/>
                <w:color w:val="0B0D10"/>
                <w:sz w:val="16"/>
              </w:rPr>
              <w:t>Luxembourg + Swiss counsel</w:t>
            </w:r>
          </w:p>
        </w:tc>
        <w:tc>
          <w:tcPr>
            <w:tcW w:type="dxa" w:w="1872"/>
            <w:vAlign w:val="center"/>
            <w:shd w:fill="F1F2F0"/>
          </w:tcPr>
          <w:p>
            <w:pPr>
              <w:spacing w:after="0"/>
            </w:pPr>
            <w:r/>
            <w:r>
              <w:rPr>
                <w:rFonts w:ascii="Aptos" w:hAnsi="Aptos"/>
                <w:b w:val="0"/>
                <w:color w:val="0B0D10"/>
                <w:sz w:val="16"/>
              </w:rPr>
              <w:t>€310k</w:t>
            </w:r>
          </w:p>
        </w:tc>
        <w:tc>
          <w:tcPr>
            <w:tcW w:type="dxa" w:w="1728"/>
            <w:vAlign w:val="center"/>
            <w:shd w:fill="F1F2F0"/>
          </w:tcPr>
          <w:p>
            <w:pPr>
              <w:spacing w:after="0"/>
            </w:pPr>
            <w:r/>
            <w:r>
              <w:rPr>
                <w:rFonts w:ascii="Aptos" w:hAnsi="Aptos"/>
                <w:b w:val="0"/>
                <w:color w:val="0B0D10"/>
                <w:sz w:val="16"/>
              </w:rPr>
              <w:t>External retainers</w:t>
            </w:r>
          </w:p>
        </w:tc>
      </w:tr>
      <w:tr>
        <w:tc>
          <w:tcPr>
            <w:tcW w:type="dxa" w:w="2880"/>
            <w:vAlign w:val="center"/>
            <w:shd w:fill="FFFFFF"/>
          </w:tcPr>
          <w:p>
            <w:pPr>
              <w:spacing w:after="0"/>
            </w:pPr>
            <w:r/>
            <w:r>
              <w:rPr>
                <w:rFonts w:ascii="Aptos" w:hAnsi="Aptos"/>
                <w:b w:val="0"/>
                <w:color w:val="0B0D10"/>
                <w:sz w:val="16"/>
              </w:rPr>
              <w:t>Investment management</w:t>
            </w:r>
          </w:p>
        </w:tc>
        <w:tc>
          <w:tcPr>
            <w:tcW w:type="dxa" w:w="3600"/>
            <w:vAlign w:val="center"/>
            <w:shd w:fill="FFFFFF"/>
          </w:tcPr>
          <w:p>
            <w:pPr>
              <w:spacing w:after="0"/>
            </w:pPr>
            <w:r/>
            <w:r>
              <w:rPr>
                <w:rFonts w:ascii="Aptos" w:hAnsi="Aptos"/>
                <w:b w:val="0"/>
                <w:color w:val="0B0D10"/>
                <w:sz w:val="16"/>
              </w:rPr>
              <w:t>External + direct allocation</w:t>
            </w:r>
          </w:p>
        </w:tc>
        <w:tc>
          <w:tcPr>
            <w:tcW w:type="dxa" w:w="1872"/>
            <w:vAlign w:val="center"/>
            <w:shd w:fill="FFFFFF"/>
          </w:tcPr>
          <w:p>
            <w:pPr>
              <w:spacing w:after="0"/>
            </w:pPr>
            <w:r/>
            <w:r>
              <w:rPr>
                <w:rFonts w:ascii="Aptos" w:hAnsi="Aptos"/>
                <w:b w:val="0"/>
                <w:color w:val="0B0D10"/>
                <w:sz w:val="16"/>
              </w:rPr>
              <w:t>€180k</w:t>
            </w:r>
          </w:p>
        </w:tc>
        <w:tc>
          <w:tcPr>
            <w:tcW w:type="dxa" w:w="1728"/>
            <w:vAlign w:val="center"/>
            <w:shd w:fill="FFFFFF"/>
          </w:tcPr>
          <w:p>
            <w:pPr>
              <w:spacing w:after="0"/>
            </w:pPr>
            <w:r/>
            <w:r>
              <w:rPr>
                <w:rFonts w:ascii="Aptos" w:hAnsi="Aptos"/>
                <w:b w:val="0"/>
                <w:color w:val="0B0D10"/>
                <w:sz w:val="16"/>
              </w:rPr>
              <w:t>Hybrid</w:t>
            </w:r>
          </w:p>
        </w:tc>
      </w:tr>
      <w:tr>
        <w:tc>
          <w:tcPr>
            <w:tcW w:type="dxa" w:w="2880"/>
            <w:vAlign w:val="center"/>
            <w:shd w:fill="F1F2F0"/>
          </w:tcPr>
          <w:p>
            <w:pPr>
              <w:spacing w:after="0"/>
            </w:pPr>
            <w:r/>
            <w:r>
              <w:rPr>
                <w:rFonts w:ascii="Aptos" w:hAnsi="Aptos"/>
                <w:b w:val="0"/>
                <w:color w:val="0B0D10"/>
                <w:sz w:val="16"/>
              </w:rPr>
              <w:t>Security</w:t>
            </w:r>
          </w:p>
        </w:tc>
        <w:tc>
          <w:tcPr>
            <w:tcW w:type="dxa" w:w="3600"/>
            <w:vAlign w:val="center"/>
            <w:shd w:fill="F1F2F0"/>
          </w:tcPr>
          <w:p>
            <w:pPr>
              <w:spacing w:after="0"/>
            </w:pPr>
            <w:r/>
            <w:r>
              <w:rPr>
                <w:rFonts w:ascii="Aptos" w:hAnsi="Aptos"/>
                <w:b w:val="0"/>
                <w:color w:val="0B0D10"/>
                <w:sz w:val="16"/>
              </w:rPr>
              <w:t>Professional provider</w:t>
            </w:r>
          </w:p>
        </w:tc>
        <w:tc>
          <w:tcPr>
            <w:tcW w:type="dxa" w:w="1872"/>
            <w:vAlign w:val="center"/>
            <w:shd w:fill="F1F2F0"/>
          </w:tcPr>
          <w:p>
            <w:pPr>
              <w:spacing w:after="0"/>
            </w:pPr>
            <w:r/>
            <w:r>
              <w:rPr>
                <w:rFonts w:ascii="Aptos" w:hAnsi="Aptos"/>
                <w:b w:val="0"/>
                <w:color w:val="0B0D10"/>
                <w:sz w:val="16"/>
              </w:rPr>
              <w:t>€220k</w:t>
            </w:r>
          </w:p>
        </w:tc>
        <w:tc>
          <w:tcPr>
            <w:tcW w:type="dxa" w:w="1728"/>
            <w:vAlign w:val="center"/>
            <w:shd w:fill="F1F2F0"/>
          </w:tcPr>
          <w:p>
            <w:pPr>
              <w:spacing w:after="0"/>
            </w:pPr>
            <w:r/>
            <w:r>
              <w:rPr>
                <w:rFonts w:ascii="Aptos" w:hAnsi="Aptos"/>
                <w:b w:val="0"/>
                <w:color w:val="0B0D10"/>
                <w:sz w:val="16"/>
              </w:rPr>
              <w:t>Retainer + travel</w:t>
            </w:r>
          </w:p>
        </w:tc>
      </w:tr>
      <w:tr>
        <w:tc>
          <w:tcPr>
            <w:tcW w:type="dxa" w:w="2880"/>
            <w:vAlign w:val="center"/>
            <w:shd w:fill="FFFFFF"/>
          </w:tcPr>
          <w:p>
            <w:pPr>
              <w:spacing w:after="0"/>
            </w:pPr>
            <w:r/>
            <w:r>
              <w:rPr>
                <w:rFonts w:ascii="Aptos" w:hAnsi="Aptos"/>
                <w:b w:val="0"/>
                <w:color w:val="0B0D10"/>
                <w:sz w:val="16"/>
              </w:rPr>
              <w:t>Aviation</w:t>
            </w:r>
          </w:p>
        </w:tc>
        <w:tc>
          <w:tcPr>
            <w:tcW w:type="dxa" w:w="3600"/>
            <w:vAlign w:val="center"/>
            <w:shd w:fill="FFFFFF"/>
          </w:tcPr>
          <w:p>
            <w:pPr>
              <w:spacing w:after="0"/>
            </w:pPr>
            <w:r/>
            <w:r>
              <w:rPr>
                <w:rFonts w:ascii="Aptos" w:hAnsi="Aptos"/>
                <w:b w:val="0"/>
                <w:color w:val="0B0D10"/>
                <w:sz w:val="16"/>
              </w:rPr>
              <w:t>Aircraft management</w:t>
            </w:r>
          </w:p>
        </w:tc>
        <w:tc>
          <w:tcPr>
            <w:tcW w:type="dxa" w:w="1872"/>
            <w:vAlign w:val="center"/>
            <w:shd w:fill="FFFFFF"/>
          </w:tcPr>
          <w:p>
            <w:pPr>
              <w:spacing w:after="0"/>
            </w:pPr>
            <w:r/>
            <w:r>
              <w:rPr>
                <w:rFonts w:ascii="Aptos" w:hAnsi="Aptos"/>
                <w:b w:val="0"/>
                <w:color w:val="0B0D10"/>
                <w:sz w:val="16"/>
              </w:rPr>
              <w:t>€95k</w:t>
            </w:r>
          </w:p>
        </w:tc>
        <w:tc>
          <w:tcPr>
            <w:tcW w:type="dxa" w:w="1728"/>
            <w:vAlign w:val="center"/>
            <w:shd w:fill="FFFFFF"/>
          </w:tcPr>
          <w:p>
            <w:pPr>
              <w:spacing w:after="0"/>
            </w:pPr>
            <w:r/>
            <w:r>
              <w:rPr>
                <w:rFonts w:ascii="Aptos" w:hAnsi="Aptos"/>
                <w:b w:val="0"/>
                <w:color w:val="0B0D10"/>
                <w:sz w:val="16"/>
              </w:rPr>
              <w:t>External</w:t>
            </w:r>
          </w:p>
        </w:tc>
      </w:tr>
      <w:tr>
        <w:tc>
          <w:tcPr>
            <w:tcW w:type="dxa" w:w="2880"/>
            <w:vAlign w:val="center"/>
            <w:shd w:fill="F1F2F0"/>
          </w:tcPr>
          <w:p>
            <w:pPr>
              <w:spacing w:after="0"/>
            </w:pPr>
            <w:r/>
            <w:r>
              <w:rPr>
                <w:rFonts w:ascii="Aptos" w:hAnsi="Aptos"/>
                <w:b w:val="0"/>
                <w:color w:val="0B0D10"/>
                <w:sz w:val="16"/>
              </w:rPr>
              <w:t>Household</w:t>
            </w:r>
          </w:p>
        </w:tc>
        <w:tc>
          <w:tcPr>
            <w:tcW w:type="dxa" w:w="3600"/>
            <w:vAlign w:val="center"/>
            <w:shd w:fill="F1F2F0"/>
          </w:tcPr>
          <w:p>
            <w:pPr>
              <w:spacing w:after="0"/>
            </w:pPr>
            <w:r/>
            <w:r>
              <w:rPr>
                <w:rFonts w:ascii="Aptos" w:hAnsi="Aptos"/>
                <w:b w:val="0"/>
                <w:color w:val="0B0D10"/>
                <w:sz w:val="16"/>
              </w:rPr>
              <w:t>House manager + domestic staff</w:t>
            </w:r>
          </w:p>
        </w:tc>
        <w:tc>
          <w:tcPr>
            <w:tcW w:type="dxa" w:w="1872"/>
            <w:vAlign w:val="center"/>
            <w:shd w:fill="F1F2F0"/>
          </w:tcPr>
          <w:p>
            <w:pPr>
              <w:spacing w:after="0"/>
            </w:pPr>
            <w:r/>
            <w:r>
              <w:rPr>
                <w:rFonts w:ascii="Aptos" w:hAnsi="Aptos"/>
                <w:b w:val="0"/>
                <w:color w:val="0B0D10"/>
                <w:sz w:val="16"/>
              </w:rPr>
              <w:t>€140k</w:t>
            </w:r>
          </w:p>
        </w:tc>
        <w:tc>
          <w:tcPr>
            <w:tcW w:type="dxa" w:w="1728"/>
            <w:vAlign w:val="center"/>
            <w:shd w:fill="F1F2F0"/>
          </w:tcPr>
          <w:p>
            <w:pPr>
              <w:spacing w:after="0"/>
            </w:pPr>
            <w:r/>
            <w:r>
              <w:rPr>
                <w:rFonts w:ascii="Aptos" w:hAnsi="Aptos"/>
                <w:b w:val="0"/>
                <w:color w:val="0B0D10"/>
                <w:sz w:val="16"/>
              </w:rPr>
              <w:t>2 FTE equivalent</w:t>
            </w:r>
          </w:p>
        </w:tc>
      </w:tr>
      <w:tr>
        <w:tc>
          <w:tcPr>
            <w:tcW w:type="dxa" w:w="2880"/>
            <w:vAlign w:val="center"/>
            <w:shd w:fill="FFFFFF"/>
          </w:tcPr>
          <w:p>
            <w:pPr>
              <w:spacing w:after="0"/>
            </w:pPr>
            <w:r/>
            <w:r>
              <w:rPr>
                <w:rFonts w:ascii="Aptos" w:hAnsi="Aptos"/>
                <w:b w:val="0"/>
                <w:color w:val="0B0D10"/>
                <w:sz w:val="16"/>
              </w:rPr>
              <w:t>Total</w:t>
            </w:r>
          </w:p>
        </w:tc>
        <w:tc>
          <w:tcPr>
            <w:tcW w:type="dxa" w:w="3600"/>
            <w:vAlign w:val="center"/>
            <w:shd w:fill="FFFFFF"/>
          </w:tcPr>
          <w:p>
            <w:pPr>
              <w:spacing w:after="0"/>
            </w:pPr>
            <w:r/>
            <w:r>
              <w:rPr>
                <w:rFonts w:ascii="Aptos" w:hAnsi="Aptos"/>
                <w:b w:val="0"/>
                <w:color w:val="0B0D10"/>
                <w:sz w:val="16"/>
              </w:rPr>
              <w:t>—</w:t>
            </w:r>
          </w:p>
        </w:tc>
        <w:tc>
          <w:tcPr>
            <w:tcW w:type="dxa" w:w="1872"/>
            <w:vAlign w:val="center"/>
            <w:shd w:fill="FFFFFF"/>
          </w:tcPr>
          <w:p>
            <w:pPr>
              <w:spacing w:after="0"/>
            </w:pPr>
            <w:r/>
            <w:r>
              <w:rPr>
                <w:rFonts w:ascii="Aptos" w:hAnsi="Aptos"/>
                <w:b w:val="0"/>
                <w:color w:val="0B0D10"/>
                <w:sz w:val="16"/>
              </w:rPr>
              <w:t>~€1.365M</w:t>
            </w:r>
          </w:p>
        </w:tc>
        <w:tc>
          <w:tcPr>
            <w:tcW w:type="dxa" w:w="1728"/>
            <w:vAlign w:val="center"/>
            <w:shd w:fill="FFFFFF"/>
          </w:tcPr>
          <w:p>
            <w:pPr>
              <w:spacing w:after="0"/>
            </w:pPr>
            <w:r/>
            <w:r>
              <w:rPr>
                <w:rFonts w:ascii="Aptos" w:hAnsi="Aptos"/>
                <w:b w:val="0"/>
                <w:color w:val="0B0D10"/>
                <w:sz w:val="16"/>
              </w:rPr>
              <w:t>Deliberately lean</w:t>
            </w:r>
          </w:p>
        </w:tc>
      </w:tr>
    </w:tbl>
    <w:p>
      <w:pPr>
        <w:spacing w:after="40"/>
      </w:pPr>
    </w:p>
    <w:p>
      <w:pPr>
        <w:pStyle w:val="Heading1"/>
      </w:pPr>
      <w:r>
        <w:t>14. Lifestyle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tblHeader w:val="true"/>
          <w:tblHeader w:val="true"/>
        </w:trPr>
        <w:tc>
          <w:tcPr>
            <w:tcW w:type="dxa" w:w="2016"/>
            <w:vAlign w:val="center"/>
            <w:shd w:fill="252A30"/>
          </w:tcPr>
          <w:p>
            <w:pPr>
              <w:spacing w:after="0"/>
            </w:pPr>
            <w:r/>
            <w:r>
              <w:rPr>
                <w:rFonts w:ascii="Aptos" w:hAnsi="Aptos"/>
                <w:b/>
                <w:color w:val="FFFFFF"/>
                <w:sz w:val="16"/>
              </w:rPr>
              <w:t>Area</w:t>
            </w:r>
          </w:p>
        </w:tc>
        <w:tc>
          <w:tcPr>
            <w:tcW w:type="dxa" w:w="5184"/>
            <w:vAlign w:val="center"/>
            <w:shd w:fill="252A30"/>
          </w:tcPr>
          <w:p>
            <w:pPr>
              <w:spacing w:after="0"/>
            </w:pPr>
            <w:r/>
            <w:r>
              <w:rPr>
                <w:rFonts w:ascii="Aptos" w:hAnsi="Aptos"/>
                <w:b/>
                <w:color w:val="FFFFFF"/>
                <w:sz w:val="16"/>
              </w:rPr>
              <w:t>2030 pattern</w:t>
            </w:r>
          </w:p>
        </w:tc>
        <w:tc>
          <w:tcPr>
            <w:tcW w:type="dxa" w:w="3168"/>
            <w:vAlign w:val="center"/>
            <w:shd w:fill="252A30"/>
          </w:tcPr>
          <w:p>
            <w:pPr>
              <w:spacing w:after="0"/>
            </w:pPr>
            <w:r/>
            <w:r>
              <w:rPr>
                <w:rFonts w:ascii="Aptos" w:hAnsi="Aptos"/>
                <w:b/>
                <w:color w:val="FFFFFF"/>
                <w:sz w:val="16"/>
              </w:rPr>
              <w:t>Rationale</w:t>
            </w:r>
          </w:p>
        </w:tc>
      </w:tr>
      <w:tr>
        <w:tc>
          <w:tcPr>
            <w:tcW w:type="dxa" w:w="2016"/>
            <w:vAlign w:val="center"/>
            <w:shd w:fill="FFFFFF"/>
          </w:tcPr>
          <w:p>
            <w:pPr>
              <w:spacing w:after="0"/>
            </w:pPr>
            <w:r/>
            <w:r>
              <w:rPr>
                <w:rFonts w:ascii="Aptos" w:hAnsi="Aptos"/>
                <w:b w:val="0"/>
                <w:color w:val="0B0D10"/>
                <w:sz w:val="16"/>
              </w:rPr>
              <w:t>Residences</w:t>
            </w:r>
          </w:p>
        </w:tc>
        <w:tc>
          <w:tcPr>
            <w:tcW w:type="dxa" w:w="5184"/>
            <w:vAlign w:val="center"/>
            <w:shd w:fill="FFFFFF"/>
          </w:tcPr>
          <w:p>
            <w:pPr>
              <w:spacing w:after="0"/>
            </w:pPr>
            <w:r/>
            <w:r>
              <w:rPr>
                <w:rFonts w:ascii="Aptos" w:hAnsi="Aptos"/>
                <w:b w:val="0"/>
                <w:color w:val="0B0D10"/>
                <w:sz w:val="16"/>
              </w:rPr>
              <w:t>Luxembourg ~55%; Zurich ~20%; Verbier ~10%; hotels/other ~15%</w:t>
            </w:r>
          </w:p>
        </w:tc>
        <w:tc>
          <w:tcPr>
            <w:tcW w:type="dxa" w:w="3168"/>
            <w:vAlign w:val="center"/>
            <w:shd w:fill="FFFFFF"/>
          </w:tcPr>
          <w:p>
            <w:pPr>
              <w:spacing w:after="0"/>
            </w:pPr>
            <w:r/>
            <w:r>
              <w:rPr>
                <w:rFonts w:ascii="Aptos" w:hAnsi="Aptos"/>
                <w:b w:val="0"/>
                <w:color w:val="0B0D10"/>
                <w:sz w:val="16"/>
              </w:rPr>
              <w:t>Company footprint + personal recovery</w:t>
            </w:r>
          </w:p>
        </w:tc>
      </w:tr>
      <w:tr>
        <w:tc>
          <w:tcPr>
            <w:tcW w:type="dxa" w:w="2016"/>
            <w:vAlign w:val="center"/>
            <w:shd w:fill="F1F2F0"/>
          </w:tcPr>
          <w:p>
            <w:pPr>
              <w:spacing w:after="0"/>
            </w:pPr>
            <w:r/>
            <w:r>
              <w:rPr>
                <w:rFonts w:ascii="Aptos" w:hAnsi="Aptos"/>
                <w:b w:val="0"/>
                <w:color w:val="0B0D10"/>
                <w:sz w:val="16"/>
              </w:rPr>
              <w:t>Travel</w:t>
            </w:r>
          </w:p>
        </w:tc>
        <w:tc>
          <w:tcPr>
            <w:tcW w:type="dxa" w:w="5184"/>
            <w:vAlign w:val="center"/>
            <w:shd w:fill="F1F2F0"/>
          </w:tcPr>
          <w:p>
            <w:pPr>
              <w:spacing w:after="0"/>
            </w:pPr>
            <w:r/>
            <w:r>
              <w:rPr>
                <w:rFonts w:ascii="Aptos" w:hAnsi="Aptos"/>
                <w:b w:val="0"/>
                <w:color w:val="0B0D10"/>
                <w:sz w:val="16"/>
              </w:rPr>
              <w:t>~290 private-jet hours; scheduled airlines when simpler</w:t>
            </w:r>
          </w:p>
        </w:tc>
        <w:tc>
          <w:tcPr>
            <w:tcW w:type="dxa" w:w="3168"/>
            <w:vAlign w:val="center"/>
            <w:shd w:fill="F1F2F0"/>
          </w:tcPr>
          <w:p>
            <w:pPr>
              <w:spacing w:after="0"/>
            </w:pPr>
            <w:r/>
            <w:r>
              <w:rPr>
                <w:rFonts w:ascii="Aptos" w:hAnsi="Aptos"/>
                <w:b w:val="0"/>
                <w:color w:val="0B0D10"/>
                <w:sz w:val="16"/>
              </w:rPr>
              <w:t>Time / flexibility rather than prestige</w:t>
            </w:r>
          </w:p>
        </w:tc>
      </w:tr>
      <w:tr>
        <w:tc>
          <w:tcPr>
            <w:tcW w:type="dxa" w:w="2016"/>
            <w:vAlign w:val="center"/>
            <w:shd w:fill="FFFFFF"/>
          </w:tcPr>
          <w:p>
            <w:pPr>
              <w:spacing w:after="0"/>
            </w:pPr>
            <w:r/>
            <w:r>
              <w:rPr>
                <w:rFonts w:ascii="Aptos" w:hAnsi="Aptos"/>
                <w:b w:val="0"/>
                <w:color w:val="0B0D10"/>
                <w:sz w:val="16"/>
              </w:rPr>
              <w:t>Dining / hospitality</w:t>
            </w:r>
          </w:p>
        </w:tc>
        <w:tc>
          <w:tcPr>
            <w:tcW w:type="dxa" w:w="5184"/>
            <w:vAlign w:val="center"/>
            <w:shd w:fill="FFFFFF"/>
          </w:tcPr>
          <w:p>
            <w:pPr>
              <w:spacing w:after="0"/>
            </w:pPr>
            <w:r/>
            <w:r>
              <w:rPr>
                <w:rFonts w:ascii="Aptos" w:hAnsi="Aptos"/>
                <w:b w:val="0"/>
                <w:color w:val="0B0D10"/>
                <w:sz w:val="16"/>
              </w:rPr>
              <w:t>High-end but concentrated in business hubs</w:t>
            </w:r>
          </w:p>
        </w:tc>
        <w:tc>
          <w:tcPr>
            <w:tcW w:type="dxa" w:w="3168"/>
            <w:vAlign w:val="center"/>
            <w:shd w:fill="FFFFFF"/>
          </w:tcPr>
          <w:p>
            <w:pPr>
              <w:spacing w:after="0"/>
            </w:pPr>
            <w:r/>
            <w:r>
              <w:rPr>
                <w:rFonts w:ascii="Aptos" w:hAnsi="Aptos"/>
                <w:b w:val="0"/>
                <w:color w:val="0B0D10"/>
                <w:sz w:val="16"/>
              </w:rPr>
              <w:t>Network / convenience</w:t>
            </w:r>
          </w:p>
        </w:tc>
      </w:tr>
      <w:tr>
        <w:tc>
          <w:tcPr>
            <w:tcW w:type="dxa" w:w="2016"/>
            <w:vAlign w:val="center"/>
            <w:shd w:fill="F1F2F0"/>
          </w:tcPr>
          <w:p>
            <w:pPr>
              <w:spacing w:after="0"/>
            </w:pPr>
            <w:r/>
            <w:r>
              <w:rPr>
                <w:rFonts w:ascii="Aptos" w:hAnsi="Aptos"/>
                <w:b w:val="0"/>
                <w:color w:val="0B0D10"/>
                <w:sz w:val="16"/>
              </w:rPr>
              <w:t>Automotive</w:t>
            </w:r>
          </w:p>
        </w:tc>
        <w:tc>
          <w:tcPr>
            <w:tcW w:type="dxa" w:w="5184"/>
            <w:vAlign w:val="center"/>
            <w:shd w:fill="F1F2F0"/>
          </w:tcPr>
          <w:p>
            <w:pPr>
              <w:spacing w:after="0"/>
            </w:pPr>
            <w:r/>
            <w:r>
              <w:rPr>
                <w:rFonts w:ascii="Aptos" w:hAnsi="Aptos"/>
                <w:b w:val="0"/>
                <w:color w:val="0B0D10"/>
                <w:sz w:val="16"/>
              </w:rPr>
              <w:t>3-car collection</w:t>
            </w:r>
          </w:p>
        </w:tc>
        <w:tc>
          <w:tcPr>
            <w:tcW w:type="dxa" w:w="3168"/>
            <w:vAlign w:val="center"/>
            <w:shd w:fill="F1F2F0"/>
          </w:tcPr>
          <w:p>
            <w:pPr>
              <w:spacing w:after="0"/>
            </w:pPr>
            <w:r/>
            <w:r>
              <w:rPr>
                <w:rFonts w:ascii="Aptos" w:hAnsi="Aptos"/>
                <w:b w:val="0"/>
                <w:color w:val="0B0D10"/>
                <w:sz w:val="16"/>
              </w:rPr>
              <w:t>Daily + winter + executive</w:t>
            </w:r>
          </w:p>
        </w:tc>
      </w:tr>
      <w:tr>
        <w:tc>
          <w:tcPr>
            <w:tcW w:type="dxa" w:w="2016"/>
            <w:vAlign w:val="center"/>
            <w:shd w:fill="FFFFFF"/>
          </w:tcPr>
          <w:p>
            <w:pPr>
              <w:spacing w:after="0"/>
            </w:pPr>
            <w:r/>
            <w:r>
              <w:rPr>
                <w:rFonts w:ascii="Aptos" w:hAnsi="Aptos"/>
                <w:b w:val="0"/>
                <w:color w:val="0B0D10"/>
                <w:sz w:val="16"/>
              </w:rPr>
              <w:t>Watches</w:t>
            </w:r>
          </w:p>
        </w:tc>
        <w:tc>
          <w:tcPr>
            <w:tcW w:type="dxa" w:w="5184"/>
            <w:vAlign w:val="center"/>
            <w:shd w:fill="FFFFFF"/>
          </w:tcPr>
          <w:p>
            <w:pPr>
              <w:spacing w:after="0"/>
            </w:pPr>
            <w:r/>
            <w:r>
              <w:rPr>
                <w:rFonts w:ascii="Aptos" w:hAnsi="Aptos"/>
                <w:b w:val="0"/>
                <w:color w:val="0B0D10"/>
                <w:sz w:val="16"/>
              </w:rPr>
              <w:t>Selective independent + Swiss maisons</w:t>
            </w:r>
          </w:p>
        </w:tc>
        <w:tc>
          <w:tcPr>
            <w:tcW w:type="dxa" w:w="3168"/>
            <w:vAlign w:val="center"/>
            <w:shd w:fill="FFFFFF"/>
          </w:tcPr>
          <w:p>
            <w:pPr>
              <w:spacing w:after="0"/>
            </w:pPr>
            <w:r/>
            <w:r>
              <w:rPr>
                <w:rFonts w:ascii="Aptos" w:hAnsi="Aptos"/>
                <w:b w:val="0"/>
                <w:color w:val="0B0D10"/>
                <w:sz w:val="16"/>
              </w:rPr>
              <w:t>Craft / collecting, not speculation</w:t>
            </w:r>
          </w:p>
        </w:tc>
      </w:tr>
      <w:tr>
        <w:tc>
          <w:tcPr>
            <w:tcW w:type="dxa" w:w="2016"/>
            <w:vAlign w:val="center"/>
            <w:shd w:fill="F1F2F0"/>
          </w:tcPr>
          <w:p>
            <w:pPr>
              <w:spacing w:after="0"/>
            </w:pPr>
            <w:r/>
            <w:r>
              <w:rPr>
                <w:rFonts w:ascii="Aptos" w:hAnsi="Aptos"/>
                <w:b w:val="0"/>
                <w:color w:val="0B0D10"/>
                <w:sz w:val="16"/>
              </w:rPr>
              <w:t>Art</w:t>
            </w:r>
          </w:p>
        </w:tc>
        <w:tc>
          <w:tcPr>
            <w:tcW w:type="dxa" w:w="5184"/>
            <w:vAlign w:val="center"/>
            <w:shd w:fill="F1F2F0"/>
          </w:tcPr>
          <w:p>
            <w:pPr>
              <w:spacing w:after="0"/>
            </w:pPr>
            <w:r/>
            <w:r>
              <w:rPr>
                <w:rFonts w:ascii="Aptos" w:hAnsi="Aptos"/>
                <w:b w:val="0"/>
                <w:color w:val="0B0D10"/>
                <w:sz w:val="16"/>
              </w:rPr>
              <w:t>5–8 works / design objects</w:t>
            </w:r>
          </w:p>
        </w:tc>
        <w:tc>
          <w:tcPr>
            <w:tcW w:type="dxa" w:w="3168"/>
            <w:vAlign w:val="center"/>
            <w:shd w:fill="F1F2F0"/>
          </w:tcPr>
          <w:p>
            <w:pPr>
              <w:spacing w:after="0"/>
            </w:pPr>
            <w:r/>
            <w:r>
              <w:rPr>
                <w:rFonts w:ascii="Aptos" w:hAnsi="Aptos"/>
                <w:b w:val="0"/>
                <w:color w:val="0B0D10"/>
                <w:sz w:val="16"/>
              </w:rPr>
              <w:t>Aesthetic interest</w:t>
            </w:r>
          </w:p>
        </w:tc>
      </w:tr>
      <w:tr>
        <w:tc>
          <w:tcPr>
            <w:tcW w:type="dxa" w:w="2016"/>
            <w:vAlign w:val="center"/>
            <w:shd w:fill="FFFFFF"/>
          </w:tcPr>
          <w:p>
            <w:pPr>
              <w:spacing w:after="0"/>
            </w:pPr>
            <w:r/>
            <w:r>
              <w:rPr>
                <w:rFonts w:ascii="Aptos" w:hAnsi="Aptos"/>
                <w:b w:val="0"/>
                <w:color w:val="0B0D10"/>
                <w:sz w:val="16"/>
              </w:rPr>
              <w:t>Sport</w:t>
            </w:r>
          </w:p>
        </w:tc>
        <w:tc>
          <w:tcPr>
            <w:tcW w:type="dxa" w:w="5184"/>
            <w:vAlign w:val="center"/>
            <w:shd w:fill="FFFFFF"/>
          </w:tcPr>
          <w:p>
            <w:pPr>
              <w:spacing w:after="0"/>
            </w:pPr>
            <w:r/>
            <w:r>
              <w:rPr>
                <w:rFonts w:ascii="Aptos" w:hAnsi="Aptos"/>
                <w:b w:val="0"/>
                <w:color w:val="0B0D10"/>
                <w:sz w:val="16"/>
              </w:rPr>
              <w:t>Skiing, gym, private driving / automotive events</w:t>
            </w:r>
          </w:p>
        </w:tc>
        <w:tc>
          <w:tcPr>
            <w:tcW w:type="dxa" w:w="3168"/>
            <w:vAlign w:val="center"/>
            <w:shd w:fill="FFFFFF"/>
          </w:tcPr>
          <w:p>
            <w:pPr>
              <w:spacing w:after="0"/>
            </w:pPr>
            <w:r/>
            <w:r>
              <w:rPr>
                <w:rFonts w:ascii="Aptos" w:hAnsi="Aptos"/>
                <w:b w:val="0"/>
                <w:color w:val="0B0D10"/>
                <w:sz w:val="16"/>
              </w:rPr>
              <w:t>Maintains personal routine</w:t>
            </w:r>
          </w:p>
        </w:tc>
      </w:tr>
      <w:tr>
        <w:tc>
          <w:tcPr>
            <w:tcW w:type="dxa" w:w="2016"/>
            <w:vAlign w:val="center"/>
            <w:shd w:fill="F1F2F0"/>
          </w:tcPr>
          <w:p>
            <w:pPr>
              <w:spacing w:after="0"/>
            </w:pPr>
            <w:r/>
            <w:r>
              <w:rPr>
                <w:rFonts w:ascii="Aptos" w:hAnsi="Aptos"/>
                <w:b w:val="0"/>
                <w:color w:val="0B0D10"/>
                <w:sz w:val="16"/>
              </w:rPr>
              <w:t>Technology</w:t>
            </w:r>
          </w:p>
        </w:tc>
        <w:tc>
          <w:tcPr>
            <w:tcW w:type="dxa" w:w="5184"/>
            <w:vAlign w:val="center"/>
            <w:shd w:fill="F1F2F0"/>
          </w:tcPr>
          <w:p>
            <w:pPr>
              <w:spacing w:after="0"/>
            </w:pPr>
            <w:r/>
            <w:r>
              <w:rPr>
                <w:rFonts w:ascii="Aptos" w:hAnsi="Aptos"/>
                <w:b w:val="0"/>
                <w:color w:val="0B0D10"/>
                <w:sz w:val="16"/>
              </w:rPr>
              <w:t>High-end but controlled</w:t>
            </w:r>
          </w:p>
        </w:tc>
        <w:tc>
          <w:tcPr>
            <w:tcW w:type="dxa" w:w="3168"/>
            <w:vAlign w:val="center"/>
            <w:shd w:fill="F1F2F0"/>
          </w:tcPr>
          <w:p>
            <w:pPr>
              <w:spacing w:after="0"/>
            </w:pPr>
            <w:r/>
            <w:r>
              <w:rPr>
                <w:rFonts w:ascii="Aptos" w:hAnsi="Aptos"/>
                <w:b w:val="0"/>
                <w:color w:val="0B0D10"/>
                <w:sz w:val="16"/>
              </w:rPr>
              <w:t>Personal devices segregated from RAS</w:t>
            </w:r>
          </w:p>
        </w:tc>
      </w:tr>
    </w:tbl>
    <w:p>
      <w:pPr>
        <w:spacing w:after="40"/>
      </w:pPr>
    </w:p>
    <w:p>
      <w:pPr>
        <w:pStyle w:val="Heading1"/>
      </w:pPr>
      <w:r>
        <w:t>15. Annual personal spending — 2030</w:t>
      </w:r>
    </w:p>
    <w:tbl>
      <w:tblPr>
        <w:tblStyle w:val="TableGrid"/>
        <w:tblW w:type="auto" w:w="0"/>
        <w:jc w:val="center"/>
        <w:tblLook w:firstColumn="1" w:firstRow="1" w:lastColumn="0" w:lastRow="0" w:noHBand="0" w:noVBand="1" w:val="04A0"/>
      </w:tblPr>
      <w:tblGrid>
        <w:gridCol w:w="3408"/>
        <w:gridCol w:w="3408"/>
        <w:gridCol w:w="3408"/>
      </w:tblGrid>
      <w:tr>
        <w:trPr>
          <w:tblHeader w:val="true"/>
          <w:tblHeader w:val="true"/>
          <w:tblHeader w:val="true"/>
        </w:trPr>
        <w:tc>
          <w:tcPr>
            <w:tcW w:type="dxa" w:w="4896"/>
            <w:vAlign w:val="center"/>
            <w:shd w:fill="252A30"/>
          </w:tcPr>
          <w:p>
            <w:pPr>
              <w:spacing w:after="0"/>
            </w:pPr>
            <w:r/>
            <w:r>
              <w:rPr>
                <w:rFonts w:ascii="Aptos" w:hAnsi="Aptos"/>
                <w:b/>
                <w:color w:val="FFFFFF"/>
                <w:sz w:val="16"/>
              </w:rPr>
              <w:t>Category</w:t>
            </w:r>
          </w:p>
        </w:tc>
        <w:tc>
          <w:tcPr>
            <w:tcW w:type="dxa" w:w="1872"/>
            <w:vAlign w:val="center"/>
            <w:shd w:fill="252A30"/>
          </w:tcPr>
          <w:p>
            <w:pPr>
              <w:spacing w:after="0"/>
            </w:pPr>
            <w:r/>
            <w:r>
              <w:rPr>
                <w:rFonts w:ascii="Aptos" w:hAnsi="Aptos"/>
                <w:b/>
                <w:color w:val="FFFFFF"/>
                <w:sz w:val="16"/>
              </w:rPr>
              <w:t>Outflow</w:t>
            </w:r>
          </w:p>
        </w:tc>
        <w:tc>
          <w:tcPr>
            <w:tcW w:type="dxa" w:w="4032"/>
            <w:vAlign w:val="center"/>
            <w:shd w:fill="252A30"/>
          </w:tcPr>
          <w:p>
            <w:pPr>
              <w:spacing w:after="0"/>
            </w:pPr>
            <w:r/>
            <w:r>
              <w:rPr>
                <w:rFonts w:ascii="Aptos" w:hAnsi="Aptos"/>
                <w:b/>
                <w:color w:val="FFFFFF"/>
                <w:sz w:val="16"/>
              </w:rPr>
              <w:t>Notes</w:t>
            </w:r>
          </w:p>
        </w:tc>
      </w:tr>
      <w:tr>
        <w:tc>
          <w:tcPr>
            <w:tcW w:type="dxa" w:w="4896"/>
            <w:vAlign w:val="center"/>
            <w:shd w:fill="FFFFFF"/>
          </w:tcPr>
          <w:p>
            <w:pPr>
              <w:spacing w:after="0"/>
            </w:pPr>
            <w:r/>
            <w:r>
              <w:rPr>
                <w:rFonts w:ascii="Aptos" w:hAnsi="Aptos"/>
                <w:b w:val="0"/>
                <w:color w:val="0B0D10"/>
                <w:sz w:val="16"/>
              </w:rPr>
              <w:t>Housing operating costs / mortgage service</w:t>
            </w:r>
          </w:p>
        </w:tc>
        <w:tc>
          <w:tcPr>
            <w:tcW w:type="dxa" w:w="1872"/>
            <w:vAlign w:val="center"/>
            <w:shd w:fill="FFFFFF"/>
          </w:tcPr>
          <w:p>
            <w:pPr>
              <w:spacing w:after="0"/>
            </w:pPr>
            <w:r/>
            <w:r>
              <w:rPr>
                <w:rFonts w:ascii="Aptos" w:hAnsi="Aptos"/>
                <w:b w:val="0"/>
                <w:color w:val="0B0D10"/>
                <w:sz w:val="16"/>
              </w:rPr>
              <w:t>€0.72M</w:t>
            </w:r>
          </w:p>
        </w:tc>
        <w:tc>
          <w:tcPr>
            <w:tcW w:type="dxa" w:w="4032"/>
          </w:tcPr>
          <w:p/>
        </w:tc>
      </w:tr>
      <w:tr>
        <w:tc>
          <w:tcPr>
            <w:tcW w:type="dxa" w:w="4896"/>
            <w:vAlign w:val="center"/>
            <w:shd w:fill="F1F2F0"/>
          </w:tcPr>
          <w:p>
            <w:pPr>
              <w:spacing w:after="0"/>
            </w:pPr>
            <w:r/>
            <w:r>
              <w:rPr>
                <w:rFonts w:ascii="Aptos" w:hAnsi="Aptos"/>
                <w:b w:val="0"/>
                <w:color w:val="0B0D10"/>
                <w:sz w:val="16"/>
              </w:rPr>
              <w:t>Aircraft management + fuel + crew + maintenance</w:t>
            </w:r>
          </w:p>
        </w:tc>
        <w:tc>
          <w:tcPr>
            <w:tcW w:type="dxa" w:w="1872"/>
            <w:vAlign w:val="center"/>
            <w:shd w:fill="F1F2F0"/>
          </w:tcPr>
          <w:p>
            <w:pPr>
              <w:spacing w:after="0"/>
            </w:pPr>
            <w:r/>
            <w:r>
              <w:rPr>
                <w:rFonts w:ascii="Aptos" w:hAnsi="Aptos"/>
                <w:b w:val="0"/>
                <w:color w:val="0B0D10"/>
                <w:sz w:val="16"/>
              </w:rPr>
              <w:t>€0.95M</w:t>
            </w:r>
          </w:p>
        </w:tc>
        <w:tc>
          <w:tcPr>
            <w:tcW w:type="dxa" w:w="4032"/>
          </w:tcPr>
          <w:p/>
        </w:tc>
      </w:tr>
      <w:tr>
        <w:tc>
          <w:tcPr>
            <w:tcW w:type="dxa" w:w="4896"/>
            <w:vAlign w:val="center"/>
            <w:shd w:fill="FFFFFF"/>
          </w:tcPr>
          <w:p>
            <w:pPr>
              <w:spacing w:after="0"/>
            </w:pPr>
            <w:r/>
            <w:r>
              <w:rPr>
                <w:rFonts w:ascii="Aptos" w:hAnsi="Aptos"/>
                <w:b w:val="0"/>
                <w:color w:val="0B0D10"/>
                <w:sz w:val="16"/>
              </w:rPr>
              <w:t>Private office + staff</w:t>
            </w:r>
          </w:p>
        </w:tc>
        <w:tc>
          <w:tcPr>
            <w:tcW w:type="dxa" w:w="1872"/>
            <w:vAlign w:val="center"/>
            <w:shd w:fill="FFFFFF"/>
          </w:tcPr>
          <w:p>
            <w:pPr>
              <w:spacing w:after="0"/>
            </w:pPr>
            <w:r/>
            <w:r>
              <w:rPr>
                <w:rFonts w:ascii="Aptos" w:hAnsi="Aptos"/>
                <w:b w:val="0"/>
                <w:color w:val="0B0D10"/>
                <w:sz w:val="16"/>
              </w:rPr>
              <w:t>€1.25M</w:t>
            </w:r>
          </w:p>
        </w:tc>
        <w:tc>
          <w:tcPr>
            <w:tcW w:type="dxa" w:w="4032"/>
          </w:tcPr>
          <w:p/>
        </w:tc>
      </w:tr>
      <w:tr>
        <w:tc>
          <w:tcPr>
            <w:tcW w:type="dxa" w:w="4896"/>
            <w:vAlign w:val="center"/>
            <w:shd w:fill="F1F2F0"/>
          </w:tcPr>
          <w:p>
            <w:pPr>
              <w:spacing w:after="0"/>
            </w:pPr>
            <w:r/>
            <w:r>
              <w:rPr>
                <w:rFonts w:ascii="Aptos" w:hAnsi="Aptos"/>
                <w:b w:val="0"/>
                <w:color w:val="0B0D10"/>
                <w:sz w:val="16"/>
              </w:rPr>
              <w:t>Security</w:t>
            </w:r>
          </w:p>
        </w:tc>
        <w:tc>
          <w:tcPr>
            <w:tcW w:type="dxa" w:w="1872"/>
            <w:vAlign w:val="center"/>
            <w:shd w:fill="F1F2F0"/>
          </w:tcPr>
          <w:p>
            <w:pPr>
              <w:spacing w:after="0"/>
            </w:pPr>
            <w:r/>
            <w:r>
              <w:rPr>
                <w:rFonts w:ascii="Aptos" w:hAnsi="Aptos"/>
                <w:b w:val="0"/>
                <w:color w:val="0B0D10"/>
                <w:sz w:val="16"/>
              </w:rPr>
              <w:t>€0.22M</w:t>
            </w:r>
          </w:p>
        </w:tc>
        <w:tc>
          <w:tcPr>
            <w:tcW w:type="dxa" w:w="4032"/>
          </w:tcPr>
          <w:p/>
        </w:tc>
      </w:tr>
      <w:tr>
        <w:tc>
          <w:tcPr>
            <w:tcW w:type="dxa" w:w="4896"/>
            <w:vAlign w:val="center"/>
            <w:shd w:fill="FFFFFF"/>
          </w:tcPr>
          <w:p>
            <w:pPr>
              <w:spacing w:after="0"/>
            </w:pPr>
            <w:r/>
            <w:r>
              <w:rPr>
                <w:rFonts w:ascii="Aptos" w:hAnsi="Aptos"/>
                <w:b w:val="0"/>
                <w:color w:val="0B0D10"/>
                <w:sz w:val="16"/>
              </w:rPr>
              <w:t>Travel / hotels / hospitality</w:t>
            </w:r>
          </w:p>
        </w:tc>
        <w:tc>
          <w:tcPr>
            <w:tcW w:type="dxa" w:w="1872"/>
            <w:vAlign w:val="center"/>
            <w:shd w:fill="FFFFFF"/>
          </w:tcPr>
          <w:p>
            <w:pPr>
              <w:spacing w:after="0"/>
            </w:pPr>
            <w:r/>
            <w:r>
              <w:rPr>
                <w:rFonts w:ascii="Aptos" w:hAnsi="Aptos"/>
                <w:b w:val="0"/>
                <w:color w:val="0B0D10"/>
                <w:sz w:val="16"/>
              </w:rPr>
              <w:t>€0.42M</w:t>
            </w:r>
          </w:p>
        </w:tc>
        <w:tc>
          <w:tcPr>
            <w:tcW w:type="dxa" w:w="4032"/>
          </w:tcPr>
          <w:p/>
        </w:tc>
      </w:tr>
      <w:tr>
        <w:tc>
          <w:tcPr>
            <w:tcW w:type="dxa" w:w="4896"/>
            <w:vAlign w:val="center"/>
            <w:shd w:fill="F1F2F0"/>
          </w:tcPr>
          <w:p>
            <w:pPr>
              <w:spacing w:after="0"/>
            </w:pPr>
            <w:r/>
            <w:r>
              <w:rPr>
                <w:rFonts w:ascii="Aptos" w:hAnsi="Aptos"/>
                <w:b w:val="0"/>
                <w:color w:val="0B0D10"/>
                <w:sz w:val="16"/>
              </w:rPr>
              <w:t>Cars / insurance / maintenance</w:t>
            </w:r>
          </w:p>
        </w:tc>
        <w:tc>
          <w:tcPr>
            <w:tcW w:type="dxa" w:w="1872"/>
            <w:vAlign w:val="center"/>
            <w:shd w:fill="F1F2F0"/>
          </w:tcPr>
          <w:p>
            <w:pPr>
              <w:spacing w:after="0"/>
            </w:pPr>
            <w:r/>
            <w:r>
              <w:rPr>
                <w:rFonts w:ascii="Aptos" w:hAnsi="Aptos"/>
                <w:b w:val="0"/>
                <w:color w:val="0B0D10"/>
                <w:sz w:val="16"/>
              </w:rPr>
              <w:t>€0.16M</w:t>
            </w:r>
          </w:p>
        </w:tc>
        <w:tc>
          <w:tcPr>
            <w:tcW w:type="dxa" w:w="4032"/>
          </w:tcPr>
          <w:p/>
        </w:tc>
      </w:tr>
      <w:tr>
        <w:tc>
          <w:tcPr>
            <w:tcW w:type="dxa" w:w="4896"/>
            <w:vAlign w:val="center"/>
            <w:shd w:fill="FFFFFF"/>
          </w:tcPr>
          <w:p>
            <w:pPr>
              <w:spacing w:after="0"/>
            </w:pPr>
            <w:r/>
            <w:r>
              <w:rPr>
                <w:rFonts w:ascii="Aptos" w:hAnsi="Aptos"/>
                <w:b w:val="0"/>
                <w:color w:val="0B0D10"/>
                <w:sz w:val="16"/>
              </w:rPr>
              <w:t>Luxury / watches / art / design purchases</w:t>
            </w:r>
          </w:p>
        </w:tc>
        <w:tc>
          <w:tcPr>
            <w:tcW w:type="dxa" w:w="1872"/>
            <w:vAlign w:val="center"/>
            <w:shd w:fill="FFFFFF"/>
          </w:tcPr>
          <w:p>
            <w:pPr>
              <w:spacing w:after="0"/>
            </w:pPr>
            <w:r/>
            <w:r>
              <w:rPr>
                <w:rFonts w:ascii="Aptos" w:hAnsi="Aptos"/>
                <w:b w:val="0"/>
                <w:color w:val="0B0D10"/>
                <w:sz w:val="16"/>
              </w:rPr>
              <w:t>€0.35M</w:t>
            </w:r>
          </w:p>
        </w:tc>
        <w:tc>
          <w:tcPr>
            <w:tcW w:type="dxa" w:w="4032"/>
          </w:tcPr>
          <w:p/>
        </w:tc>
      </w:tr>
      <w:tr>
        <w:tc>
          <w:tcPr>
            <w:tcW w:type="dxa" w:w="4896"/>
            <w:vAlign w:val="center"/>
            <w:shd w:fill="F1F2F0"/>
          </w:tcPr>
          <w:p>
            <w:pPr>
              <w:spacing w:after="0"/>
            </w:pPr>
            <w:r/>
            <w:r>
              <w:rPr>
                <w:rFonts w:ascii="Aptos" w:hAnsi="Aptos"/>
                <w:b w:val="0"/>
                <w:color w:val="0B0D10"/>
                <w:sz w:val="16"/>
              </w:rPr>
              <w:t>Family support / gifts</w:t>
            </w:r>
          </w:p>
        </w:tc>
        <w:tc>
          <w:tcPr>
            <w:tcW w:type="dxa" w:w="1872"/>
            <w:vAlign w:val="center"/>
            <w:shd w:fill="F1F2F0"/>
          </w:tcPr>
          <w:p>
            <w:pPr>
              <w:spacing w:after="0"/>
            </w:pPr>
            <w:r/>
            <w:r>
              <w:rPr>
                <w:rFonts w:ascii="Aptos" w:hAnsi="Aptos"/>
                <w:b w:val="0"/>
                <w:color w:val="0B0D10"/>
                <w:sz w:val="16"/>
              </w:rPr>
              <w:t>€0.22M</w:t>
            </w:r>
          </w:p>
        </w:tc>
        <w:tc>
          <w:tcPr>
            <w:tcW w:type="dxa" w:w="4032"/>
          </w:tcPr>
          <w:p/>
        </w:tc>
      </w:tr>
      <w:tr>
        <w:tc>
          <w:tcPr>
            <w:tcW w:type="dxa" w:w="4896"/>
            <w:vAlign w:val="center"/>
            <w:shd w:fill="FFFFFF"/>
          </w:tcPr>
          <w:p>
            <w:pPr>
              <w:spacing w:after="0"/>
            </w:pPr>
            <w:r/>
            <w:r>
              <w:rPr>
                <w:rFonts w:ascii="Aptos" w:hAnsi="Aptos"/>
                <w:b w:val="0"/>
                <w:color w:val="0B0D10"/>
                <w:sz w:val="16"/>
              </w:rPr>
              <w:t>Professional / tax / legal</w:t>
            </w:r>
          </w:p>
        </w:tc>
        <w:tc>
          <w:tcPr>
            <w:tcW w:type="dxa" w:w="1872"/>
            <w:vAlign w:val="center"/>
            <w:shd w:fill="FFFFFF"/>
          </w:tcPr>
          <w:p>
            <w:pPr>
              <w:spacing w:after="0"/>
            </w:pPr>
            <w:r/>
            <w:r>
              <w:rPr>
                <w:rFonts w:ascii="Aptos" w:hAnsi="Aptos"/>
                <w:b w:val="0"/>
                <w:color w:val="0B0D10"/>
                <w:sz w:val="16"/>
              </w:rPr>
              <w:t>€0.31M</w:t>
            </w:r>
          </w:p>
        </w:tc>
        <w:tc>
          <w:tcPr>
            <w:tcW w:type="dxa" w:w="4032"/>
          </w:tcPr>
          <w:p/>
        </w:tc>
      </w:tr>
      <w:tr>
        <w:tc>
          <w:tcPr>
            <w:tcW w:type="dxa" w:w="4896"/>
            <w:vAlign w:val="center"/>
            <w:shd w:fill="F1F2F0"/>
          </w:tcPr>
          <w:p>
            <w:pPr>
              <w:spacing w:after="0"/>
            </w:pPr>
            <w:r/>
            <w:r>
              <w:rPr>
                <w:rFonts w:ascii="Aptos" w:hAnsi="Aptos"/>
                <w:b w:val="0"/>
                <w:color w:val="0B0D10"/>
                <w:sz w:val="16"/>
              </w:rPr>
              <w:t>Charitable / civic / educational commitments</w:t>
            </w:r>
          </w:p>
        </w:tc>
        <w:tc>
          <w:tcPr>
            <w:tcW w:type="dxa" w:w="1872"/>
            <w:vAlign w:val="center"/>
            <w:shd w:fill="F1F2F0"/>
          </w:tcPr>
          <w:p>
            <w:pPr>
              <w:spacing w:after="0"/>
            </w:pPr>
            <w:r/>
            <w:r>
              <w:rPr>
                <w:rFonts w:ascii="Aptos" w:hAnsi="Aptos"/>
                <w:b w:val="0"/>
                <w:color w:val="0B0D10"/>
                <w:sz w:val="16"/>
              </w:rPr>
              <w:t>€0.20M</w:t>
            </w:r>
          </w:p>
        </w:tc>
        <w:tc>
          <w:tcPr>
            <w:tcW w:type="dxa" w:w="4032"/>
          </w:tcPr>
          <w:p/>
        </w:tc>
      </w:tr>
      <w:tr>
        <w:tc>
          <w:tcPr>
            <w:tcW w:type="dxa" w:w="4896"/>
            <w:vAlign w:val="center"/>
            <w:shd w:fill="FFFFFF"/>
          </w:tcPr>
          <w:p>
            <w:pPr>
              <w:spacing w:after="0"/>
            </w:pPr>
            <w:r/>
            <w:r>
              <w:rPr>
                <w:rFonts w:ascii="Aptos" w:hAnsi="Aptos"/>
                <w:b w:val="0"/>
                <w:color w:val="0B0D10"/>
                <w:sz w:val="16"/>
              </w:rPr>
              <w:t>Total recurring / discretionary</w:t>
            </w:r>
          </w:p>
        </w:tc>
        <w:tc>
          <w:tcPr>
            <w:tcW w:type="dxa" w:w="1872"/>
            <w:vAlign w:val="center"/>
            <w:shd w:fill="FFFFFF"/>
          </w:tcPr>
          <w:p>
            <w:pPr>
              <w:spacing w:after="0"/>
            </w:pPr>
            <w:r/>
            <w:r>
              <w:rPr>
                <w:rFonts w:ascii="Aptos" w:hAnsi="Aptos"/>
                <w:b w:val="0"/>
                <w:color w:val="0B0D10"/>
                <w:sz w:val="16"/>
              </w:rPr>
              <w:t>€4.80M</w:t>
            </w:r>
          </w:p>
        </w:tc>
        <w:tc>
          <w:tcPr>
            <w:tcW w:type="dxa" w:w="4032"/>
            <w:vAlign w:val="center"/>
            <w:shd w:fill="FFFFFF"/>
          </w:tcPr>
          <w:p>
            <w:pPr>
              <w:spacing w:after="0"/>
            </w:pPr>
            <w:r/>
            <w:r>
              <w:rPr>
                <w:rFonts w:ascii="Aptos" w:hAnsi="Aptos"/>
                <w:b w:val="0"/>
                <w:color w:val="0B0D10"/>
                <w:sz w:val="16"/>
              </w:rPr>
              <w:t>Approximate before investment purchases / taxes</w:t>
            </w:r>
          </w:p>
        </w:tc>
      </w:tr>
    </w:tbl>
    <w:p>
      <w:pPr>
        <w:spacing w:after="40"/>
      </w:pPr>
    </w:p>
    <w:p>
      <w:pPr>
        <w:pStyle w:val="Heading1"/>
      </w:pPr>
      <w:r>
        <w:t>16. Family state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blHeader w:val="true"/>
          <w:tblHeader w:val="true"/>
          <w:tblHeader w:val="true"/>
        </w:trPr>
        <w:tc>
          <w:tcPr>
            <w:tcW w:type="dxa" w:w="3168"/>
            <w:vAlign w:val="center"/>
            <w:shd w:fill="252A30"/>
          </w:tcPr>
          <w:p>
            <w:pPr>
              <w:spacing w:after="0"/>
            </w:pPr>
            <w:r/>
            <w:r>
              <w:rPr>
                <w:rFonts w:ascii="Aptos" w:hAnsi="Aptos"/>
                <w:b/>
                <w:color w:val="FFFFFF"/>
                <w:sz w:val="13"/>
              </w:rPr>
              <w:t>Person</w:t>
            </w:r>
          </w:p>
        </w:tc>
        <w:tc>
          <w:tcPr>
            <w:tcW w:type="dxa" w:w="1152"/>
            <w:vAlign w:val="center"/>
            <w:shd w:fill="252A30"/>
          </w:tcPr>
          <w:p>
            <w:pPr>
              <w:spacing w:after="0"/>
            </w:pPr>
            <w:r/>
            <w:r>
              <w:rPr>
                <w:rFonts w:ascii="Aptos" w:hAnsi="Aptos"/>
                <w:b/>
                <w:color w:val="FFFFFF"/>
                <w:sz w:val="13"/>
              </w:rPr>
              <w:t>Relation</w:t>
            </w:r>
          </w:p>
        </w:tc>
        <w:tc>
          <w:tcPr>
            <w:tcW w:type="dxa" w:w="4608"/>
            <w:vAlign w:val="center"/>
            <w:shd w:fill="252A30"/>
          </w:tcPr>
          <w:p>
            <w:pPr>
              <w:spacing w:after="0"/>
            </w:pPr>
            <w:r/>
            <w:r>
              <w:rPr>
                <w:rFonts w:ascii="Aptos" w:hAnsi="Aptos"/>
                <w:b/>
                <w:color w:val="FFFFFF"/>
                <w:sz w:val="13"/>
              </w:rPr>
              <w:t>2030 trajectory</w:t>
            </w:r>
          </w:p>
        </w:tc>
        <w:tc>
          <w:tcPr>
            <w:tcW w:type="dxa" w:w="2304"/>
            <w:vAlign w:val="center"/>
            <w:shd w:fill="252A30"/>
          </w:tcPr>
          <w:p>
            <w:pPr>
              <w:spacing w:after="0"/>
            </w:pPr>
            <w:r/>
            <w:r>
              <w:rPr>
                <w:rFonts w:ascii="Aptos" w:hAnsi="Aptos"/>
                <w:b/>
                <w:color w:val="FFFFFF"/>
                <w:sz w:val="13"/>
              </w:rPr>
              <w:t>Economic / relational status</w:t>
            </w:r>
          </w:p>
        </w:tc>
      </w:tr>
      <w:tr>
        <w:tc>
          <w:tcPr>
            <w:tcW w:type="dxa" w:w="3168"/>
            <w:vAlign w:val="center"/>
            <w:shd w:fill="FFFFFF"/>
          </w:tcPr>
          <w:p>
            <w:pPr>
              <w:spacing w:after="0"/>
            </w:pPr>
            <w:r/>
            <w:r>
              <w:rPr>
                <w:rFonts w:ascii="Aptos" w:hAnsi="Aptos"/>
                <w:b w:val="0"/>
                <w:color w:val="0B0D10"/>
                <w:sz w:val="13"/>
              </w:rPr>
              <w:t>Marc-André de Rosenfeld</w:t>
            </w:r>
          </w:p>
        </w:tc>
        <w:tc>
          <w:tcPr>
            <w:tcW w:type="dxa" w:w="1152"/>
            <w:vAlign w:val="center"/>
            <w:shd w:fill="FFFFFF"/>
          </w:tcPr>
          <w:p>
            <w:pPr>
              <w:spacing w:after="0"/>
            </w:pPr>
            <w:r/>
            <w:r>
              <w:rPr>
                <w:rFonts w:ascii="Aptos" w:hAnsi="Aptos"/>
                <w:b w:val="0"/>
                <w:color w:val="0B0D10"/>
                <w:sz w:val="13"/>
              </w:rPr>
              <w:t>Father</w:t>
            </w:r>
          </w:p>
        </w:tc>
        <w:tc>
          <w:tcPr>
            <w:tcW w:type="dxa" w:w="4608"/>
            <w:vAlign w:val="center"/>
            <w:shd w:fill="FFFFFF"/>
          </w:tcPr>
          <w:p>
            <w:pPr>
              <w:spacing w:after="0"/>
            </w:pPr>
            <w:r/>
            <w:r>
              <w:rPr>
                <w:rFonts w:ascii="Aptos" w:hAnsi="Aptos"/>
                <w:b w:val="0"/>
                <w:color w:val="0B0D10"/>
                <w:sz w:val="13"/>
              </w:rPr>
              <w:t>SES / satellite communications background; transitions to advisory retirement in the late 2020s</w:t>
            </w:r>
          </w:p>
        </w:tc>
        <w:tc>
          <w:tcPr>
            <w:tcW w:type="dxa" w:w="2304"/>
            <w:vAlign w:val="center"/>
            <w:shd w:fill="FFFFFF"/>
          </w:tcPr>
          <w:p>
            <w:pPr>
              <w:spacing w:after="0"/>
            </w:pPr>
            <w:r/>
            <w:r>
              <w:rPr>
                <w:rFonts w:ascii="Aptos" w:hAnsi="Aptos"/>
                <w:b w:val="0"/>
                <w:color w:val="0B0D10"/>
                <w:sz w:val="13"/>
              </w:rPr>
              <w:t>Keeps technical contact; no RAS equity</w:t>
            </w:r>
          </w:p>
        </w:tc>
      </w:tr>
      <w:tr>
        <w:tc>
          <w:tcPr>
            <w:tcW w:type="dxa" w:w="3168"/>
            <w:vAlign w:val="center"/>
            <w:shd w:fill="F1F2F0"/>
          </w:tcPr>
          <w:p>
            <w:pPr>
              <w:spacing w:after="0"/>
            </w:pPr>
            <w:r/>
            <w:r>
              <w:rPr>
                <w:rFonts w:ascii="Aptos" w:hAnsi="Aptos"/>
                <w:b w:val="0"/>
                <w:color w:val="0B0D10"/>
                <w:sz w:val="13"/>
              </w:rPr>
              <w:t>Claire Hélène de Rosenfeld née Vandenberg</w:t>
            </w:r>
          </w:p>
        </w:tc>
        <w:tc>
          <w:tcPr>
            <w:tcW w:type="dxa" w:w="1152"/>
            <w:vAlign w:val="center"/>
            <w:shd w:fill="F1F2F0"/>
          </w:tcPr>
          <w:p>
            <w:pPr>
              <w:spacing w:after="0"/>
            </w:pPr>
            <w:r/>
            <w:r>
              <w:rPr>
                <w:rFonts w:ascii="Aptos" w:hAnsi="Aptos"/>
                <w:b w:val="0"/>
                <w:color w:val="0B0D10"/>
                <w:sz w:val="13"/>
              </w:rPr>
              <w:t>Mother</w:t>
            </w:r>
          </w:p>
        </w:tc>
        <w:tc>
          <w:tcPr>
            <w:tcW w:type="dxa" w:w="4608"/>
            <w:vAlign w:val="center"/>
            <w:shd w:fill="F1F2F0"/>
          </w:tcPr>
          <w:p>
            <w:pPr>
              <w:spacing w:after="0"/>
            </w:pPr>
            <w:r/>
            <w:r>
              <w:rPr>
                <w:rFonts w:ascii="Aptos" w:hAnsi="Aptos"/>
                <w:b w:val="0"/>
                <w:color w:val="0B0D10"/>
                <w:sz w:val="13"/>
              </w:rPr>
              <w:t>Commercial lawyer; acts as occasional private sounding board, not RAS counsel</w:t>
            </w:r>
          </w:p>
        </w:tc>
        <w:tc>
          <w:tcPr>
            <w:tcW w:type="dxa" w:w="2304"/>
            <w:vAlign w:val="center"/>
            <w:shd w:fill="F1F2F0"/>
          </w:tcPr>
          <w:p>
            <w:pPr>
              <w:spacing w:after="0"/>
            </w:pPr>
            <w:r/>
            <w:r>
              <w:rPr>
                <w:rFonts w:ascii="Aptos" w:hAnsi="Aptos"/>
                <w:b w:val="0"/>
                <w:color w:val="0B0D10"/>
                <w:sz w:val="13"/>
              </w:rPr>
              <w:t>No RAS equity</w:t>
            </w:r>
          </w:p>
        </w:tc>
      </w:tr>
      <w:tr>
        <w:tc>
          <w:tcPr>
            <w:tcW w:type="dxa" w:w="3168"/>
            <w:vAlign w:val="center"/>
            <w:shd w:fill="FFFFFF"/>
          </w:tcPr>
          <w:p>
            <w:pPr>
              <w:spacing w:after="0"/>
            </w:pPr>
            <w:r/>
            <w:r>
              <w:rPr>
                <w:rFonts w:ascii="Aptos" w:hAnsi="Aptos"/>
                <w:b w:val="0"/>
                <w:color w:val="0B0D10"/>
                <w:sz w:val="13"/>
              </w:rPr>
              <w:t>Charlotte Amélie de Rosenfeld</w:t>
            </w:r>
          </w:p>
        </w:tc>
        <w:tc>
          <w:tcPr>
            <w:tcW w:type="dxa" w:w="1152"/>
            <w:vAlign w:val="center"/>
            <w:shd w:fill="FFFFFF"/>
          </w:tcPr>
          <w:p>
            <w:pPr>
              <w:spacing w:after="0"/>
            </w:pPr>
            <w:r/>
            <w:r>
              <w:rPr>
                <w:rFonts w:ascii="Aptos" w:hAnsi="Aptos"/>
                <w:b w:val="0"/>
                <w:color w:val="0B0D10"/>
                <w:sz w:val="13"/>
              </w:rPr>
              <w:t>Sister</w:t>
            </w:r>
          </w:p>
        </w:tc>
        <w:tc>
          <w:tcPr>
            <w:tcW w:type="dxa" w:w="4608"/>
            <w:vAlign w:val="center"/>
            <w:shd w:fill="FFFFFF"/>
          </w:tcPr>
          <w:p>
            <w:pPr>
              <w:spacing w:after="0"/>
            </w:pPr>
            <w:r/>
            <w:r>
              <w:rPr>
                <w:rFonts w:ascii="Aptos" w:hAnsi="Aptos"/>
                <w:b w:val="0"/>
                <w:color w:val="0B0D10"/>
                <w:sz w:val="13"/>
              </w:rPr>
              <w:t>Architect / urban planning; develops independent practice; strong reality-check relationship</w:t>
            </w:r>
          </w:p>
        </w:tc>
        <w:tc>
          <w:tcPr>
            <w:tcW w:type="dxa" w:w="2304"/>
            <w:vAlign w:val="center"/>
            <w:shd w:fill="FFFFFF"/>
          </w:tcPr>
          <w:p>
            <w:pPr>
              <w:spacing w:after="0"/>
            </w:pPr>
            <w:r/>
            <w:r>
              <w:rPr>
                <w:rFonts w:ascii="Aptos" w:hAnsi="Aptos"/>
                <w:b w:val="0"/>
                <w:color w:val="0B0D10"/>
                <w:sz w:val="13"/>
              </w:rPr>
              <w:t>Lucien funds a €120k family-backed seed for studio property [SIM]</w:t>
            </w:r>
          </w:p>
        </w:tc>
      </w:tr>
      <w:tr>
        <w:tc>
          <w:tcPr>
            <w:tcW w:type="dxa" w:w="3168"/>
            <w:vAlign w:val="center"/>
            <w:shd w:fill="F1F2F0"/>
          </w:tcPr>
          <w:p>
            <w:pPr>
              <w:spacing w:after="0"/>
            </w:pPr>
            <w:r/>
            <w:r>
              <w:rPr>
                <w:rFonts w:ascii="Aptos" w:hAnsi="Aptos"/>
                <w:b w:val="0"/>
                <w:color w:val="0B0D10"/>
                <w:sz w:val="13"/>
              </w:rPr>
              <w:t>Victor Matthias de Rosenfeld</w:t>
            </w:r>
          </w:p>
        </w:tc>
        <w:tc>
          <w:tcPr>
            <w:tcW w:type="dxa" w:w="1152"/>
            <w:vAlign w:val="center"/>
            <w:shd w:fill="F1F2F0"/>
          </w:tcPr>
          <w:p>
            <w:pPr>
              <w:spacing w:after="0"/>
            </w:pPr>
            <w:r/>
            <w:r>
              <w:rPr>
                <w:rFonts w:ascii="Aptos" w:hAnsi="Aptos"/>
                <w:b w:val="0"/>
                <w:color w:val="0B0D10"/>
                <w:sz w:val="13"/>
              </w:rPr>
              <w:t>Brother</w:t>
            </w:r>
          </w:p>
        </w:tc>
        <w:tc>
          <w:tcPr>
            <w:tcW w:type="dxa" w:w="4608"/>
            <w:vAlign w:val="center"/>
            <w:shd w:fill="F1F2F0"/>
          </w:tcPr>
          <w:p>
            <w:pPr>
              <w:spacing w:after="0"/>
            </w:pPr>
            <w:r/>
            <w:r>
              <w:rPr>
                <w:rFonts w:ascii="Aptos" w:hAnsi="Aptos"/>
                <w:b w:val="0"/>
                <w:color w:val="0B0D10"/>
                <w:sz w:val="13"/>
              </w:rPr>
              <w:t>Competitive / entrepreneurial; moves into sports-tech / business development</w:t>
            </w:r>
          </w:p>
        </w:tc>
        <w:tc>
          <w:tcPr>
            <w:tcW w:type="dxa" w:w="2304"/>
            <w:vAlign w:val="center"/>
            <w:shd w:fill="F1F2F0"/>
          </w:tcPr>
          <w:p>
            <w:pPr>
              <w:spacing w:after="0"/>
            </w:pPr>
            <w:r/>
            <w:r>
              <w:rPr>
                <w:rFonts w:ascii="Aptos" w:hAnsi="Aptos"/>
                <w:b w:val="0"/>
                <w:color w:val="0B0D10"/>
                <w:sz w:val="13"/>
              </w:rPr>
              <w:t>Relationship competitive but functional</w:t>
            </w:r>
          </w:p>
        </w:tc>
      </w:tr>
      <w:tr>
        <w:tc>
          <w:tcPr>
            <w:tcW w:type="dxa" w:w="3168"/>
            <w:vAlign w:val="center"/>
            <w:shd w:fill="FFFFFF"/>
          </w:tcPr>
          <w:p>
            <w:pPr>
              <w:spacing w:after="0"/>
            </w:pPr>
            <w:r/>
            <w:r>
              <w:rPr>
                <w:rFonts w:ascii="Aptos" w:hAnsi="Aptos"/>
                <w:b w:val="0"/>
                <w:color w:val="0B0D10"/>
                <w:sz w:val="13"/>
              </w:rPr>
              <w:t>Noémie Claire de Rosenfeld</w:t>
            </w:r>
          </w:p>
        </w:tc>
        <w:tc>
          <w:tcPr>
            <w:tcW w:type="dxa" w:w="1152"/>
            <w:vAlign w:val="center"/>
            <w:shd w:fill="FFFFFF"/>
          </w:tcPr>
          <w:p>
            <w:pPr>
              <w:spacing w:after="0"/>
            </w:pPr>
            <w:r/>
            <w:r>
              <w:rPr>
                <w:rFonts w:ascii="Aptos" w:hAnsi="Aptos"/>
                <w:b w:val="0"/>
                <w:color w:val="0B0D10"/>
                <w:sz w:val="13"/>
              </w:rPr>
              <w:t>Sister</w:t>
            </w:r>
          </w:p>
        </w:tc>
        <w:tc>
          <w:tcPr>
            <w:tcW w:type="dxa" w:w="4608"/>
            <w:vAlign w:val="center"/>
            <w:shd w:fill="FFFFFF"/>
          </w:tcPr>
          <w:p>
            <w:pPr>
              <w:spacing w:after="0"/>
            </w:pPr>
            <w:r/>
            <w:r>
              <w:rPr>
                <w:rFonts w:ascii="Aptos" w:hAnsi="Aptos"/>
                <w:b w:val="0"/>
                <w:color w:val="0B0D10"/>
                <w:sz w:val="13"/>
              </w:rPr>
              <w:t>Creative / design-oriented; works across media and cultural projects</w:t>
            </w:r>
          </w:p>
        </w:tc>
        <w:tc>
          <w:tcPr>
            <w:tcW w:type="dxa" w:w="2304"/>
            <w:vAlign w:val="center"/>
            <w:shd w:fill="FFFFFF"/>
          </w:tcPr>
          <w:p>
            <w:pPr>
              <w:spacing w:after="0"/>
            </w:pPr>
            <w:r/>
            <w:r>
              <w:rPr>
                <w:rFonts w:ascii="Aptos" w:hAnsi="Aptos"/>
                <w:b w:val="0"/>
                <w:color w:val="0B0D10"/>
                <w:sz w:val="13"/>
              </w:rPr>
              <w:t>Closest non-business emotional confidante</w:t>
            </w:r>
          </w:p>
        </w:tc>
      </w:tr>
    </w:tbl>
    <w:p>
      <w:pPr>
        <w:spacing w:after="40"/>
      </w:pPr>
    </w:p>
    <w:p>
      <w:pPr>
        <w:pStyle w:val="Heading1"/>
      </w:pPr>
      <w:r>
        <w:t>17. Personal relationships and network</w:t>
      </w:r>
    </w:p>
    <w:p>
      <w:pPr>
        <w:pStyle w:val="ListBullet"/>
        <w:spacing w:after="40"/>
      </w:pPr>
      <w:r>
        <w:t>Lucien keeps a tight circle of technical peers, institutional investors, industrial executives and a small number of longtime Luxembourg friends.</w:t>
      </w:r>
    </w:p>
    <w:p>
      <w:pPr>
        <w:pStyle w:val="ListBullet"/>
        <w:spacing w:after="40"/>
      </w:pPr>
      <w:r>
        <w:t>The 2027–2030 company scale forces a deliberate distinction between friendship and governance; family members do not receive automatic RAS roles.</w:t>
      </w:r>
    </w:p>
    <w:p>
      <w:pPr>
        <w:pStyle w:val="ListBullet"/>
        <w:spacing w:after="40"/>
      </w:pPr>
      <w:r>
        <w:t>The Zurich residence becomes the main location for private investor dinners and board-level social meetings away from the Luxembourg operating campus.</w:t>
      </w:r>
    </w:p>
    <w:p>
      <w:pPr>
        <w:pStyle w:val="ListBullet"/>
        <w:spacing w:after="40"/>
      </w:pPr>
      <w:r>
        <w:t>Verbier becomes a private decompression space rather than a corporate venue; business use is limited and discreet.</w:t>
      </w:r>
    </w:p>
    <w:p>
      <w:pPr>
        <w:pStyle w:val="Heading1"/>
      </w:pPr>
      <w:r>
        <w:t>18. Personal decisions 2027–2030</w:t>
      </w:r>
    </w:p>
    <w:p>
      <w:pPr>
        <w:pStyle w:val="ListBullet"/>
        <w:spacing w:after="40"/>
      </w:pPr>
      <w:r>
        <w:t>Do not buy a large Gulfstream-class cabin earlier than company travel economics justify it.</w:t>
      </w:r>
    </w:p>
    <w:p>
      <w:pPr>
        <w:pStyle w:val="ListBullet"/>
        <w:spacing w:after="40"/>
      </w:pPr>
      <w:r>
        <w:t>Keep Luxembourg tax residence despite international work.</w:t>
      </w:r>
    </w:p>
    <w:p>
      <w:pPr>
        <w:pStyle w:val="ListBullet"/>
        <w:spacing w:after="40"/>
      </w:pPr>
      <w:r>
        <w:t>Avoid speculative property accumulation; cap owned residences at three during the period.</w:t>
      </w:r>
    </w:p>
    <w:p>
      <w:pPr>
        <w:pStyle w:val="ListBullet"/>
        <w:spacing w:after="40"/>
      </w:pPr>
      <w:r>
        <w:t>Sell 400,000 RAS shares in 2030 rather than wait for an IPO to diversify concentration risk.</w:t>
      </w:r>
    </w:p>
    <w:p>
      <w:pPr>
        <w:pStyle w:val="ListBullet"/>
        <w:spacing w:after="40"/>
      </w:pPr>
      <w:r>
        <w:t>Create a private office only after recurring administrative complexity becomes a real time cost.</w:t>
      </w:r>
    </w:p>
    <w:p>
      <w:pPr>
        <w:pStyle w:val="ListBullet"/>
        <w:spacing w:after="40"/>
      </w:pPr>
      <w:r>
        <w:t>Retain family independence: gifts/support are capped and documented rather than made through opaque corporate arrangements.</w:t>
      </w:r>
    </w:p>
    <w:p>
      <w:pPr>
        <w:pStyle w:val="Heading1"/>
      </w:pPr>
      <w:r>
        <w:t>19. Personal risk register</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3456"/>
            <w:vAlign w:val="center"/>
            <w:shd w:fill="252A30"/>
          </w:tcPr>
          <w:p>
            <w:pPr>
              <w:spacing w:after="0"/>
            </w:pPr>
            <w:r/>
            <w:r>
              <w:rPr>
                <w:rFonts w:ascii="Aptos" w:hAnsi="Aptos"/>
                <w:b/>
                <w:color w:val="FFFFFF"/>
                <w:sz w:val="16"/>
              </w:rPr>
              <w:t>Risk</w:t>
            </w:r>
          </w:p>
        </w:tc>
        <w:tc>
          <w:tcPr>
            <w:tcW w:type="dxa" w:w="6624"/>
            <w:vAlign w:val="center"/>
            <w:shd w:fill="252A30"/>
          </w:tcPr>
          <w:p>
            <w:pPr>
              <w:spacing w:after="0"/>
            </w:pPr>
            <w:r/>
            <w:r>
              <w:rPr>
                <w:rFonts w:ascii="Aptos" w:hAnsi="Aptos"/>
                <w:b/>
                <w:color w:val="FFFFFF"/>
                <w:sz w:val="16"/>
              </w:rPr>
              <w:t>Endpoint control</w:t>
            </w:r>
          </w:p>
        </w:tc>
      </w:tr>
      <w:tr>
        <w:tc>
          <w:tcPr>
            <w:tcW w:type="dxa" w:w="3456"/>
            <w:vAlign w:val="center"/>
            <w:shd w:fill="FFFFFF"/>
          </w:tcPr>
          <w:p>
            <w:pPr>
              <w:spacing w:after="0"/>
            </w:pPr>
            <w:r/>
            <w:r>
              <w:rPr>
                <w:rFonts w:ascii="Aptos" w:hAnsi="Aptos"/>
                <w:b w:val="0"/>
                <w:color w:val="0B0D10"/>
                <w:sz w:val="16"/>
              </w:rPr>
              <w:t>Founder wealth concentration</w:t>
            </w:r>
          </w:p>
        </w:tc>
        <w:tc>
          <w:tcPr>
            <w:tcW w:type="dxa" w:w="6624"/>
            <w:vAlign w:val="center"/>
            <w:shd w:fill="FFFFFF"/>
          </w:tcPr>
          <w:p>
            <w:pPr>
              <w:spacing w:after="0"/>
            </w:pPr>
            <w:r/>
            <w:r>
              <w:rPr>
                <w:rFonts w:ascii="Aptos" w:hAnsi="Aptos"/>
                <w:b w:val="0"/>
                <w:color w:val="0B0D10"/>
                <w:sz w:val="16"/>
              </w:rPr>
              <w:t>€47.2M liquid excluding RAS; 400k-share secondary</w:t>
            </w:r>
          </w:p>
        </w:tc>
      </w:tr>
      <w:tr>
        <w:tc>
          <w:tcPr>
            <w:tcW w:type="dxa" w:w="3456"/>
            <w:vAlign w:val="center"/>
            <w:shd w:fill="F1F2F0"/>
          </w:tcPr>
          <w:p>
            <w:pPr>
              <w:spacing w:after="0"/>
            </w:pPr>
            <w:r/>
            <w:r>
              <w:rPr>
                <w:rFonts w:ascii="Aptos" w:hAnsi="Aptos"/>
                <w:b w:val="0"/>
                <w:color w:val="0B0D10"/>
                <w:sz w:val="16"/>
              </w:rPr>
              <w:t>Cyber / privacy</w:t>
            </w:r>
          </w:p>
        </w:tc>
        <w:tc>
          <w:tcPr>
            <w:tcW w:type="dxa" w:w="6624"/>
            <w:vAlign w:val="center"/>
            <w:shd w:fill="F1F2F0"/>
          </w:tcPr>
          <w:p>
            <w:pPr>
              <w:spacing w:after="0"/>
            </w:pPr>
            <w:r/>
            <w:r>
              <w:rPr>
                <w:rFonts w:ascii="Aptos" w:hAnsi="Aptos"/>
                <w:b w:val="0"/>
                <w:color w:val="0B0D10"/>
                <w:sz w:val="16"/>
              </w:rPr>
              <w:t>Dedicated devices, MFA, private office, professional security</w:t>
            </w:r>
          </w:p>
        </w:tc>
      </w:tr>
      <w:tr>
        <w:tc>
          <w:tcPr>
            <w:tcW w:type="dxa" w:w="3456"/>
            <w:vAlign w:val="center"/>
            <w:shd w:fill="FFFFFF"/>
          </w:tcPr>
          <w:p>
            <w:pPr>
              <w:spacing w:after="0"/>
            </w:pPr>
            <w:r/>
            <w:r>
              <w:rPr>
                <w:rFonts w:ascii="Aptos" w:hAnsi="Aptos"/>
                <w:b w:val="0"/>
                <w:color w:val="0B0D10"/>
                <w:sz w:val="16"/>
              </w:rPr>
              <w:t>Property concentration</w:t>
            </w:r>
          </w:p>
        </w:tc>
        <w:tc>
          <w:tcPr>
            <w:tcW w:type="dxa" w:w="6624"/>
            <w:vAlign w:val="center"/>
            <w:shd w:fill="FFFFFF"/>
          </w:tcPr>
          <w:p>
            <w:pPr>
              <w:spacing w:after="0"/>
            </w:pPr>
            <w:r/>
            <w:r>
              <w:rPr>
                <w:rFonts w:ascii="Aptos" w:hAnsi="Aptos"/>
                <w:b w:val="0"/>
                <w:color w:val="0B0D10"/>
                <w:sz w:val="16"/>
              </w:rPr>
              <w:t>3 properties across Luxembourg/Switzerland; no fourth primary until 2031 review</w:t>
            </w:r>
          </w:p>
        </w:tc>
      </w:tr>
      <w:tr>
        <w:tc>
          <w:tcPr>
            <w:tcW w:type="dxa" w:w="3456"/>
            <w:vAlign w:val="center"/>
            <w:shd w:fill="F1F2F0"/>
          </w:tcPr>
          <w:p>
            <w:pPr>
              <w:spacing w:after="0"/>
            </w:pPr>
            <w:r/>
            <w:r>
              <w:rPr>
                <w:rFonts w:ascii="Aptos" w:hAnsi="Aptos"/>
                <w:b w:val="0"/>
                <w:color w:val="0B0D10"/>
                <w:sz w:val="16"/>
              </w:rPr>
              <w:t>Aircraft liability</w:t>
            </w:r>
          </w:p>
        </w:tc>
        <w:tc>
          <w:tcPr>
            <w:tcW w:type="dxa" w:w="6624"/>
            <w:vAlign w:val="center"/>
            <w:shd w:fill="F1F2F0"/>
          </w:tcPr>
          <w:p>
            <w:pPr>
              <w:spacing w:after="0"/>
            </w:pPr>
            <w:r/>
            <w:r>
              <w:rPr>
                <w:rFonts w:ascii="Aptos" w:hAnsi="Aptos"/>
                <w:b w:val="0"/>
                <w:color w:val="0B0D10"/>
                <w:sz w:val="16"/>
              </w:rPr>
              <w:t>Separate ownership SPV + management company + insurance</w:t>
            </w:r>
          </w:p>
        </w:tc>
      </w:tr>
      <w:tr>
        <w:tc>
          <w:tcPr>
            <w:tcW w:type="dxa" w:w="3456"/>
            <w:vAlign w:val="center"/>
            <w:shd w:fill="FFFFFF"/>
          </w:tcPr>
          <w:p>
            <w:pPr>
              <w:spacing w:after="0"/>
            </w:pPr>
            <w:r/>
            <w:r>
              <w:rPr>
                <w:rFonts w:ascii="Aptos" w:hAnsi="Aptos"/>
                <w:b w:val="0"/>
                <w:color w:val="0B0D10"/>
                <w:sz w:val="16"/>
              </w:rPr>
              <w:t>Reputation</w:t>
            </w:r>
          </w:p>
        </w:tc>
        <w:tc>
          <w:tcPr>
            <w:tcW w:type="dxa" w:w="6624"/>
            <w:vAlign w:val="center"/>
            <w:shd w:fill="FFFFFF"/>
          </w:tcPr>
          <w:p>
            <w:pPr>
              <w:spacing w:after="0"/>
            </w:pPr>
            <w:r/>
            <w:r>
              <w:rPr>
                <w:rFonts w:ascii="Aptos" w:hAnsi="Aptos"/>
                <w:b w:val="0"/>
                <w:color w:val="0B0D10"/>
                <w:sz w:val="16"/>
              </w:rPr>
              <w:t>Low-profile luxury; no public lifestyle marketing</w:t>
            </w:r>
          </w:p>
        </w:tc>
      </w:tr>
      <w:tr>
        <w:tc>
          <w:tcPr>
            <w:tcW w:type="dxa" w:w="3456"/>
            <w:vAlign w:val="center"/>
            <w:shd w:fill="F1F2F0"/>
          </w:tcPr>
          <w:p>
            <w:pPr>
              <w:spacing w:after="0"/>
            </w:pPr>
            <w:r/>
            <w:r>
              <w:rPr>
                <w:rFonts w:ascii="Aptos" w:hAnsi="Aptos"/>
                <w:b w:val="0"/>
                <w:color w:val="0B0D10"/>
                <w:sz w:val="16"/>
              </w:rPr>
              <w:t>Family dependency</w:t>
            </w:r>
          </w:p>
        </w:tc>
        <w:tc>
          <w:tcPr>
            <w:tcW w:type="dxa" w:w="6624"/>
            <w:vAlign w:val="center"/>
            <w:shd w:fill="F1F2F0"/>
          </w:tcPr>
          <w:p>
            <w:pPr>
              <w:spacing w:after="0"/>
            </w:pPr>
            <w:r/>
            <w:r>
              <w:rPr>
                <w:rFonts w:ascii="Aptos" w:hAnsi="Aptos"/>
                <w:b w:val="0"/>
                <w:color w:val="0B0D10"/>
                <w:sz w:val="16"/>
              </w:rPr>
              <w:t>No direct corporate dependency / documented support</w:t>
            </w:r>
          </w:p>
        </w:tc>
      </w:tr>
    </w:tbl>
    <w:p>
      <w:pPr>
        <w:spacing w:after="40"/>
      </w:pPr>
    </w:p>
    <w:p>
      <w:pPr>
        <w:pStyle w:val="Heading1"/>
      </w:pPr>
      <w:r>
        <w:t>20. Wealth reconciliation</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6624"/>
            <w:vAlign w:val="center"/>
            <w:shd w:fill="252A30"/>
          </w:tcPr>
          <w:p>
            <w:pPr>
              <w:spacing w:after="0"/>
            </w:pPr>
            <w:r/>
            <w:r>
              <w:rPr>
                <w:rFonts w:ascii="Aptos" w:hAnsi="Aptos"/>
                <w:b/>
                <w:color w:val="FFFFFF"/>
                <w:sz w:val="16"/>
              </w:rPr>
              <w:t>Metric</w:t>
            </w:r>
          </w:p>
        </w:tc>
        <w:tc>
          <w:tcPr>
            <w:tcW w:type="dxa" w:w="2880"/>
            <w:vAlign w:val="center"/>
            <w:shd w:fill="252A30"/>
          </w:tcPr>
          <w:p>
            <w:pPr>
              <w:spacing w:after="0"/>
            </w:pPr>
            <w:r/>
            <w:r>
              <w:rPr>
                <w:rFonts w:ascii="Aptos" w:hAnsi="Aptos"/>
                <w:b/>
                <w:color w:val="FFFFFF"/>
                <w:sz w:val="16"/>
              </w:rPr>
              <w:t>Amount</w:t>
            </w:r>
          </w:p>
        </w:tc>
      </w:tr>
      <w:tr>
        <w:tc>
          <w:tcPr>
            <w:tcW w:type="dxa" w:w="6624"/>
            <w:vAlign w:val="center"/>
            <w:shd w:fill="FFFFFF"/>
          </w:tcPr>
          <w:p>
            <w:pPr>
              <w:spacing w:after="0"/>
            </w:pPr>
            <w:r/>
            <w:r>
              <w:rPr>
                <w:rFonts w:ascii="Aptos" w:hAnsi="Aptos"/>
                <w:b w:val="0"/>
                <w:color w:val="0B0D10"/>
                <w:sz w:val="16"/>
              </w:rPr>
              <w:t>Gross assets</w:t>
            </w:r>
          </w:p>
        </w:tc>
        <w:tc>
          <w:tcPr>
            <w:tcW w:type="dxa" w:w="2880"/>
            <w:vAlign w:val="center"/>
            <w:shd w:fill="FFFFFF"/>
          </w:tcPr>
          <w:p>
            <w:pPr>
              <w:spacing w:after="0"/>
            </w:pPr>
            <w:r/>
            <w:r>
              <w:rPr>
                <w:rFonts w:ascii="Aptos" w:hAnsi="Aptos"/>
                <w:b w:val="0"/>
                <w:color w:val="0B0D10"/>
                <w:sz w:val="16"/>
              </w:rPr>
              <w:t>€413.574M</w:t>
            </w:r>
          </w:p>
        </w:tc>
      </w:tr>
      <w:tr>
        <w:tc>
          <w:tcPr>
            <w:tcW w:type="dxa" w:w="6624"/>
            <w:vAlign w:val="center"/>
            <w:shd w:fill="F1F2F0"/>
          </w:tcPr>
          <w:p>
            <w:pPr>
              <w:spacing w:after="0"/>
            </w:pPr>
            <w:r/>
            <w:r>
              <w:rPr>
                <w:rFonts w:ascii="Aptos" w:hAnsi="Aptos"/>
                <w:b w:val="0"/>
                <w:color w:val="0B0D10"/>
                <w:sz w:val="16"/>
              </w:rPr>
              <w:t>Property debt</w:t>
            </w:r>
          </w:p>
        </w:tc>
        <w:tc>
          <w:tcPr>
            <w:tcW w:type="dxa" w:w="2880"/>
            <w:vAlign w:val="center"/>
            <w:shd w:fill="F1F2F0"/>
          </w:tcPr>
          <w:p>
            <w:pPr>
              <w:spacing w:after="0"/>
            </w:pPr>
            <w:r/>
            <w:r>
              <w:rPr>
                <w:rFonts w:ascii="Aptos" w:hAnsi="Aptos"/>
                <w:b w:val="0"/>
                <w:color w:val="0B0D10"/>
                <w:sz w:val="16"/>
              </w:rPr>
              <w:t>−€6.600M</w:t>
            </w:r>
          </w:p>
        </w:tc>
      </w:tr>
      <w:tr>
        <w:tc>
          <w:tcPr>
            <w:tcW w:type="dxa" w:w="6624"/>
            <w:vAlign w:val="center"/>
            <w:shd w:fill="FFFFFF"/>
          </w:tcPr>
          <w:p>
            <w:pPr>
              <w:spacing w:after="0"/>
            </w:pPr>
            <w:r/>
            <w:r>
              <w:rPr>
                <w:rFonts w:ascii="Aptos" w:hAnsi="Aptos"/>
                <w:b w:val="0"/>
                <w:color w:val="0B0D10"/>
                <w:sz w:val="16"/>
              </w:rPr>
              <w:t>Aircraft debt</w:t>
            </w:r>
          </w:p>
        </w:tc>
        <w:tc>
          <w:tcPr>
            <w:tcW w:type="dxa" w:w="2880"/>
            <w:vAlign w:val="center"/>
            <w:shd w:fill="FFFFFF"/>
          </w:tcPr>
          <w:p>
            <w:pPr>
              <w:spacing w:after="0"/>
            </w:pPr>
            <w:r/>
            <w:r>
              <w:rPr>
                <w:rFonts w:ascii="Aptos" w:hAnsi="Aptos"/>
                <w:b w:val="0"/>
                <w:color w:val="0B0D10"/>
                <w:sz w:val="16"/>
              </w:rPr>
              <w:t>−€7.400M</w:t>
            </w:r>
          </w:p>
        </w:tc>
      </w:tr>
      <w:tr>
        <w:tc>
          <w:tcPr>
            <w:tcW w:type="dxa" w:w="6624"/>
            <w:vAlign w:val="center"/>
            <w:shd w:fill="F1F2F0"/>
          </w:tcPr>
          <w:p>
            <w:pPr>
              <w:spacing w:after="0"/>
            </w:pPr>
            <w:r/>
            <w:r>
              <w:rPr>
                <w:rFonts w:ascii="Aptos" w:hAnsi="Aptos"/>
                <w:b w:val="0"/>
                <w:color w:val="0B0D10"/>
                <w:sz w:val="16"/>
              </w:rPr>
              <w:t>Other liabilities</w:t>
            </w:r>
          </w:p>
        </w:tc>
        <w:tc>
          <w:tcPr>
            <w:tcW w:type="dxa" w:w="2880"/>
            <w:vAlign w:val="center"/>
            <w:shd w:fill="F1F2F0"/>
          </w:tcPr>
          <w:p>
            <w:pPr>
              <w:spacing w:after="0"/>
            </w:pPr>
            <w:r/>
            <w:r>
              <w:rPr>
                <w:rFonts w:ascii="Aptos" w:hAnsi="Aptos"/>
                <w:b w:val="0"/>
                <w:color w:val="0B0D10"/>
                <w:sz w:val="16"/>
              </w:rPr>
              <w:t>−€0.350M</w:t>
            </w:r>
          </w:p>
        </w:tc>
      </w:tr>
      <w:tr>
        <w:tc>
          <w:tcPr>
            <w:tcW w:type="dxa" w:w="6624"/>
            <w:vAlign w:val="center"/>
            <w:shd w:fill="FFFFFF"/>
          </w:tcPr>
          <w:p>
            <w:pPr>
              <w:spacing w:after="0"/>
            </w:pPr>
            <w:r/>
            <w:r>
              <w:rPr>
                <w:rFonts w:ascii="Aptos" w:hAnsi="Aptos"/>
                <w:b w:val="0"/>
                <w:color w:val="0B0D10"/>
                <w:sz w:val="16"/>
              </w:rPr>
              <w:t>Net worth</w:t>
            </w:r>
          </w:p>
        </w:tc>
        <w:tc>
          <w:tcPr>
            <w:tcW w:type="dxa" w:w="2880"/>
            <w:vAlign w:val="center"/>
            <w:shd w:fill="FFFFFF"/>
          </w:tcPr>
          <w:p>
            <w:pPr>
              <w:spacing w:after="0"/>
            </w:pPr>
            <w:r/>
            <w:r>
              <w:rPr>
                <w:rFonts w:ascii="Aptos" w:hAnsi="Aptos"/>
                <w:b w:val="0"/>
                <w:color w:val="0B0D10"/>
                <w:sz w:val="16"/>
              </w:rPr>
              <w:t>€399.224M</w:t>
            </w:r>
          </w:p>
        </w:tc>
      </w:tr>
      <w:tr>
        <w:tc>
          <w:tcPr>
            <w:tcW w:type="dxa" w:w="6624"/>
            <w:vAlign w:val="center"/>
            <w:shd w:fill="F1F2F0"/>
          </w:tcPr>
          <w:p>
            <w:pPr>
              <w:spacing w:after="0"/>
            </w:pPr>
            <w:r/>
            <w:r>
              <w:rPr>
                <w:rFonts w:ascii="Aptos" w:hAnsi="Aptos"/>
                <w:b w:val="0"/>
                <w:color w:val="0B0D10"/>
                <w:sz w:val="16"/>
              </w:rPr>
              <w:t>Gross RAS stake at €82</w:t>
            </w:r>
          </w:p>
        </w:tc>
        <w:tc>
          <w:tcPr>
            <w:tcW w:type="dxa" w:w="2880"/>
            <w:vAlign w:val="center"/>
            <w:shd w:fill="F1F2F0"/>
          </w:tcPr>
          <w:p>
            <w:pPr>
              <w:spacing w:after="0"/>
            </w:pPr>
            <w:r/>
            <w:r>
              <w:rPr>
                <w:rFonts w:ascii="Aptos" w:hAnsi="Aptos"/>
                <w:b w:val="0"/>
                <w:color w:val="0B0D10"/>
                <w:sz w:val="16"/>
              </w:rPr>
              <w:t>€366.704M</w:t>
            </w:r>
          </w:p>
        </w:tc>
      </w:tr>
      <w:tr>
        <w:tc>
          <w:tcPr>
            <w:tcW w:type="dxa" w:w="6624"/>
            <w:vAlign w:val="center"/>
            <w:shd w:fill="FFFFFF"/>
          </w:tcPr>
          <w:p>
            <w:pPr>
              <w:spacing w:after="0"/>
            </w:pPr>
            <w:r/>
            <w:r>
              <w:rPr>
                <w:rFonts w:ascii="Aptos" w:hAnsi="Aptos"/>
                <w:b w:val="0"/>
                <w:color w:val="0B0D10"/>
                <w:sz w:val="16"/>
              </w:rPr>
              <w:t>Personal RAS mark</w:t>
            </w:r>
          </w:p>
        </w:tc>
        <w:tc>
          <w:tcPr>
            <w:tcW w:type="dxa" w:w="2880"/>
            <w:vAlign w:val="center"/>
            <w:shd w:fill="FFFFFF"/>
          </w:tcPr>
          <w:p>
            <w:pPr>
              <w:spacing w:after="0"/>
            </w:pPr>
            <w:r/>
            <w:r>
              <w:rPr>
                <w:rFonts w:ascii="Aptos" w:hAnsi="Aptos"/>
                <w:b w:val="0"/>
                <w:color w:val="0B0D10"/>
                <w:sz w:val="16"/>
              </w:rPr>
              <w:t>€333.904M</w:t>
            </w:r>
          </w:p>
        </w:tc>
      </w:tr>
    </w:tbl>
    <w:p>
      <w:pPr>
        <w:spacing w:after="40"/>
      </w:pPr>
    </w:p>
    <w:p>
      <w:pPr>
        <w:pStyle w:val="Heading1"/>
      </w:pPr>
      <w:r>
        <w:t>21. Evidence register</w:t>
      </w:r>
    </w:p>
    <w:tbl>
      <w:tblPr>
        <w:tblStyle w:val="TableGrid"/>
        <w:tblW w:type="auto" w:w="0"/>
        <w:jc w:val="center"/>
        <w:tblLook w:firstColumn="1" w:firstRow="1" w:lastColumn="0" w:lastRow="0" w:noHBand="0" w:noVBand="1" w:val="04A0"/>
      </w:tblPr>
      <w:tblGrid>
        <w:gridCol w:w="3408"/>
        <w:gridCol w:w="3408"/>
        <w:gridCol w:w="3408"/>
      </w:tblGrid>
      <w:tr>
        <w:trPr>
          <w:tblHeader w:val="true"/>
          <w:tblHeader w:val="true"/>
          <w:tblHeader w:val="true"/>
        </w:trPr>
        <w:tc>
          <w:tcPr>
            <w:tcW w:type="dxa" w:w="2880"/>
            <w:vAlign w:val="center"/>
            <w:shd w:fill="252A30"/>
          </w:tcPr>
          <w:p>
            <w:pPr>
              <w:spacing w:after="0"/>
            </w:pPr>
            <w:r/>
            <w:r>
              <w:rPr>
                <w:rFonts w:ascii="Aptos" w:hAnsi="Aptos"/>
                <w:b/>
                <w:color w:val="FFFFFF"/>
                <w:sz w:val="14"/>
              </w:rPr>
              <w:t>Source</w:t>
            </w:r>
          </w:p>
        </w:tc>
        <w:tc>
          <w:tcPr>
            <w:tcW w:type="dxa" w:w="6912"/>
            <w:vAlign w:val="center"/>
            <w:shd w:fill="252A30"/>
          </w:tcPr>
          <w:p>
            <w:pPr>
              <w:spacing w:after="0"/>
            </w:pPr>
            <w:r/>
            <w:r>
              <w:rPr>
                <w:rFonts w:ascii="Aptos" w:hAnsi="Aptos"/>
                <w:b/>
                <w:color w:val="FFFFFF"/>
                <w:sz w:val="14"/>
              </w:rPr>
              <w:t>URL</w:t>
            </w:r>
          </w:p>
        </w:tc>
        <w:tc>
          <w:tcPr>
            <w:tcW w:type="dxa" w:w="1296"/>
            <w:vAlign w:val="center"/>
            <w:shd w:fill="252A30"/>
          </w:tcPr>
          <w:p>
            <w:pPr>
              <w:spacing w:after="0"/>
            </w:pPr>
            <w:r/>
            <w:r>
              <w:rPr>
                <w:rFonts w:ascii="Aptos" w:hAnsi="Aptos"/>
                <w:b/>
                <w:color w:val="FFFFFF"/>
                <w:sz w:val="14"/>
              </w:rPr>
              <w:t>Use</w:t>
            </w:r>
          </w:p>
        </w:tc>
      </w:tr>
      <w:tr>
        <w:tc>
          <w:tcPr>
            <w:tcW w:type="dxa" w:w="2880"/>
            <w:vAlign w:val="center"/>
            <w:shd w:fill="FFFFFF"/>
          </w:tcPr>
          <w:p>
            <w:pPr>
              <w:spacing w:after="0"/>
            </w:pPr>
            <w:r/>
            <w:r>
              <w:rPr>
                <w:rFonts w:ascii="Aptos" w:hAnsi="Aptos"/>
                <w:b w:val="0"/>
                <w:color w:val="0B0D10"/>
                <w:sz w:val="14"/>
              </w:rPr>
              <w:t>19 Rue Henri VII, Luxembourg listing</w:t>
            </w:r>
          </w:p>
        </w:tc>
        <w:tc>
          <w:tcPr>
            <w:tcW w:type="dxa" w:w="6912"/>
            <w:vAlign w:val="center"/>
            <w:shd w:fill="FFFFFF"/>
          </w:tcPr>
          <w:p>
            <w:pPr>
              <w:spacing w:after="0"/>
            </w:pPr>
            <w:r/>
            <w:r>
              <w:rPr>
                <w:rFonts w:ascii="Aptos" w:hAnsi="Aptos"/>
                <w:b w:val="0"/>
                <w:color w:val="0B0D10"/>
                <w:sz w:val="14"/>
              </w:rPr>
              <w:t>https://www.athome.lu/location/appartement/luxembourg/id-9184551.html</w:t>
            </w:r>
          </w:p>
        </w:tc>
        <w:tc>
          <w:tcPr>
            <w:tcW w:type="dxa" w:w="1296"/>
            <w:vAlign w:val="center"/>
            <w:shd w:fill="FFFFFF"/>
          </w:tcPr>
          <w:p>
            <w:pPr>
              <w:spacing w:after="0"/>
            </w:pPr>
            <w:r/>
            <w:r>
              <w:rPr>
                <w:rFonts w:ascii="Aptos" w:hAnsi="Aptos"/>
                <w:b w:val="0"/>
                <w:color w:val="0B0D10"/>
                <w:sz w:val="14"/>
              </w:rPr>
              <w:t>[REAL/ANCHOR]</w:t>
            </w:r>
          </w:p>
        </w:tc>
      </w:tr>
      <w:tr>
        <w:tc>
          <w:tcPr>
            <w:tcW w:type="dxa" w:w="2880"/>
            <w:vAlign w:val="center"/>
            <w:shd w:fill="F1F2F0"/>
          </w:tcPr>
          <w:p>
            <w:pPr>
              <w:spacing w:after="0"/>
            </w:pPr>
            <w:r/>
            <w:r>
              <w:rPr>
                <w:rFonts w:ascii="Aptos" w:hAnsi="Aptos"/>
                <w:b w:val="0"/>
                <w:color w:val="0B0D10"/>
                <w:sz w:val="14"/>
              </w:rPr>
              <w:t>3 Rue de l’Étang, Contern address anchor</w:t>
            </w:r>
          </w:p>
        </w:tc>
        <w:tc>
          <w:tcPr>
            <w:tcW w:type="dxa" w:w="6912"/>
            <w:vAlign w:val="center"/>
            <w:shd w:fill="F1F2F0"/>
          </w:tcPr>
          <w:p>
            <w:pPr>
              <w:spacing w:after="0"/>
            </w:pPr>
            <w:r/>
            <w:r>
              <w:rPr>
                <w:rFonts w:ascii="Aptos" w:hAnsi="Aptos"/>
                <w:b w:val="0"/>
                <w:color w:val="0B0D10"/>
                <w:sz w:val="14"/>
              </w:rPr>
              <w:t>https://www.waze.com/live-map/directions/luxembourg/luxembourg-district/contern/3-rue-de-letang</w:t>
            </w:r>
          </w:p>
        </w:tc>
        <w:tc>
          <w:tcPr>
            <w:tcW w:type="dxa" w:w="1296"/>
            <w:vAlign w:val="center"/>
            <w:shd w:fill="F1F2F0"/>
          </w:tcPr>
          <w:p>
            <w:pPr>
              <w:spacing w:after="0"/>
            </w:pPr>
            <w:r/>
            <w:r>
              <w:rPr>
                <w:rFonts w:ascii="Aptos" w:hAnsi="Aptos"/>
                <w:b w:val="0"/>
                <w:color w:val="0B0D10"/>
                <w:sz w:val="14"/>
              </w:rPr>
              <w:t>[REAL/ANCHOR]</w:t>
            </w:r>
          </w:p>
        </w:tc>
      </w:tr>
      <w:tr>
        <w:tc>
          <w:tcPr>
            <w:tcW w:type="dxa" w:w="2880"/>
            <w:vAlign w:val="center"/>
            <w:shd w:fill="FFFFFF"/>
          </w:tcPr>
          <w:p>
            <w:pPr>
              <w:spacing w:after="0"/>
            </w:pPr>
            <w:r/>
            <w:r>
              <w:rPr>
                <w:rFonts w:ascii="Aptos" w:hAnsi="Aptos"/>
                <w:b w:val="0"/>
                <w:color w:val="0B0D10"/>
                <w:sz w:val="14"/>
              </w:rPr>
              <w:t>19 Rue Edmond Reuter warehouse listing</w:t>
            </w:r>
          </w:p>
        </w:tc>
        <w:tc>
          <w:tcPr>
            <w:tcW w:type="dxa" w:w="6912"/>
            <w:vAlign w:val="center"/>
            <w:shd w:fill="FFFFFF"/>
          </w:tcPr>
          <w:p>
            <w:pPr>
              <w:spacing w:after="0"/>
            </w:pPr>
            <w:r/>
            <w:r>
              <w:rPr>
                <w:rFonts w:ascii="Aptos" w:hAnsi="Aptos"/>
                <w:b w:val="0"/>
                <w:color w:val="0B0D10"/>
                <w:sz w:val="14"/>
              </w:rPr>
              <w:t>https://www.depotinfo.lu/entreprises/agences/real-corp</w:t>
            </w:r>
          </w:p>
        </w:tc>
        <w:tc>
          <w:tcPr>
            <w:tcW w:type="dxa" w:w="1296"/>
            <w:vAlign w:val="center"/>
            <w:shd w:fill="FFFFFF"/>
          </w:tcPr>
          <w:p>
            <w:pPr>
              <w:spacing w:after="0"/>
            </w:pPr>
            <w:r/>
            <w:r>
              <w:rPr>
                <w:rFonts w:ascii="Aptos" w:hAnsi="Aptos"/>
                <w:b w:val="0"/>
                <w:color w:val="0B0D10"/>
                <w:sz w:val="14"/>
              </w:rPr>
              <w:t>[REAL address / current listing]</w:t>
            </w:r>
          </w:p>
        </w:tc>
      </w:tr>
      <w:tr>
        <w:tc>
          <w:tcPr>
            <w:tcW w:type="dxa" w:w="2880"/>
            <w:vAlign w:val="center"/>
            <w:shd w:fill="F1F2F0"/>
          </w:tcPr>
          <w:p>
            <w:pPr>
              <w:spacing w:after="0"/>
            </w:pPr>
            <w:r/>
            <w:r>
              <w:rPr>
                <w:rFonts w:ascii="Aptos" w:hAnsi="Aptos"/>
                <w:b w:val="0"/>
                <w:color w:val="0B0D10"/>
                <w:sz w:val="14"/>
              </w:rPr>
              <w:t>120 Z.A.E. Wolser F address</w:t>
            </w:r>
          </w:p>
        </w:tc>
        <w:tc>
          <w:tcPr>
            <w:tcW w:type="dxa" w:w="6912"/>
            <w:vAlign w:val="center"/>
            <w:shd w:fill="F1F2F0"/>
          </w:tcPr>
          <w:p>
            <w:pPr>
              <w:spacing w:after="0"/>
            </w:pPr>
            <w:r/>
            <w:r>
              <w:rPr>
                <w:rFonts w:ascii="Aptos" w:hAnsi="Aptos"/>
                <w:b w:val="0"/>
                <w:color w:val="0B0D10"/>
                <w:sz w:val="14"/>
              </w:rPr>
              <w:t>https://map.geoportail.lu/addresses/Bettembourg/Z.A.E.%20WOLSER%20F/120/?lang=fr</w:t>
            </w:r>
          </w:p>
        </w:tc>
        <w:tc>
          <w:tcPr>
            <w:tcW w:type="dxa" w:w="1296"/>
            <w:vAlign w:val="center"/>
            <w:shd w:fill="F1F2F0"/>
          </w:tcPr>
          <w:p>
            <w:pPr>
              <w:spacing w:after="0"/>
            </w:pPr>
            <w:r/>
            <w:r>
              <w:rPr>
                <w:rFonts w:ascii="Aptos" w:hAnsi="Aptos"/>
                <w:b w:val="0"/>
                <w:color w:val="0B0D10"/>
                <w:sz w:val="14"/>
              </w:rPr>
              <w:t>[REAL/ANCHOR]</w:t>
            </w:r>
          </w:p>
        </w:tc>
      </w:tr>
      <w:tr>
        <w:tc>
          <w:tcPr>
            <w:tcW w:type="dxa" w:w="2880"/>
            <w:vAlign w:val="center"/>
            <w:shd w:fill="FFFFFF"/>
          </w:tcPr>
          <w:p>
            <w:pPr>
              <w:spacing w:after="0"/>
            </w:pPr>
            <w:r/>
            <w:r>
              <w:rPr>
                <w:rFonts w:ascii="Aptos" w:hAnsi="Aptos"/>
                <w:b w:val="0"/>
                <w:color w:val="0B0D10"/>
                <w:sz w:val="14"/>
              </w:rPr>
              <w:t>LuxConnect DC1.1</w:t>
            </w:r>
          </w:p>
        </w:tc>
        <w:tc>
          <w:tcPr>
            <w:tcW w:type="dxa" w:w="6912"/>
            <w:vAlign w:val="center"/>
            <w:shd w:fill="FFFFFF"/>
          </w:tcPr>
          <w:p>
            <w:pPr>
              <w:spacing w:after="0"/>
            </w:pPr>
            <w:r/>
            <w:r>
              <w:rPr>
                <w:rFonts w:ascii="Aptos" w:hAnsi="Aptos"/>
                <w:b w:val="0"/>
                <w:color w:val="0B0D10"/>
                <w:sz w:val="14"/>
              </w:rPr>
              <w:t>https://www.luxconnect.lu/data-center/dc-11</w:t>
            </w:r>
          </w:p>
        </w:tc>
        <w:tc>
          <w:tcPr>
            <w:tcW w:type="dxa" w:w="1296"/>
            <w:vAlign w:val="center"/>
            <w:shd w:fill="FFFFFF"/>
          </w:tcPr>
          <w:p>
            <w:pPr>
              <w:spacing w:after="0"/>
            </w:pPr>
            <w:r/>
            <w:r>
              <w:rPr>
                <w:rFonts w:ascii="Aptos" w:hAnsi="Aptos"/>
                <w:b w:val="0"/>
                <w:color w:val="0B0D10"/>
                <w:sz w:val="14"/>
              </w:rPr>
              <w:t>[REAL/ANCHOR]</w:t>
            </w:r>
          </w:p>
        </w:tc>
      </w:tr>
      <w:tr>
        <w:tc>
          <w:tcPr>
            <w:tcW w:type="dxa" w:w="2880"/>
            <w:vAlign w:val="center"/>
            <w:shd w:fill="F1F2F0"/>
          </w:tcPr>
          <w:p>
            <w:pPr>
              <w:spacing w:after="0"/>
            </w:pPr>
            <w:r/>
            <w:r>
              <w:rPr>
                <w:rFonts w:ascii="Aptos" w:hAnsi="Aptos"/>
                <w:b w:val="0"/>
                <w:color w:val="0B0D10"/>
                <w:sz w:val="14"/>
              </w:rPr>
              <w:t>Munich LOVT Munich</w:t>
            </w:r>
          </w:p>
        </w:tc>
        <w:tc>
          <w:tcPr>
            <w:tcW w:type="dxa" w:w="6912"/>
            <w:vAlign w:val="center"/>
            <w:shd w:fill="F1F2F0"/>
          </w:tcPr>
          <w:p>
            <w:pPr>
              <w:spacing w:after="0"/>
            </w:pPr>
            <w:r/>
            <w:r>
              <w:rPr>
                <w:rFonts w:ascii="Aptos" w:hAnsi="Aptos"/>
                <w:b w:val="0"/>
                <w:color w:val="0B0D10"/>
                <w:sz w:val="14"/>
              </w:rPr>
              <w:t>https://stadt.muenchen.de/lhm-ms-wirtschaftsfoerderung/standort-muenchen/gewerbeflaechen-immobilien/gewerbeflaechen-angebote/buero-gewerbestandorte-LOVT.html</w:t>
            </w:r>
          </w:p>
        </w:tc>
        <w:tc>
          <w:tcPr>
            <w:tcW w:type="dxa" w:w="1296"/>
            <w:vAlign w:val="center"/>
            <w:shd w:fill="F1F2F0"/>
          </w:tcPr>
          <w:p>
            <w:pPr>
              <w:spacing w:after="0"/>
            </w:pPr>
            <w:r/>
            <w:r>
              <w:rPr>
                <w:rFonts w:ascii="Aptos" w:hAnsi="Aptos"/>
                <w:b w:val="0"/>
                <w:color w:val="0B0D10"/>
                <w:sz w:val="14"/>
              </w:rPr>
              <w:t>[REAL/ANCHOR]</w:t>
            </w:r>
          </w:p>
        </w:tc>
      </w:tr>
      <w:tr>
        <w:tc>
          <w:tcPr>
            <w:tcW w:type="dxa" w:w="2880"/>
            <w:vAlign w:val="center"/>
            <w:shd w:fill="FFFFFF"/>
          </w:tcPr>
          <w:p>
            <w:pPr>
              <w:spacing w:after="0"/>
            </w:pPr>
            <w:r/>
            <w:r>
              <w:rPr>
                <w:rFonts w:ascii="Aptos" w:hAnsi="Aptos"/>
                <w:b w:val="0"/>
                <w:color w:val="0B0D10"/>
                <w:sz w:val="14"/>
              </w:rPr>
              <w:t>Brainport Industries Campus address</w:t>
            </w:r>
          </w:p>
        </w:tc>
        <w:tc>
          <w:tcPr>
            <w:tcW w:type="dxa" w:w="6912"/>
            <w:vAlign w:val="center"/>
            <w:shd w:fill="FFFFFF"/>
          </w:tcPr>
          <w:p>
            <w:pPr>
              <w:spacing w:after="0"/>
            </w:pPr>
            <w:r/>
            <w:r>
              <w:rPr>
                <w:rFonts w:ascii="Aptos" w:hAnsi="Aptos"/>
                <w:b w:val="0"/>
                <w:color w:val="0B0D10"/>
                <w:sz w:val="14"/>
              </w:rPr>
              <w:t>https://www.brainportindustriescampus.com/contact/</w:t>
            </w:r>
          </w:p>
        </w:tc>
        <w:tc>
          <w:tcPr>
            <w:tcW w:type="dxa" w:w="1296"/>
            <w:vAlign w:val="center"/>
            <w:shd w:fill="FFFFFF"/>
          </w:tcPr>
          <w:p>
            <w:pPr>
              <w:spacing w:after="0"/>
            </w:pPr>
            <w:r/>
            <w:r>
              <w:rPr>
                <w:rFonts w:ascii="Aptos" w:hAnsi="Aptos"/>
                <w:b w:val="0"/>
                <w:color w:val="0B0D10"/>
                <w:sz w:val="14"/>
              </w:rPr>
              <w:t>[REAL/ANCHOR]</w:t>
            </w:r>
          </w:p>
        </w:tc>
      </w:tr>
      <w:tr>
        <w:tc>
          <w:tcPr>
            <w:tcW w:type="dxa" w:w="2880"/>
            <w:vAlign w:val="center"/>
            <w:shd w:fill="F1F2F0"/>
          </w:tcPr>
          <w:p>
            <w:pPr>
              <w:spacing w:after="0"/>
            </w:pPr>
            <w:r/>
            <w:r>
              <w:rPr>
                <w:rFonts w:ascii="Aptos" w:hAnsi="Aptos"/>
                <w:b w:val="0"/>
                <w:color w:val="0B0D10"/>
                <w:sz w:val="14"/>
              </w:rPr>
              <w:t>Mill 19 Pittsburgh</w:t>
            </w:r>
          </w:p>
        </w:tc>
        <w:tc>
          <w:tcPr>
            <w:tcW w:type="dxa" w:w="6912"/>
            <w:vAlign w:val="center"/>
            <w:shd w:fill="F1F2F0"/>
          </w:tcPr>
          <w:p>
            <w:pPr>
              <w:spacing w:after="0"/>
            </w:pPr>
            <w:r/>
            <w:r>
              <w:rPr>
                <w:rFonts w:ascii="Aptos" w:hAnsi="Aptos"/>
                <w:b w:val="0"/>
                <w:color w:val="0B0D10"/>
                <w:sz w:val="14"/>
              </w:rPr>
              <w:t>https://engineering.cmu.edu/mfi/mill19/visit-us.html</w:t>
            </w:r>
          </w:p>
        </w:tc>
        <w:tc>
          <w:tcPr>
            <w:tcW w:type="dxa" w:w="1296"/>
            <w:vAlign w:val="center"/>
            <w:shd w:fill="F1F2F0"/>
          </w:tcPr>
          <w:p>
            <w:pPr>
              <w:spacing w:after="0"/>
            </w:pPr>
            <w:r/>
            <w:r>
              <w:rPr>
                <w:rFonts w:ascii="Aptos" w:hAnsi="Aptos"/>
                <w:b w:val="0"/>
                <w:color w:val="0B0D10"/>
                <w:sz w:val="14"/>
              </w:rPr>
              <w:t>[REAL/ANCHOR]</w:t>
            </w:r>
          </w:p>
        </w:tc>
      </w:tr>
      <w:tr>
        <w:tc>
          <w:tcPr>
            <w:tcW w:type="dxa" w:w="2880"/>
            <w:vAlign w:val="center"/>
            <w:shd w:fill="FFFFFF"/>
          </w:tcPr>
          <w:p>
            <w:pPr>
              <w:spacing w:after="0"/>
            </w:pPr>
            <w:r/>
            <w:r>
              <w:rPr>
                <w:rFonts w:ascii="Aptos" w:hAnsi="Aptos"/>
                <w:b w:val="0"/>
                <w:color w:val="0B0D10"/>
                <w:sz w:val="14"/>
              </w:rPr>
              <w:t>Michigan Central Detroit</w:t>
            </w:r>
          </w:p>
        </w:tc>
        <w:tc>
          <w:tcPr>
            <w:tcW w:type="dxa" w:w="6912"/>
            <w:vAlign w:val="center"/>
            <w:shd w:fill="FFFFFF"/>
          </w:tcPr>
          <w:p>
            <w:pPr>
              <w:spacing w:after="0"/>
            </w:pPr>
            <w:r/>
            <w:r>
              <w:rPr>
                <w:rFonts w:ascii="Aptos" w:hAnsi="Aptos"/>
                <w:b w:val="0"/>
                <w:color w:val="0B0D10"/>
                <w:sz w:val="14"/>
              </w:rPr>
              <w:t>https://corporate.ford.com/operations/locations/michigan-central/</w:t>
            </w:r>
          </w:p>
        </w:tc>
        <w:tc>
          <w:tcPr>
            <w:tcW w:type="dxa" w:w="1296"/>
            <w:vAlign w:val="center"/>
            <w:shd w:fill="FFFFFF"/>
          </w:tcPr>
          <w:p>
            <w:pPr>
              <w:spacing w:after="0"/>
            </w:pPr>
            <w:r/>
            <w:r>
              <w:rPr>
                <w:rFonts w:ascii="Aptos" w:hAnsi="Aptos"/>
                <w:b w:val="0"/>
                <w:color w:val="0B0D10"/>
                <w:sz w:val="14"/>
              </w:rPr>
              <w:t>[REAL/ANCHOR]</w:t>
            </w:r>
          </w:p>
        </w:tc>
      </w:tr>
      <w:tr>
        <w:tc>
          <w:tcPr>
            <w:tcW w:type="dxa" w:w="2880"/>
            <w:vAlign w:val="center"/>
            <w:shd w:fill="F1F2F0"/>
          </w:tcPr>
          <w:p>
            <w:pPr>
              <w:spacing w:after="0"/>
            </w:pPr>
            <w:r/>
            <w:r>
              <w:rPr>
                <w:rFonts w:ascii="Aptos" w:hAnsi="Aptos"/>
                <w:b w:val="0"/>
                <w:color w:val="0B0D10"/>
                <w:sz w:val="14"/>
              </w:rPr>
              <w:t>Otemachi One Tokyo</w:t>
            </w:r>
          </w:p>
        </w:tc>
        <w:tc>
          <w:tcPr>
            <w:tcW w:type="dxa" w:w="6912"/>
            <w:vAlign w:val="center"/>
            <w:shd w:fill="F1F2F0"/>
          </w:tcPr>
          <w:p>
            <w:pPr>
              <w:spacing w:after="0"/>
            </w:pPr>
            <w:r/>
            <w:r>
              <w:rPr>
                <w:rFonts w:ascii="Aptos" w:hAnsi="Aptos"/>
                <w:b w:val="0"/>
                <w:color w:val="0B0D10"/>
                <w:sz w:val="14"/>
              </w:rPr>
              <w:t>https://otemachi-one.com/en/access/</w:t>
            </w:r>
          </w:p>
        </w:tc>
        <w:tc>
          <w:tcPr>
            <w:tcW w:type="dxa" w:w="1296"/>
            <w:vAlign w:val="center"/>
            <w:shd w:fill="F1F2F0"/>
          </w:tcPr>
          <w:p>
            <w:pPr>
              <w:spacing w:after="0"/>
            </w:pPr>
            <w:r/>
            <w:r>
              <w:rPr>
                <w:rFonts w:ascii="Aptos" w:hAnsi="Aptos"/>
                <w:b w:val="0"/>
                <w:color w:val="0B0D10"/>
                <w:sz w:val="14"/>
              </w:rPr>
              <w:t>[REAL/ANCHOR]</w:t>
            </w:r>
          </w:p>
        </w:tc>
      </w:tr>
      <w:tr>
        <w:tc>
          <w:tcPr>
            <w:tcW w:type="dxa" w:w="2880"/>
            <w:vAlign w:val="center"/>
            <w:shd w:fill="FFFFFF"/>
          </w:tcPr>
          <w:p>
            <w:pPr>
              <w:spacing w:after="0"/>
            </w:pPr>
            <w:r/>
            <w:r>
              <w:rPr>
                <w:rFonts w:ascii="Aptos" w:hAnsi="Aptos"/>
                <w:b w:val="0"/>
                <w:color w:val="0B0D10"/>
                <w:sz w:val="14"/>
              </w:rPr>
              <w:t>Zurich Enge Brandschenkestrasse 72 listing</w:t>
            </w:r>
          </w:p>
        </w:tc>
        <w:tc>
          <w:tcPr>
            <w:tcW w:type="dxa" w:w="6912"/>
            <w:vAlign w:val="center"/>
            <w:shd w:fill="FFFFFF"/>
          </w:tcPr>
          <w:p>
            <w:pPr>
              <w:spacing w:after="0"/>
            </w:pPr>
            <w:r/>
            <w:r>
              <w:rPr>
                <w:rFonts w:ascii="Aptos" w:hAnsi="Aptos"/>
                <w:b w:val="0"/>
                <w:color w:val="0B0D10"/>
                <w:sz w:val="14"/>
              </w:rPr>
              <w:t>https://www.homegate.ch/kaufen/wohnung/quartier-enge/trefferliste?expired=4002544907</w:t>
            </w:r>
          </w:p>
        </w:tc>
        <w:tc>
          <w:tcPr>
            <w:tcW w:type="dxa" w:w="1296"/>
            <w:vAlign w:val="center"/>
            <w:shd w:fill="FFFFFF"/>
          </w:tcPr>
          <w:p>
            <w:pPr>
              <w:spacing w:after="0"/>
            </w:pPr>
            <w:r/>
            <w:r>
              <w:rPr>
                <w:rFonts w:ascii="Aptos" w:hAnsi="Aptos"/>
                <w:b w:val="0"/>
                <w:color w:val="0B0D10"/>
                <w:sz w:val="14"/>
              </w:rPr>
              <w:t>[REAL/ANCHOR]</w:t>
            </w:r>
          </w:p>
        </w:tc>
      </w:tr>
      <w:tr>
        <w:tc>
          <w:tcPr>
            <w:tcW w:type="dxa" w:w="2880"/>
            <w:vAlign w:val="center"/>
            <w:shd w:fill="F1F2F0"/>
          </w:tcPr>
          <w:p>
            <w:pPr>
              <w:spacing w:after="0"/>
            </w:pPr>
            <w:r/>
            <w:r>
              <w:rPr>
                <w:rFonts w:ascii="Aptos" w:hAnsi="Aptos"/>
                <w:b w:val="0"/>
                <w:color w:val="0B0D10"/>
                <w:sz w:val="14"/>
              </w:rPr>
              <w:t>Verbier Route des Creux 59 listing</w:t>
            </w:r>
          </w:p>
        </w:tc>
        <w:tc>
          <w:tcPr>
            <w:tcW w:type="dxa" w:w="6912"/>
            <w:vAlign w:val="center"/>
            <w:shd w:fill="F1F2F0"/>
          </w:tcPr>
          <w:p>
            <w:pPr>
              <w:spacing w:after="0"/>
            </w:pPr>
            <w:r/>
            <w:r>
              <w:rPr>
                <w:rFonts w:ascii="Aptos" w:hAnsi="Aptos"/>
                <w:b w:val="0"/>
                <w:color w:val="0B0D10"/>
                <w:sz w:val="14"/>
              </w:rPr>
              <w:t>https://www.spg.ch/vente/appt-appartement/valais/charmant-appartement-de-2-5-pieces-central-et-renove/</w:t>
            </w:r>
          </w:p>
        </w:tc>
        <w:tc>
          <w:tcPr>
            <w:tcW w:type="dxa" w:w="1296"/>
            <w:vAlign w:val="center"/>
            <w:shd w:fill="F1F2F0"/>
          </w:tcPr>
          <w:p>
            <w:pPr>
              <w:spacing w:after="0"/>
            </w:pPr>
            <w:r/>
            <w:r>
              <w:rPr>
                <w:rFonts w:ascii="Aptos" w:hAnsi="Aptos"/>
                <w:b w:val="0"/>
                <w:color w:val="0B0D10"/>
                <w:sz w:val="14"/>
              </w:rPr>
              <w:t>[REAL/ANCHOR]</w:t>
            </w:r>
          </w:p>
        </w:tc>
      </w:tr>
      <w:tr>
        <w:tc>
          <w:tcPr>
            <w:tcW w:type="dxa" w:w="2880"/>
            <w:vAlign w:val="center"/>
            <w:shd w:fill="FFFFFF"/>
          </w:tcPr>
          <w:p>
            <w:pPr>
              <w:spacing w:after="0"/>
            </w:pPr>
            <w:r/>
            <w:r>
              <w:rPr>
                <w:rFonts w:ascii="Aptos" w:hAnsi="Aptos"/>
                <w:b w:val="0"/>
                <w:color w:val="0B0D10"/>
                <w:sz w:val="14"/>
              </w:rPr>
              <w:t>Luxembourg Airport</w:t>
            </w:r>
          </w:p>
        </w:tc>
        <w:tc>
          <w:tcPr>
            <w:tcW w:type="dxa" w:w="6912"/>
            <w:vAlign w:val="center"/>
            <w:shd w:fill="FFFFFF"/>
          </w:tcPr>
          <w:p>
            <w:pPr>
              <w:spacing w:after="0"/>
            </w:pPr>
            <w:r/>
            <w:r>
              <w:rPr>
                <w:rFonts w:ascii="Aptos" w:hAnsi="Aptos"/>
                <w:b w:val="0"/>
                <w:color w:val="0B0D10"/>
                <w:sz w:val="14"/>
              </w:rPr>
              <w:t>https://transports.public.lu/en/transporter/transports-aeriens/infrastructures.html</w:t>
            </w:r>
          </w:p>
        </w:tc>
        <w:tc>
          <w:tcPr>
            <w:tcW w:type="dxa" w:w="1296"/>
            <w:vAlign w:val="center"/>
            <w:shd w:fill="FFFFFF"/>
          </w:tcPr>
          <w:p>
            <w:pPr>
              <w:spacing w:after="0"/>
            </w:pPr>
            <w:r/>
            <w:r>
              <w:rPr>
                <w:rFonts w:ascii="Aptos" w:hAnsi="Aptos"/>
                <w:b w:val="0"/>
                <w:color w:val="0B0D10"/>
                <w:sz w:val="14"/>
              </w:rPr>
              <w:t>[REAL/ANCHOR]</w:t>
            </w:r>
          </w:p>
        </w:tc>
      </w:tr>
      <w:tr>
        <w:tc>
          <w:tcPr>
            <w:tcW w:type="dxa" w:w="2880"/>
            <w:vAlign w:val="center"/>
            <w:shd w:fill="F1F2F0"/>
          </w:tcPr>
          <w:p>
            <w:pPr>
              <w:spacing w:after="0"/>
            </w:pPr>
            <w:r/>
            <w:r>
              <w:rPr>
                <w:rFonts w:ascii="Aptos" w:hAnsi="Aptos"/>
                <w:b w:val="0"/>
                <w:color w:val="0B0D10"/>
                <w:sz w:val="14"/>
              </w:rPr>
              <w:t>EQT Ventures III portfolio</w:t>
            </w:r>
          </w:p>
        </w:tc>
        <w:tc>
          <w:tcPr>
            <w:tcW w:type="dxa" w:w="6912"/>
            <w:vAlign w:val="center"/>
            <w:shd w:fill="F1F2F0"/>
          </w:tcPr>
          <w:p>
            <w:pPr>
              <w:spacing w:after="0"/>
            </w:pPr>
            <w:r/>
            <w:r>
              <w:rPr>
                <w:rFonts w:ascii="Aptos" w:hAnsi="Aptos"/>
                <w:b w:val="0"/>
                <w:color w:val="0B0D10"/>
                <w:sz w:val="14"/>
              </w:rPr>
              <w:t>https://eqtgroup.com/en/about/current-portfolio/funds/eqt-ventures-iii</w:t>
            </w:r>
          </w:p>
        </w:tc>
        <w:tc>
          <w:tcPr>
            <w:tcW w:type="dxa" w:w="1296"/>
            <w:vAlign w:val="center"/>
            <w:shd w:fill="F1F2F0"/>
          </w:tcPr>
          <w:p>
            <w:pPr>
              <w:spacing w:after="0"/>
            </w:pPr>
            <w:r/>
            <w:r>
              <w:rPr>
                <w:rFonts w:ascii="Aptos" w:hAnsi="Aptos"/>
                <w:b w:val="0"/>
                <w:color w:val="0B0D10"/>
                <w:sz w:val="14"/>
              </w:rPr>
              <w:t>[REAL/ANCHOR]</w:t>
            </w:r>
          </w:p>
        </w:tc>
      </w:tr>
      <w:tr>
        <w:tc>
          <w:tcPr>
            <w:tcW w:type="dxa" w:w="2880"/>
            <w:vAlign w:val="center"/>
            <w:shd w:fill="FFFFFF"/>
          </w:tcPr>
          <w:p>
            <w:pPr>
              <w:spacing w:after="0"/>
            </w:pPr>
            <w:r/>
            <w:r>
              <w:rPr>
                <w:rFonts w:ascii="Aptos" w:hAnsi="Aptos"/>
                <w:b w:val="0"/>
                <w:color w:val="0B0D10"/>
                <w:sz w:val="14"/>
              </w:rPr>
              <w:t>Toyota Ventures portfolio</w:t>
            </w:r>
          </w:p>
        </w:tc>
        <w:tc>
          <w:tcPr>
            <w:tcW w:type="dxa" w:w="6912"/>
            <w:vAlign w:val="center"/>
            <w:shd w:fill="FFFFFF"/>
          </w:tcPr>
          <w:p>
            <w:pPr>
              <w:spacing w:after="0"/>
            </w:pPr>
            <w:r/>
            <w:r>
              <w:rPr>
                <w:rFonts w:ascii="Aptos" w:hAnsi="Aptos"/>
                <w:b w:val="0"/>
                <w:color w:val="0B0D10"/>
                <w:sz w:val="14"/>
              </w:rPr>
              <w:t>https://toyota.ventures/portfolio.html</w:t>
            </w:r>
          </w:p>
        </w:tc>
        <w:tc>
          <w:tcPr>
            <w:tcW w:type="dxa" w:w="1296"/>
            <w:vAlign w:val="center"/>
            <w:shd w:fill="FFFFFF"/>
          </w:tcPr>
          <w:p>
            <w:pPr>
              <w:spacing w:after="0"/>
            </w:pPr>
            <w:r/>
            <w:r>
              <w:rPr>
                <w:rFonts w:ascii="Aptos" w:hAnsi="Aptos"/>
                <w:b w:val="0"/>
                <w:color w:val="0B0D10"/>
                <w:sz w:val="14"/>
              </w:rPr>
              <w:t>[REAL/ANCHOR]</w:t>
            </w:r>
          </w:p>
        </w:tc>
      </w:tr>
      <w:tr>
        <w:tc>
          <w:tcPr>
            <w:tcW w:type="dxa" w:w="2880"/>
            <w:vAlign w:val="center"/>
            <w:shd w:fill="F1F2F0"/>
          </w:tcPr>
          <w:p>
            <w:pPr>
              <w:spacing w:after="0"/>
            </w:pPr>
            <w:r/>
            <w:r>
              <w:rPr>
                <w:rFonts w:ascii="Aptos" w:hAnsi="Aptos"/>
                <w:b w:val="0"/>
                <w:color w:val="0B0D10"/>
                <w:sz w:val="14"/>
              </w:rPr>
              <w:t>BMW i Ventures Physical AI focus</w:t>
            </w:r>
          </w:p>
        </w:tc>
        <w:tc>
          <w:tcPr>
            <w:tcW w:type="dxa" w:w="6912"/>
            <w:vAlign w:val="center"/>
            <w:shd w:fill="F1F2F0"/>
          </w:tcPr>
          <w:p>
            <w:pPr>
              <w:spacing w:after="0"/>
            </w:pPr>
            <w:r/>
            <w:r>
              <w:rPr>
                <w:rFonts w:ascii="Aptos" w:hAnsi="Aptos"/>
                <w:b w:val="0"/>
                <w:color w:val="0B0D10"/>
                <w:sz w:val="14"/>
              </w:rPr>
              <w:t>https://www.bmwiventures.com/news/bmw-i-ventures-closes-300m-fund-iii-to-back-ai-across-the-automotive-ecosystem</w:t>
            </w:r>
          </w:p>
        </w:tc>
        <w:tc>
          <w:tcPr>
            <w:tcW w:type="dxa" w:w="1296"/>
            <w:vAlign w:val="center"/>
            <w:shd w:fill="F1F2F0"/>
          </w:tcPr>
          <w:p>
            <w:pPr>
              <w:spacing w:after="0"/>
            </w:pPr>
            <w:r/>
            <w:r>
              <w:rPr>
                <w:rFonts w:ascii="Aptos" w:hAnsi="Aptos"/>
                <w:b w:val="0"/>
                <w:color w:val="0B0D10"/>
                <w:sz w:val="14"/>
              </w:rPr>
              <w:t>[REAL/ANCHOR]</w:t>
            </w:r>
          </w:p>
        </w:tc>
      </w:tr>
      <w:tr>
        <w:tc>
          <w:tcPr>
            <w:tcW w:type="dxa" w:w="2880"/>
            <w:vAlign w:val="center"/>
            <w:shd w:fill="FFFFFF"/>
          </w:tcPr>
          <w:p>
            <w:pPr>
              <w:spacing w:after="0"/>
            </w:pPr>
            <w:r/>
            <w:r>
              <w:rPr>
                <w:rFonts w:ascii="Aptos" w:hAnsi="Aptos"/>
                <w:b w:val="0"/>
                <w:color w:val="0B0D10"/>
                <w:sz w:val="14"/>
              </w:rPr>
              <w:t>Bosch Ventures portfolio/news</w:t>
            </w:r>
          </w:p>
        </w:tc>
        <w:tc>
          <w:tcPr>
            <w:tcW w:type="dxa" w:w="6912"/>
            <w:vAlign w:val="center"/>
            <w:shd w:fill="FFFFFF"/>
          </w:tcPr>
          <w:p>
            <w:pPr>
              <w:spacing w:after="0"/>
            </w:pPr>
            <w:r/>
            <w:r>
              <w:rPr>
                <w:rFonts w:ascii="Aptos" w:hAnsi="Aptos"/>
                <w:b w:val="0"/>
                <w:color w:val="0B0D10"/>
                <w:sz w:val="14"/>
              </w:rPr>
              <w:t>https://bosch.ventures/news/</w:t>
            </w:r>
          </w:p>
        </w:tc>
        <w:tc>
          <w:tcPr>
            <w:tcW w:type="dxa" w:w="1296"/>
            <w:vAlign w:val="center"/>
            <w:shd w:fill="FFFFFF"/>
          </w:tcPr>
          <w:p>
            <w:pPr>
              <w:spacing w:after="0"/>
            </w:pPr>
            <w:r/>
            <w:r>
              <w:rPr>
                <w:rFonts w:ascii="Aptos" w:hAnsi="Aptos"/>
                <w:b w:val="0"/>
                <w:color w:val="0B0D10"/>
                <w:sz w:val="14"/>
              </w:rPr>
              <w:t>[REAL/ANCHOR]</w:t>
            </w:r>
          </w:p>
        </w:tc>
      </w:tr>
      <w:tr>
        <w:tc>
          <w:tcPr>
            <w:tcW w:type="dxa" w:w="2880"/>
            <w:vAlign w:val="center"/>
            <w:shd w:fill="F1F2F0"/>
          </w:tcPr>
          <w:p>
            <w:pPr>
              <w:spacing w:after="0"/>
            </w:pPr>
            <w:r/>
            <w:r>
              <w:rPr>
                <w:rFonts w:ascii="Aptos" w:hAnsi="Aptos"/>
                <w:b w:val="0"/>
                <w:color w:val="0B0D10"/>
                <w:sz w:val="14"/>
              </w:rPr>
              <w:t>Porsche Ventures portfolio</w:t>
            </w:r>
          </w:p>
        </w:tc>
        <w:tc>
          <w:tcPr>
            <w:tcW w:type="dxa" w:w="6912"/>
            <w:vAlign w:val="center"/>
            <w:shd w:fill="F1F2F0"/>
          </w:tcPr>
          <w:p>
            <w:pPr>
              <w:spacing w:after="0"/>
            </w:pPr>
            <w:r/>
            <w:r>
              <w:rPr>
                <w:rFonts w:ascii="Aptos" w:hAnsi="Aptos"/>
                <w:b w:val="0"/>
                <w:color w:val="0B0D10"/>
                <w:sz w:val="14"/>
              </w:rPr>
              <w:t>https://porsche.ventures/portfolio</w:t>
            </w:r>
          </w:p>
        </w:tc>
        <w:tc>
          <w:tcPr>
            <w:tcW w:type="dxa" w:w="1296"/>
            <w:vAlign w:val="center"/>
            <w:shd w:fill="F1F2F0"/>
          </w:tcPr>
          <w:p>
            <w:pPr>
              <w:spacing w:after="0"/>
            </w:pPr>
            <w:r/>
            <w:r>
              <w:rPr>
                <w:rFonts w:ascii="Aptos" w:hAnsi="Aptos"/>
                <w:b w:val="0"/>
                <w:color w:val="0B0D10"/>
                <w:sz w:val="14"/>
              </w:rPr>
              <w:t>[REAL/ANCHOR]</w:t>
            </w:r>
          </w:p>
        </w:tc>
      </w:tr>
      <w:tr>
        <w:tc>
          <w:tcPr>
            <w:tcW w:type="dxa" w:w="2880"/>
            <w:vAlign w:val="center"/>
            <w:shd w:fill="FFFFFF"/>
          </w:tcPr>
          <w:p>
            <w:pPr>
              <w:spacing w:after="0"/>
            </w:pPr>
            <w:r/>
            <w:r>
              <w:rPr>
                <w:rFonts w:ascii="Aptos" w:hAnsi="Aptos"/>
                <w:b w:val="0"/>
                <w:color w:val="0B0D10"/>
                <w:sz w:val="14"/>
              </w:rPr>
              <w:t>Lakestar resilience portfolio</w:t>
            </w:r>
          </w:p>
        </w:tc>
        <w:tc>
          <w:tcPr>
            <w:tcW w:type="dxa" w:w="6912"/>
            <w:vAlign w:val="center"/>
            <w:shd w:fill="FFFFFF"/>
          </w:tcPr>
          <w:p>
            <w:pPr>
              <w:spacing w:after="0"/>
            </w:pPr>
            <w:r/>
            <w:r>
              <w:rPr>
                <w:rFonts w:ascii="Aptos" w:hAnsi="Aptos"/>
                <w:b w:val="0"/>
                <w:color w:val="0B0D10"/>
                <w:sz w:val="14"/>
              </w:rPr>
              <w:t>https://www.lakestar.com/resiliencepress</w:t>
            </w:r>
          </w:p>
        </w:tc>
        <w:tc>
          <w:tcPr>
            <w:tcW w:type="dxa" w:w="1296"/>
            <w:vAlign w:val="center"/>
            <w:shd w:fill="FFFFFF"/>
          </w:tcPr>
          <w:p>
            <w:pPr>
              <w:spacing w:after="0"/>
            </w:pPr>
            <w:r/>
            <w:r>
              <w:rPr>
                <w:rFonts w:ascii="Aptos" w:hAnsi="Aptos"/>
                <w:b w:val="0"/>
                <w:color w:val="0B0D10"/>
                <w:sz w:val="14"/>
              </w:rPr>
              <w:t>[REAL/ANCHOR]</w:t>
            </w:r>
          </w:p>
        </w:tc>
      </w:tr>
      <w:tr>
        <w:tc>
          <w:tcPr>
            <w:tcW w:type="dxa" w:w="2880"/>
            <w:vAlign w:val="center"/>
            <w:shd w:fill="F1F2F0"/>
          </w:tcPr>
          <w:p>
            <w:pPr>
              <w:spacing w:after="0"/>
            </w:pPr>
            <w:r/>
            <w:r>
              <w:rPr>
                <w:rFonts w:ascii="Aptos" w:hAnsi="Aptos"/>
                <w:b w:val="0"/>
                <w:color w:val="0B0D10"/>
                <w:sz w:val="14"/>
              </w:rPr>
              <w:t>General Catalyst portfolio</w:t>
            </w:r>
          </w:p>
        </w:tc>
        <w:tc>
          <w:tcPr>
            <w:tcW w:type="dxa" w:w="6912"/>
            <w:vAlign w:val="center"/>
            <w:shd w:fill="F1F2F0"/>
          </w:tcPr>
          <w:p>
            <w:pPr>
              <w:spacing w:after="0"/>
            </w:pPr>
            <w:r/>
            <w:r>
              <w:rPr>
                <w:rFonts w:ascii="Aptos" w:hAnsi="Aptos"/>
                <w:b w:val="0"/>
                <w:color w:val="0B0D10"/>
                <w:sz w:val="14"/>
              </w:rPr>
              <w:t>https://www.generalcatalyst.com/portfolio</w:t>
            </w:r>
          </w:p>
        </w:tc>
        <w:tc>
          <w:tcPr>
            <w:tcW w:type="dxa" w:w="1296"/>
            <w:vAlign w:val="center"/>
            <w:shd w:fill="F1F2F0"/>
          </w:tcPr>
          <w:p>
            <w:pPr>
              <w:spacing w:after="0"/>
            </w:pPr>
            <w:r/>
            <w:r>
              <w:rPr>
                <w:rFonts w:ascii="Aptos" w:hAnsi="Aptos"/>
                <w:b w:val="0"/>
                <w:color w:val="0B0D10"/>
                <w:sz w:val="14"/>
              </w:rPr>
              <w:t>[REAL/ANCHOR]</w:t>
            </w:r>
          </w:p>
        </w:tc>
      </w:tr>
      <w:tr>
        <w:tc>
          <w:tcPr>
            <w:tcW w:type="dxa" w:w="2880"/>
            <w:vAlign w:val="center"/>
            <w:shd w:fill="FFFFFF"/>
          </w:tcPr>
          <w:p>
            <w:pPr>
              <w:spacing w:after="0"/>
            </w:pPr>
            <w:r/>
            <w:r>
              <w:rPr>
                <w:rFonts w:ascii="Aptos" w:hAnsi="Aptos"/>
                <w:b w:val="0"/>
                <w:color w:val="0B0D10"/>
                <w:sz w:val="14"/>
              </w:rPr>
              <w:t>Bessemer robotics / physical AI research</w:t>
            </w:r>
          </w:p>
        </w:tc>
        <w:tc>
          <w:tcPr>
            <w:tcW w:type="dxa" w:w="6912"/>
            <w:vAlign w:val="center"/>
            <w:shd w:fill="FFFFFF"/>
          </w:tcPr>
          <w:p>
            <w:pPr>
              <w:spacing w:after="0"/>
            </w:pPr>
            <w:r/>
            <w:r>
              <w:rPr>
                <w:rFonts w:ascii="Aptos" w:hAnsi="Aptos"/>
                <w:b w:val="0"/>
                <w:color w:val="0B0D10"/>
                <w:sz w:val="14"/>
              </w:rPr>
              <w:t>https://www.bvp.com/atlas/intelligent-robotics-the-new-era-of-physical-ai</w:t>
            </w:r>
          </w:p>
        </w:tc>
        <w:tc>
          <w:tcPr>
            <w:tcW w:type="dxa" w:w="1296"/>
            <w:vAlign w:val="center"/>
            <w:shd w:fill="FFFFFF"/>
          </w:tcPr>
          <w:p>
            <w:pPr>
              <w:spacing w:after="0"/>
            </w:pPr>
            <w:r/>
            <w:r>
              <w:rPr>
                <w:rFonts w:ascii="Aptos" w:hAnsi="Aptos"/>
                <w:b w:val="0"/>
                <w:color w:val="0B0D10"/>
                <w:sz w:val="14"/>
              </w:rPr>
              <w:t>[REAL/ANCHOR]</w:t>
            </w:r>
          </w:p>
        </w:tc>
      </w:tr>
    </w:tbl>
    <w:p>
      <w:pPr>
        <w:spacing w:after="40"/>
      </w:pPr>
    </w:p>
    <w:sectPr w:rsidR="00FC693F" w:rsidRPr="0006063C" w:rsidSect="00034616">
      <w:headerReference w:type="default" r:id="rId9"/>
      <w:footerReference w:type="default" r:id="rId10"/>
      <w:pgSz w:w="12240" w:h="15840"/>
      <w:pgMar w:top="936"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9198"/>
        <w:sz w:val="14"/>
      </w:rPr>
      <w:t>ROSENFELD SIMULATION  •  31/12/2030  •  [SIM]/[REAL]/[ANCHOR] evidence model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05840" cy="165830"/>
          <wp:docPr id="1" name="Picture 1"/>
          <wp:cNvGraphicFramePr>
            <a:graphicFrameLocks noChangeAspect="1"/>
          </wp:cNvGraphicFramePr>
          <a:graphic>
            <a:graphicData uri="http://schemas.openxmlformats.org/drawingml/2006/picture">
              <pic:pic>
                <pic:nvPicPr>
                  <pic:cNvPr id="0" name="ROSENFELD_Official_Logo_Primary_Transparent.png"/>
                  <pic:cNvPicPr/>
                </pic:nvPicPr>
                <pic:blipFill>
                  <a:blip r:embed="rId1"/>
                  <a:stretch>
                    <a:fillRect/>
                  </a:stretch>
                </pic:blipFill>
                <pic:spPr>
                  <a:xfrm>
                    <a:off x="0" y="0"/>
                    <a:ext cx="1005840" cy="165830"/>
                  </a:xfrm>
                  <a:prstGeom prst="rect"/>
                </pic:spPr>
              </pic:pic>
            </a:graphicData>
          </a:graphic>
        </wp:inline>
      </w:drawing>
    </w:r>
    <w:r>
      <w:rPr>
        <w:color w:val="8C9198"/>
        <w:sz w:val="15"/>
      </w:rPr>
      <w:t xml:space="preserve">  |  CONFIDENTIAL SIMULATION STATE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0D1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2A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55CF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0D1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