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drawing>
          <wp:inline xmlns:a="http://schemas.openxmlformats.org/drawingml/2006/main" xmlns:pic="http://schemas.openxmlformats.org/drawingml/2006/picture">
            <wp:extent cx="2834640" cy="467340"/>
            <wp:docPr id="1" name="Picture 1"/>
            <wp:cNvGraphicFramePr>
              <a:graphicFrameLocks noChangeAspect="1"/>
            </wp:cNvGraphicFramePr>
            <a:graphic>
              <a:graphicData uri="http://schemas.openxmlformats.org/drawingml/2006/picture">
                <pic:pic>
                  <pic:nvPicPr>
                    <pic:cNvPr id="0" name="ROSENFELD_Official_Logo_Primary_Transparent.png"/>
                    <pic:cNvPicPr/>
                  </pic:nvPicPr>
                  <pic:blipFill>
                    <a:blip r:embed="rId11"/>
                    <a:stretch>
                      <a:fillRect/>
                    </a:stretch>
                  </pic:blipFill>
                  <pic:spPr>
                    <a:xfrm>
                      <a:off x="0" y="0"/>
                      <a:ext cx="2834640" cy="467340"/>
                    </a:xfrm>
                    <a:prstGeom prst="rect"/>
                  </pic:spPr>
                </pic:pic>
              </a:graphicData>
            </a:graphic>
          </wp:inline>
        </w:drawing>
      </w:r>
    </w:p>
    <w:p>
      <w:pPr>
        <w:pStyle w:val="Title"/>
        <w:jc w:val="left"/>
      </w:pPr>
      <w:r>
        <w:t>WORLD 2030 MACRO / GEOPOLITICS / TECHNOLOGY DOSSIER</w:t>
      </w:r>
    </w:p>
    <w:p>
      <w:pPr>
        <w:pStyle w:val="Subtitle"/>
      </w:pPr>
      <w:r>
        <w:t>Global state at 31/12/2030 · Macro, markets, geopolitics, technology, infrastructure and rankings</w:t>
      </w:r>
    </w:p>
    <w:p>
      <w:pPr>
        <w:spacing w:before="400"/>
      </w:pPr>
    </w:p>
    <w:tbl>
      <w:tblPr>
        <w:tblStyle w:val="TableGrid"/>
        <w:tblW w:type="auto" w:w="0"/>
        <w:jc w:val="left"/>
        <w:tblLook w:firstColumn="1" w:firstRow="1" w:lastColumn="0" w:lastRow="0" w:noHBand="0" w:noVBand="1" w:val="04A0"/>
      </w:tblPr>
      <w:tblGrid>
        <w:gridCol w:w="5040"/>
        <w:gridCol w:w="5040"/>
      </w:tblGrid>
      <w:tr>
        <w:tc>
          <w:tcPr>
            <w:tcW w:type="dxa" w:w="5040"/>
            <w:shd w:fill="252A30"/>
            <w:vAlign w:val="center"/>
            <w:tcBorders>
              <w:top w:val="single" w:sz="4" w:color="D5D8DC"/>
              <w:left w:val="single" w:sz="4" w:color="D5D8DC"/>
              <w:bottom w:val="single" w:sz="4" w:color="D5D8DC"/>
              <w:right w:val="single" w:sz="4" w:color="D5D8DC"/>
            </w:tcBorders>
          </w:tcPr>
          <w:p>
            <w:r>
              <w:rPr>
                <w:b/>
                <w:color w:val="FFFFFF"/>
              </w:rPr>
              <w:t>Simulation endpoint</w:t>
            </w:r>
          </w:p>
        </w:tc>
        <w:tc>
          <w:tcPr>
            <w:tcW w:type="dxa" w:w="5040"/>
            <w:shd w:fill="F4F3EF"/>
            <w:vAlign w:val="center"/>
            <w:tcBorders>
              <w:top w:val="single" w:sz="4" w:color="D5D8DC"/>
              <w:left w:val="single" w:sz="4" w:color="D5D8DC"/>
              <w:bottom w:val="single" w:sz="4" w:color="D5D8DC"/>
              <w:right w:val="single" w:sz="4" w:color="D5D8DC"/>
            </w:tcBorders>
          </w:tcPr>
          <w:p>
            <w:r>
              <w:t>31 December 2030 · 23:59:59 CET</w:t>
            </w:r>
          </w:p>
        </w:tc>
      </w:tr>
      <w:tr>
        <w:tc>
          <w:tcPr>
            <w:tcW w:type="dxa" w:w="5040"/>
            <w:shd w:fill="252A30"/>
            <w:vAlign w:val="center"/>
            <w:tcBorders>
              <w:top w:val="single" w:sz="4" w:color="D5D8DC"/>
              <w:left w:val="single" w:sz="4" w:color="D5D8DC"/>
              <w:bottom w:val="single" w:sz="4" w:color="D5D8DC"/>
              <w:right w:val="single" w:sz="4" w:color="D5D8DC"/>
            </w:tcBorders>
          </w:tcPr>
          <w:p>
            <w:r>
              <w:rPr>
                <w:b/>
                <w:color w:val="FFFFFF"/>
              </w:rPr>
              <w:t>Start snapshot</w:t>
            </w:r>
          </w:p>
        </w:tc>
        <w:tc>
          <w:tcPr>
            <w:tcW w:type="dxa" w:w="5040"/>
            <w:shd w:fill="F4F3EF"/>
            <w:vAlign w:val="center"/>
            <w:tcBorders>
              <w:top w:val="single" w:sz="4" w:color="D5D8DC"/>
              <w:left w:val="single" w:sz="4" w:color="D5D8DC"/>
              <w:bottom w:val="single" w:sz="4" w:color="D5D8DC"/>
              <w:right w:val="single" w:sz="4" w:color="D5D8DC"/>
            </w:tcBorders>
          </w:tcPr>
          <w:p>
            <w:r>
              <w:t>SNAP-20270101-0000</w:t>
            </w:r>
          </w:p>
        </w:tc>
      </w:tr>
      <w:tr>
        <w:tc>
          <w:tcPr>
            <w:tcW w:type="dxa" w:w="5040"/>
            <w:shd w:fill="252A30"/>
            <w:vAlign w:val="center"/>
            <w:tcBorders>
              <w:top w:val="single" w:sz="4" w:color="D5D8DC"/>
              <w:left w:val="single" w:sz="4" w:color="D5D8DC"/>
              <w:bottom w:val="single" w:sz="4" w:color="D5D8DC"/>
              <w:right w:val="single" w:sz="4" w:color="D5D8DC"/>
            </w:tcBorders>
          </w:tcPr>
          <w:p>
            <w:r>
              <w:rPr>
                <w:b/>
                <w:color w:val="FFFFFF"/>
              </w:rPr>
              <w:t>End snapshot</w:t>
            </w:r>
          </w:p>
        </w:tc>
        <w:tc>
          <w:tcPr>
            <w:tcW w:type="dxa" w:w="5040"/>
            <w:shd w:fill="F4F3EF"/>
            <w:vAlign w:val="center"/>
            <w:tcBorders>
              <w:top w:val="single" w:sz="4" w:color="D5D8DC"/>
              <w:left w:val="single" w:sz="4" w:color="D5D8DC"/>
              <w:bottom w:val="single" w:sz="4" w:color="D5D8DC"/>
              <w:right w:val="single" w:sz="4" w:color="D5D8DC"/>
            </w:tcBorders>
          </w:tcPr>
          <w:p>
            <w:r>
              <w:t>SNAP-20301231-2359</w:t>
            </w:r>
          </w:p>
        </w:tc>
      </w:tr>
      <w:tr>
        <w:tc>
          <w:tcPr>
            <w:tcW w:type="dxa" w:w="5040"/>
            <w:shd w:fill="252A30"/>
            <w:vAlign w:val="center"/>
            <w:tcBorders>
              <w:top w:val="single" w:sz="4" w:color="D5D8DC"/>
              <w:left w:val="single" w:sz="4" w:color="D5D8DC"/>
              <w:bottom w:val="single" w:sz="4" w:color="D5D8DC"/>
              <w:right w:val="single" w:sz="4" w:color="D5D8DC"/>
            </w:tcBorders>
          </w:tcPr>
          <w:p>
            <w:r>
              <w:rPr>
                <w:b/>
                <w:color w:val="FFFFFF"/>
              </w:rPr>
              <w:t>Truth model</w:t>
            </w:r>
          </w:p>
        </w:tc>
        <w:tc>
          <w:tcPr>
            <w:tcW w:type="dxa" w:w="5040"/>
            <w:shd w:fill="F4F3EF"/>
            <w:vAlign w:val="center"/>
            <w:tcBorders>
              <w:top w:val="single" w:sz="4" w:color="D5D8DC"/>
              <w:left w:val="single" w:sz="4" w:color="D5D8DC"/>
              <w:bottom w:val="single" w:sz="4" w:color="D5D8DC"/>
              <w:right w:val="single" w:sz="4" w:color="D5D8DC"/>
            </w:tcBorders>
          </w:tcPr>
          <w:p>
            <w:r>
              <w:t>[REAL] [ANCHOR] [SIM] [DERIVED] [PROJECTED] [PENDING]</w:t>
            </w:r>
          </w:p>
        </w:tc>
      </w:tr>
      <w:tr>
        <w:tc>
          <w:tcPr>
            <w:tcW w:type="dxa" w:w="5040"/>
            <w:shd w:fill="252A30"/>
            <w:vAlign w:val="center"/>
            <w:tcBorders>
              <w:top w:val="single" w:sz="4" w:color="D5D8DC"/>
              <w:left w:val="single" w:sz="4" w:color="D5D8DC"/>
              <w:bottom w:val="single" w:sz="4" w:color="D5D8DC"/>
              <w:right w:val="single" w:sz="4" w:color="D5D8DC"/>
            </w:tcBorders>
          </w:tcPr>
          <w:p>
            <w:r>
              <w:rPr>
                <w:b/>
                <w:color w:val="FFFFFF"/>
              </w:rPr>
              <w:t>Currency convention</w:t>
            </w:r>
          </w:p>
        </w:tc>
        <w:tc>
          <w:tcPr>
            <w:tcW w:type="dxa" w:w="5040"/>
            <w:shd w:fill="F4F3EF"/>
            <w:vAlign w:val="center"/>
            <w:tcBorders>
              <w:top w:val="single" w:sz="4" w:color="D5D8DC"/>
              <w:left w:val="single" w:sz="4" w:color="D5D8DC"/>
              <w:bottom w:val="single" w:sz="4" w:color="D5D8DC"/>
              <w:right w:val="single" w:sz="4" w:color="D5D8DC"/>
            </w:tcBorders>
          </w:tcPr>
          <w:p>
            <w:r>
              <w:t>EUR for Lucien/RAS; USD for global comparables</w:t>
            </w:r>
          </w:p>
        </w:tc>
      </w:tr>
    </w:tbl>
    <w:p>
      <w:pPr>
        <w:pStyle w:val="SmallNote"/>
      </w:pPr>
      <w:r>
        <w:t>This document is a simulation state record. Future events after the 24 Sep 2026 research boundary are simulated unless explicitly identified as scheduled/anchored. Numerical values are nominal 2030 values unless otherwise stated.</w:t>
      </w:r>
    </w:p>
    <w:p>
      <w:r>
        <w:br w:type="page"/>
      </w:r>
    </w:p>
    <w:p>
      <w:pPr>
        <w:pStyle w:val="Heading1"/>
      </w:pPr>
      <w:r>
        <w:t>Document map</w:t>
      </w:r>
    </w:p>
    <w:p>
      <w:pPr>
        <w:spacing w:after="80" w:line="252" w:lineRule="auto"/>
      </w:pPr>
      <w:r>
        <w:t>The document is organized as a forensic state dossier. Sections are ordered so that a reader can move from the global context to RAS operations, then to Lucien’s personal balance sheet and finally to audit logic.</w:t>
      </w:r>
    </w:p>
    <w:p>
      <w:pPr>
        <w:spacing w:after="80" w:line="252" w:lineRule="auto"/>
      </w:pPr>
      <w:r>
        <w:t>01. Research boundary and truth model</w:t>
      </w:r>
    </w:p>
    <w:p>
      <w:pPr>
        <w:spacing w:after="80" w:line="252" w:lineRule="auto"/>
      </w:pPr>
      <w:r>
        <w:t>02. Macro evolution 2027–2030</w:t>
      </w:r>
    </w:p>
    <w:p>
      <w:pPr>
        <w:spacing w:after="80" w:line="252" w:lineRule="auto"/>
      </w:pPr>
      <w:r>
        <w:t>03. Regional economies</w:t>
      </w:r>
    </w:p>
    <w:p>
      <w:pPr>
        <w:spacing w:after="80" w:line="252" w:lineRule="auto"/>
      </w:pPr>
      <w:r>
        <w:t>04. Geopolitics and institutions</w:t>
      </w:r>
    </w:p>
    <w:p>
      <w:pPr>
        <w:spacing w:after="80" w:line="252" w:lineRule="auto"/>
      </w:pPr>
      <w:r>
        <w:t>05. AI and compute</w:t>
      </w:r>
    </w:p>
    <w:p>
      <w:pPr>
        <w:spacing w:after="80" w:line="252" w:lineRule="auto"/>
      </w:pPr>
      <w:r>
        <w:t>06. Robotics / Physical AI</w:t>
      </w:r>
    </w:p>
    <w:p>
      <w:pPr>
        <w:spacing w:after="80" w:line="252" w:lineRule="auto"/>
      </w:pPr>
      <w:r>
        <w:t>07. Semiconductors</w:t>
      </w:r>
    </w:p>
    <w:p>
      <w:pPr>
        <w:spacing w:after="80" w:line="252" w:lineRule="auto"/>
      </w:pPr>
      <w:r>
        <w:t>08. Quantum and materials</w:t>
      </w:r>
    </w:p>
    <w:p>
      <w:pPr>
        <w:spacing w:after="80" w:line="252" w:lineRule="auto"/>
      </w:pPr>
      <w:r>
        <w:t>09. Energy and infrastructure</w:t>
      </w:r>
    </w:p>
    <w:p>
      <w:pPr>
        <w:spacing w:after="80" w:line="252" w:lineRule="auto"/>
      </w:pPr>
      <w:r>
        <w:t>10. Space</w:t>
      </w:r>
    </w:p>
    <w:p>
      <w:pPr>
        <w:spacing w:after="80" w:line="252" w:lineRule="auto"/>
      </w:pPr>
      <w:r>
        <w:t>11. Trade / logistics</w:t>
      </w:r>
    </w:p>
    <w:p>
      <w:pPr>
        <w:spacing w:after="80" w:line="252" w:lineRule="auto"/>
      </w:pPr>
      <w:r>
        <w:t>12. Financial markets</w:t>
      </w:r>
    </w:p>
    <w:p>
      <w:pPr>
        <w:spacing w:after="80" w:line="252" w:lineRule="auto"/>
      </w:pPr>
      <w:r>
        <w:t>13. Top companies</w:t>
      </w:r>
    </w:p>
    <w:p>
      <w:pPr>
        <w:spacing w:after="80" w:line="252" w:lineRule="auto"/>
      </w:pPr>
      <w:r>
        <w:t>14. Top fortunes</w:t>
      </w:r>
    </w:p>
    <w:p>
      <w:pPr>
        <w:spacing w:after="80" w:line="252" w:lineRule="auto"/>
      </w:pPr>
      <w:r>
        <w:t>15. Major event chronology</w:t>
      </w:r>
    </w:p>
    <w:p>
      <w:pPr>
        <w:pStyle w:val="Heading1"/>
      </w:pPr>
      <w:r>
        <w:t>1. Research boundary</w:t>
      </w:r>
    </w:p>
    <w:tbl>
      <w:tblPr>
        <w:tblStyle w:val="TableGrid"/>
        <w:tblW w:type="auto" w:w="0"/>
        <w:tblLook w:firstColumn="1" w:firstRow="1" w:lastColumn="0" w:lastRow="0" w:noHBand="0" w:noVBand="1" w:val="04A0"/>
      </w:tblPr>
      <w:tblGrid>
        <w:gridCol w:w="10080"/>
      </w:tblGrid>
      <w:tr>
        <w:tc>
          <w:tcPr>
            <w:tcW w:type="dxa" w:w="10080"/>
            <w:shd w:fill="EEF2FF"/>
          </w:tcPr>
          <w:p>
            <w:r>
              <w:rPr>
                <w:b/>
                <w:color w:val="255CFF"/>
                <w:sz w:val="17"/>
              </w:rPr>
              <w:t>REAL VS SIMULATED</w:t>
              <w:br/>
            </w:r>
            <w:r>
              <w:rPr>
                <w:sz w:val="17"/>
              </w:rPr>
              <w:t>The factual research boundary is 24 September 2026. IMF, NASA, EU institutions, Olympic organizers and other official sources establish known anchors. The 2027–2030 economic values, wars, elections, market caps, corporate outcomes and technological maturation described below are simulated. Scheduled events can occur in the simulation only to the extent consistent with their official calendars; their actual outcomes remain [SIM].</w:t>
            </w:r>
          </w:p>
        </w:tc>
      </w:tr>
    </w:tbl>
    <w:p>
      <w:pPr>
        <w:pStyle w:val="Heading1"/>
      </w:pPr>
      <w:r>
        <w:t>Research / anchor register</w:t>
      </w:r>
    </w:p>
    <w:p>
      <w:pPr>
        <w:spacing w:after="80" w:line="252" w:lineRule="auto"/>
      </w:pPr>
      <w:r>
        <w:t>The sources below establish the factual boundary at 24 September 2026. They do not make the 2027–2030 simulated outcomes real-world facts.</w:t>
      </w:r>
    </w:p>
    <w:p>
      <w:pPr>
        <w:pStyle w:val="SmallNote"/>
      </w:pPr>
      <w:r>
        <w:rPr>
          <w:b/>
        </w:rPr>
        <w:t xml:space="preserve">IMF WEO Update, July 2026 — </w:t>
      </w:r>
      <w:r>
        <w:t xml:space="preserve">Global growth 3.0% in 2026 and 3.4% in 2027; war/technology cross-currents; stalled disinflation. </w:t>
      </w:r>
      <w:r>
        <w:t>https://www.imf.org/en/publications/weo/issues/2026/07/08/world-economic-outlook-update-july-2026</w:t>
      </w:r>
    </w:p>
    <w:p>
      <w:pPr>
        <w:pStyle w:val="SmallNote"/>
      </w:pPr>
      <w:r>
        <w:rPr>
          <w:b/>
        </w:rPr>
        <w:t xml:space="preserve">NASA Artemis III / IV materials — </w:t>
      </w:r>
      <w:r>
        <w:t xml:space="preserve">2027 Artemis III demonstration architecture; early-2028 Artemis IV lunar landing target at the 2026 boundary. </w:t>
      </w:r>
      <w:r>
        <w:t>https://www.nasa.gov/artemis-iii-news-and-updates/</w:t>
      </w:r>
    </w:p>
    <w:p>
      <w:pPr>
        <w:pStyle w:val="SmallNote"/>
      </w:pPr>
      <w:r>
        <w:rPr>
          <w:b/>
        </w:rPr>
        <w:t xml:space="preserve">NASA Artemis IV — </w:t>
      </w:r>
      <w:r>
        <w:t xml:space="preserve">Official Artemis IV mission page and early-2028 landing target at the research boundary. </w:t>
      </w:r>
      <w:r>
        <w:t>https://www.nasa.gov/mission/artemis-iv/</w:t>
      </w:r>
    </w:p>
    <w:p>
      <w:pPr>
        <w:pStyle w:val="SmallNote"/>
      </w:pPr>
      <w:r>
        <w:rPr>
          <w:b/>
        </w:rPr>
        <w:t xml:space="preserve">EU AI Act enforcement — </w:t>
      </w:r>
      <w:r>
        <w:t xml:space="preserve">Phased application timeline used as a regulatory anchor; simulated implementation effects are not treated as known future facts. </w:t>
      </w:r>
      <w:r>
        <w:t>https://digital-strategy.ec.europa.eu/en/policies/enforcement-ai-act</w:t>
      </w:r>
    </w:p>
    <w:p>
      <w:pPr>
        <w:pStyle w:val="SmallNote"/>
      </w:pPr>
      <w:r>
        <w:rPr>
          <w:b/>
        </w:rPr>
        <w:t xml:space="preserve">LA28 official materials — </w:t>
      </w:r>
      <w:r>
        <w:t xml:space="preserve">Los Angeles 2028 Games dates are scheduled anchors. </w:t>
      </w:r>
      <w:r>
        <w:t>https://la28.org/es/sala-de-prensa/LA28_Announces_Games_Dates.html</w:t>
      </w:r>
    </w:p>
    <w:p>
      <w:pPr>
        <w:pStyle w:val="SmallNote"/>
      </w:pPr>
      <w:r>
        <w:rPr>
          <w:b/>
        </w:rPr>
        <w:t xml:space="preserve">European Parliament — </w:t>
      </w:r>
      <w:r>
        <w:t xml:space="preserve">2029 European Parliament election cycle anchor. </w:t>
      </w:r>
      <w:r>
        <w:t>https://www.europarl.europa.eu/factsheets/en/sheet/20/el-parlamento-europeo-organizacion-y-funcionamiento</w:t>
      </w:r>
    </w:p>
    <w:p>
      <w:pPr>
        <w:pStyle w:val="Heading1"/>
      </w:pPr>
      <w:r>
        <w:t>2. Macro evolution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252A30"/>
            <w:vAlign w:val="center"/>
          </w:tcPr>
          <w:p>
            <w:r>
              <w:rPr>
                <w:b/>
                <w:color w:val="FFFFFF"/>
                <w:sz w:val="15"/>
              </w:rPr>
              <w:t>Metric</w:t>
            </w:r>
          </w:p>
        </w:tc>
        <w:tc>
          <w:tcPr>
            <w:tcW w:type="dxa" w:w="2016"/>
            <w:shd w:fill="252A30"/>
            <w:vAlign w:val="center"/>
          </w:tcPr>
          <w:p>
            <w:r>
              <w:rPr>
                <w:b/>
                <w:color w:val="FFFFFF"/>
                <w:sz w:val="15"/>
              </w:rPr>
              <w:t>2027</w:t>
            </w:r>
          </w:p>
        </w:tc>
        <w:tc>
          <w:tcPr>
            <w:tcW w:type="dxa" w:w="2016"/>
            <w:shd w:fill="252A30"/>
            <w:vAlign w:val="center"/>
          </w:tcPr>
          <w:p>
            <w:r>
              <w:rPr>
                <w:b/>
                <w:color w:val="FFFFFF"/>
                <w:sz w:val="15"/>
              </w:rPr>
              <w:t>2028</w:t>
            </w:r>
          </w:p>
        </w:tc>
        <w:tc>
          <w:tcPr>
            <w:tcW w:type="dxa" w:w="2016"/>
            <w:shd w:fill="252A30"/>
            <w:vAlign w:val="center"/>
          </w:tcPr>
          <w:p>
            <w:r>
              <w:rPr>
                <w:b/>
                <w:color w:val="FFFFFF"/>
                <w:sz w:val="15"/>
              </w:rPr>
              <w:t>2029</w:t>
            </w:r>
          </w:p>
        </w:tc>
        <w:tc>
          <w:tcPr>
            <w:tcW w:type="dxa" w:w="2016"/>
            <w:shd w:fill="252A30"/>
            <w:vAlign w:val="center"/>
          </w:tcPr>
          <w:p>
            <w:r>
              <w:rPr>
                <w:b/>
                <w:color w:val="FFFFFF"/>
                <w:sz w:val="15"/>
              </w:rPr>
              <w:t>2030</w:t>
            </w:r>
          </w:p>
        </w:tc>
      </w:tr>
      <w:tr>
        <w:tc>
          <w:tcPr>
            <w:tcW w:type="dxa" w:w="2016"/>
            <w:shd w:fill="F6F7F8"/>
            <w:vAlign w:val="center"/>
          </w:tcPr>
          <w:p>
            <w:pPr>
              <w:spacing w:after="0"/>
            </w:pPr>
            <w:r>
              <w:rPr>
                <w:sz w:val="15"/>
              </w:rPr>
              <w:t>Global real GDP growth</w:t>
            </w:r>
          </w:p>
        </w:tc>
        <w:tc>
          <w:tcPr>
            <w:tcW w:type="dxa" w:w="2016"/>
            <w:shd w:fill="F6F7F8"/>
            <w:vAlign w:val="center"/>
          </w:tcPr>
          <w:p>
            <w:pPr>
              <w:spacing w:after="0"/>
            </w:pPr>
            <w:r>
              <w:rPr>
                <w:sz w:val="15"/>
              </w:rPr>
              <w:t>3.1%</w:t>
            </w:r>
          </w:p>
        </w:tc>
        <w:tc>
          <w:tcPr>
            <w:tcW w:type="dxa" w:w="2016"/>
            <w:shd w:fill="F6F7F8"/>
            <w:vAlign w:val="center"/>
          </w:tcPr>
          <w:p>
            <w:pPr>
              <w:spacing w:after="0"/>
            </w:pPr>
            <w:r>
              <w:rPr>
                <w:sz w:val="15"/>
              </w:rPr>
              <w:t>3.2%</w:t>
            </w:r>
          </w:p>
        </w:tc>
        <w:tc>
          <w:tcPr>
            <w:tcW w:type="dxa" w:w="2016"/>
            <w:shd w:fill="F6F7F8"/>
            <w:vAlign w:val="center"/>
          </w:tcPr>
          <w:p>
            <w:pPr>
              <w:spacing w:after="0"/>
            </w:pPr>
            <w:r>
              <w:rPr>
                <w:sz w:val="15"/>
              </w:rPr>
              <w:t>3.3%</w:t>
            </w:r>
          </w:p>
        </w:tc>
        <w:tc>
          <w:tcPr>
            <w:tcW w:type="dxa" w:w="2016"/>
            <w:shd w:fill="F6F7F8"/>
            <w:vAlign w:val="center"/>
          </w:tcPr>
          <w:p>
            <w:pPr>
              <w:spacing w:after="0"/>
            </w:pPr>
            <w:r>
              <w:rPr>
                <w:sz w:val="15"/>
              </w:rPr>
              <w:t>3.2%</w:t>
            </w:r>
          </w:p>
        </w:tc>
      </w:tr>
      <w:tr>
        <w:tc>
          <w:tcPr>
            <w:tcW w:type="dxa" w:w="2016"/>
            <w:vAlign w:val="center"/>
          </w:tcPr>
          <w:p>
            <w:pPr>
              <w:spacing w:after="0"/>
            </w:pPr>
            <w:r>
              <w:rPr>
                <w:sz w:val="15"/>
              </w:rPr>
              <w:t>Global inflation</w:t>
            </w:r>
          </w:p>
        </w:tc>
        <w:tc>
          <w:tcPr>
            <w:tcW w:type="dxa" w:w="2016"/>
            <w:vAlign w:val="center"/>
          </w:tcPr>
          <w:p>
            <w:pPr>
              <w:spacing w:after="0"/>
            </w:pPr>
            <w:r>
              <w:rPr>
                <w:sz w:val="15"/>
              </w:rPr>
              <w:t>3.4%</w:t>
            </w:r>
          </w:p>
        </w:tc>
        <w:tc>
          <w:tcPr>
            <w:tcW w:type="dxa" w:w="2016"/>
            <w:vAlign w:val="center"/>
          </w:tcPr>
          <w:p>
            <w:pPr>
              <w:spacing w:after="0"/>
            </w:pPr>
            <w:r>
              <w:rPr>
                <w:sz w:val="15"/>
              </w:rPr>
              <w:t>3.0%</w:t>
            </w:r>
          </w:p>
        </w:tc>
        <w:tc>
          <w:tcPr>
            <w:tcW w:type="dxa" w:w="2016"/>
            <w:vAlign w:val="center"/>
          </w:tcPr>
          <w:p>
            <w:pPr>
              <w:spacing w:after="0"/>
            </w:pPr>
            <w:r>
              <w:rPr>
                <w:sz w:val="15"/>
              </w:rPr>
              <w:t>2.7%</w:t>
            </w:r>
          </w:p>
        </w:tc>
        <w:tc>
          <w:tcPr>
            <w:tcW w:type="dxa" w:w="2016"/>
            <w:vAlign w:val="center"/>
          </w:tcPr>
          <w:p>
            <w:pPr>
              <w:spacing w:after="0"/>
            </w:pPr>
            <w:r>
              <w:rPr>
                <w:sz w:val="15"/>
              </w:rPr>
              <w:t>2.6%</w:t>
            </w:r>
          </w:p>
        </w:tc>
      </w:tr>
      <w:tr>
        <w:tc>
          <w:tcPr>
            <w:tcW w:type="dxa" w:w="2016"/>
            <w:shd w:fill="F6F7F8"/>
            <w:vAlign w:val="center"/>
          </w:tcPr>
          <w:p>
            <w:pPr>
              <w:spacing w:after="0"/>
            </w:pPr>
            <w:r>
              <w:rPr>
                <w:sz w:val="15"/>
              </w:rPr>
              <w:t>US growth</w:t>
            </w:r>
          </w:p>
        </w:tc>
        <w:tc>
          <w:tcPr>
            <w:tcW w:type="dxa" w:w="2016"/>
            <w:shd w:fill="F6F7F8"/>
            <w:vAlign w:val="center"/>
          </w:tcPr>
          <w:p>
            <w:pPr>
              <w:spacing w:after="0"/>
            </w:pPr>
            <w:r>
              <w:rPr>
                <w:sz w:val="15"/>
              </w:rPr>
              <w:t>2.2%</w:t>
            </w:r>
          </w:p>
        </w:tc>
        <w:tc>
          <w:tcPr>
            <w:tcW w:type="dxa" w:w="2016"/>
            <w:shd w:fill="F6F7F8"/>
            <w:vAlign w:val="center"/>
          </w:tcPr>
          <w:p>
            <w:pPr>
              <w:spacing w:after="0"/>
            </w:pPr>
            <w:r>
              <w:rPr>
                <w:sz w:val="15"/>
              </w:rPr>
              <w:t>2.4%</w:t>
            </w:r>
          </w:p>
        </w:tc>
        <w:tc>
          <w:tcPr>
            <w:tcW w:type="dxa" w:w="2016"/>
            <w:shd w:fill="F6F7F8"/>
            <w:vAlign w:val="center"/>
          </w:tcPr>
          <w:p>
            <w:pPr>
              <w:spacing w:after="0"/>
            </w:pPr>
            <w:r>
              <w:rPr>
                <w:sz w:val="15"/>
              </w:rPr>
              <w:t>2.1%</w:t>
            </w:r>
          </w:p>
        </w:tc>
        <w:tc>
          <w:tcPr>
            <w:tcW w:type="dxa" w:w="2016"/>
            <w:shd w:fill="F6F7F8"/>
            <w:vAlign w:val="center"/>
          </w:tcPr>
          <w:p>
            <w:pPr>
              <w:spacing w:after="0"/>
            </w:pPr>
            <w:r>
              <w:rPr>
                <w:sz w:val="15"/>
              </w:rPr>
              <w:t>2.0%</w:t>
            </w:r>
          </w:p>
        </w:tc>
      </w:tr>
      <w:tr>
        <w:tc>
          <w:tcPr>
            <w:tcW w:type="dxa" w:w="2016"/>
            <w:vAlign w:val="center"/>
          </w:tcPr>
          <w:p>
            <w:pPr>
              <w:spacing w:after="0"/>
            </w:pPr>
            <w:r>
              <w:rPr>
                <w:sz w:val="15"/>
              </w:rPr>
              <w:t>Eurozone growth</w:t>
            </w:r>
          </w:p>
        </w:tc>
        <w:tc>
          <w:tcPr>
            <w:tcW w:type="dxa" w:w="2016"/>
            <w:vAlign w:val="center"/>
          </w:tcPr>
          <w:p>
            <w:pPr>
              <w:spacing w:after="0"/>
            </w:pPr>
            <w:r>
              <w:rPr>
                <w:sz w:val="15"/>
              </w:rPr>
              <w:t>1.4%</w:t>
            </w:r>
          </w:p>
        </w:tc>
        <w:tc>
          <w:tcPr>
            <w:tcW w:type="dxa" w:w="2016"/>
            <w:vAlign w:val="center"/>
          </w:tcPr>
          <w:p>
            <w:pPr>
              <w:spacing w:after="0"/>
            </w:pPr>
            <w:r>
              <w:rPr>
                <w:sz w:val="15"/>
              </w:rPr>
              <w:t>1.6%</w:t>
            </w:r>
          </w:p>
        </w:tc>
        <w:tc>
          <w:tcPr>
            <w:tcW w:type="dxa" w:w="2016"/>
            <w:vAlign w:val="center"/>
          </w:tcPr>
          <w:p>
            <w:pPr>
              <w:spacing w:after="0"/>
            </w:pPr>
            <w:r>
              <w:rPr>
                <w:sz w:val="15"/>
              </w:rPr>
              <w:t>1.7%</w:t>
            </w:r>
          </w:p>
        </w:tc>
        <w:tc>
          <w:tcPr>
            <w:tcW w:type="dxa" w:w="2016"/>
            <w:vAlign w:val="center"/>
          </w:tcPr>
          <w:p>
            <w:pPr>
              <w:spacing w:after="0"/>
            </w:pPr>
            <w:r>
              <w:rPr>
                <w:sz w:val="15"/>
              </w:rPr>
              <w:t>1.7%</w:t>
            </w:r>
          </w:p>
        </w:tc>
      </w:tr>
      <w:tr>
        <w:tc>
          <w:tcPr>
            <w:tcW w:type="dxa" w:w="2016"/>
            <w:shd w:fill="F6F7F8"/>
            <w:vAlign w:val="center"/>
          </w:tcPr>
          <w:p>
            <w:pPr>
              <w:spacing w:after="0"/>
            </w:pPr>
            <w:r>
              <w:rPr>
                <w:sz w:val="15"/>
              </w:rPr>
              <w:t>China growth</w:t>
            </w:r>
          </w:p>
        </w:tc>
        <w:tc>
          <w:tcPr>
            <w:tcW w:type="dxa" w:w="2016"/>
            <w:shd w:fill="F6F7F8"/>
            <w:vAlign w:val="center"/>
          </w:tcPr>
          <w:p>
            <w:pPr>
              <w:spacing w:after="0"/>
            </w:pPr>
            <w:r>
              <w:rPr>
                <w:sz w:val="15"/>
              </w:rPr>
              <w:t>4.2%</w:t>
            </w:r>
          </w:p>
        </w:tc>
        <w:tc>
          <w:tcPr>
            <w:tcW w:type="dxa" w:w="2016"/>
            <w:shd w:fill="F6F7F8"/>
            <w:vAlign w:val="center"/>
          </w:tcPr>
          <w:p>
            <w:pPr>
              <w:spacing w:after="0"/>
            </w:pPr>
            <w:r>
              <w:rPr>
                <w:sz w:val="15"/>
              </w:rPr>
              <w:t>4.0%</w:t>
            </w:r>
          </w:p>
        </w:tc>
        <w:tc>
          <w:tcPr>
            <w:tcW w:type="dxa" w:w="2016"/>
            <w:shd w:fill="F6F7F8"/>
            <w:vAlign w:val="center"/>
          </w:tcPr>
          <w:p>
            <w:pPr>
              <w:spacing w:after="0"/>
            </w:pPr>
            <w:r>
              <w:rPr>
                <w:sz w:val="15"/>
              </w:rPr>
              <w:t>3.8%</w:t>
            </w:r>
          </w:p>
        </w:tc>
        <w:tc>
          <w:tcPr>
            <w:tcW w:type="dxa" w:w="2016"/>
            <w:shd w:fill="F6F7F8"/>
            <w:vAlign w:val="center"/>
          </w:tcPr>
          <w:p>
            <w:pPr>
              <w:spacing w:after="0"/>
            </w:pPr>
            <w:r>
              <w:rPr>
                <w:sz w:val="15"/>
              </w:rPr>
              <w:t>3.6%</w:t>
            </w:r>
          </w:p>
        </w:tc>
      </w:tr>
      <w:tr>
        <w:tc>
          <w:tcPr>
            <w:tcW w:type="dxa" w:w="2016"/>
            <w:vAlign w:val="center"/>
          </w:tcPr>
          <w:p>
            <w:pPr>
              <w:spacing w:after="0"/>
            </w:pPr>
            <w:r>
              <w:rPr>
                <w:sz w:val="15"/>
              </w:rPr>
              <w:t>India growth</w:t>
            </w:r>
          </w:p>
        </w:tc>
        <w:tc>
          <w:tcPr>
            <w:tcW w:type="dxa" w:w="2016"/>
            <w:vAlign w:val="center"/>
          </w:tcPr>
          <w:p>
            <w:pPr>
              <w:spacing w:after="0"/>
            </w:pPr>
            <w:r>
              <w:rPr>
                <w:sz w:val="15"/>
              </w:rPr>
              <w:t>6.6%</w:t>
            </w:r>
          </w:p>
        </w:tc>
        <w:tc>
          <w:tcPr>
            <w:tcW w:type="dxa" w:w="2016"/>
            <w:vAlign w:val="center"/>
          </w:tcPr>
          <w:p>
            <w:pPr>
              <w:spacing w:after="0"/>
            </w:pPr>
            <w:r>
              <w:rPr>
                <w:sz w:val="15"/>
              </w:rPr>
              <w:t>6.4%</w:t>
            </w:r>
          </w:p>
        </w:tc>
        <w:tc>
          <w:tcPr>
            <w:tcW w:type="dxa" w:w="2016"/>
            <w:vAlign w:val="center"/>
          </w:tcPr>
          <w:p>
            <w:pPr>
              <w:spacing w:after="0"/>
            </w:pPr>
            <w:r>
              <w:rPr>
                <w:sz w:val="15"/>
              </w:rPr>
              <w:t>6.3%</w:t>
            </w:r>
          </w:p>
        </w:tc>
        <w:tc>
          <w:tcPr>
            <w:tcW w:type="dxa" w:w="2016"/>
            <w:vAlign w:val="center"/>
          </w:tcPr>
          <w:p>
            <w:pPr>
              <w:spacing w:after="0"/>
            </w:pPr>
            <w:r>
              <w:rPr>
                <w:sz w:val="15"/>
              </w:rPr>
              <w:t>6.1%</w:t>
            </w:r>
          </w:p>
        </w:tc>
      </w:tr>
      <w:tr>
        <w:tc>
          <w:tcPr>
            <w:tcW w:type="dxa" w:w="2016"/>
            <w:shd w:fill="F6F7F8"/>
            <w:vAlign w:val="center"/>
          </w:tcPr>
          <w:p>
            <w:pPr>
              <w:spacing w:after="0"/>
            </w:pPr>
            <w:r>
              <w:rPr>
                <w:sz w:val="15"/>
              </w:rPr>
              <w:t>Fed year-end</w:t>
            </w:r>
          </w:p>
        </w:tc>
        <w:tc>
          <w:tcPr>
            <w:tcW w:type="dxa" w:w="2016"/>
            <w:shd w:fill="F6F7F8"/>
            <w:vAlign w:val="center"/>
          </w:tcPr>
          <w:p>
            <w:pPr>
              <w:spacing w:after="0"/>
            </w:pPr>
            <w:r>
              <w:rPr>
                <w:sz w:val="15"/>
              </w:rPr>
              <w:t>3.25%</w:t>
            </w:r>
          </w:p>
        </w:tc>
        <w:tc>
          <w:tcPr>
            <w:tcW w:type="dxa" w:w="2016"/>
            <w:shd w:fill="F6F7F8"/>
            <w:vAlign w:val="center"/>
          </w:tcPr>
          <w:p>
            <w:pPr>
              <w:spacing w:after="0"/>
            </w:pPr>
            <w:r>
              <w:rPr>
                <w:sz w:val="15"/>
              </w:rPr>
              <w:t>3.00%</w:t>
            </w:r>
          </w:p>
        </w:tc>
        <w:tc>
          <w:tcPr>
            <w:tcW w:type="dxa" w:w="2016"/>
            <w:shd w:fill="F6F7F8"/>
            <w:vAlign w:val="center"/>
          </w:tcPr>
          <w:p>
            <w:pPr>
              <w:spacing w:after="0"/>
            </w:pPr>
            <w:r>
              <w:rPr>
                <w:sz w:val="15"/>
              </w:rPr>
              <w:t>3.25%</w:t>
            </w:r>
          </w:p>
        </w:tc>
        <w:tc>
          <w:tcPr>
            <w:tcW w:type="dxa" w:w="2016"/>
            <w:shd w:fill="F6F7F8"/>
            <w:vAlign w:val="center"/>
          </w:tcPr>
          <w:p>
            <w:pPr>
              <w:spacing w:after="0"/>
            </w:pPr>
            <w:r>
              <w:rPr>
                <w:sz w:val="15"/>
              </w:rPr>
              <w:t>3.00%</w:t>
            </w:r>
          </w:p>
        </w:tc>
      </w:tr>
      <w:tr>
        <w:tc>
          <w:tcPr>
            <w:tcW w:type="dxa" w:w="2016"/>
            <w:vAlign w:val="center"/>
          </w:tcPr>
          <w:p>
            <w:pPr>
              <w:spacing w:after="0"/>
            </w:pPr>
            <w:r>
              <w:rPr>
                <w:sz w:val="15"/>
              </w:rPr>
              <w:t>ECB deposit</w:t>
            </w:r>
          </w:p>
        </w:tc>
        <w:tc>
          <w:tcPr>
            <w:tcW w:type="dxa" w:w="2016"/>
            <w:vAlign w:val="center"/>
          </w:tcPr>
          <w:p>
            <w:pPr>
              <w:spacing w:after="0"/>
            </w:pPr>
            <w:r>
              <w:rPr>
                <w:sz w:val="15"/>
              </w:rPr>
              <w:t>2.25%</w:t>
            </w:r>
          </w:p>
        </w:tc>
        <w:tc>
          <w:tcPr>
            <w:tcW w:type="dxa" w:w="2016"/>
            <w:vAlign w:val="center"/>
          </w:tcPr>
          <w:p>
            <w:pPr>
              <w:spacing w:after="0"/>
            </w:pPr>
            <w:r>
              <w:rPr>
                <w:sz w:val="15"/>
              </w:rPr>
              <w:t>2.00%</w:t>
            </w:r>
          </w:p>
        </w:tc>
        <w:tc>
          <w:tcPr>
            <w:tcW w:type="dxa" w:w="2016"/>
            <w:vAlign w:val="center"/>
          </w:tcPr>
          <w:p>
            <w:pPr>
              <w:spacing w:after="0"/>
            </w:pPr>
            <w:r>
              <w:rPr>
                <w:sz w:val="15"/>
              </w:rPr>
              <w:t>2.25%</w:t>
            </w:r>
          </w:p>
        </w:tc>
        <w:tc>
          <w:tcPr>
            <w:tcW w:type="dxa" w:w="2016"/>
            <w:vAlign w:val="center"/>
          </w:tcPr>
          <w:p>
            <w:pPr>
              <w:spacing w:after="0"/>
            </w:pPr>
            <w:r>
              <w:rPr>
                <w:sz w:val="15"/>
              </w:rPr>
              <w:t>2.00%</w:t>
            </w:r>
          </w:p>
        </w:tc>
      </w:tr>
      <w:tr>
        <w:tc>
          <w:tcPr>
            <w:tcW w:type="dxa" w:w="2016"/>
            <w:shd w:fill="F6F7F8"/>
            <w:vAlign w:val="center"/>
          </w:tcPr>
          <w:p>
            <w:pPr>
              <w:spacing w:after="0"/>
            </w:pPr>
            <w:r>
              <w:rPr>
                <w:sz w:val="15"/>
              </w:rPr>
              <w:t>Brent</w:t>
            </w:r>
          </w:p>
        </w:tc>
        <w:tc>
          <w:tcPr>
            <w:tcW w:type="dxa" w:w="2016"/>
            <w:shd w:fill="F6F7F8"/>
            <w:vAlign w:val="center"/>
          </w:tcPr>
          <w:p>
            <w:pPr>
              <w:spacing w:after="0"/>
            </w:pPr>
            <w:r>
              <w:rPr>
                <w:sz w:val="15"/>
              </w:rPr>
              <w:t>~$77</w:t>
            </w:r>
          </w:p>
        </w:tc>
        <w:tc>
          <w:tcPr>
            <w:tcW w:type="dxa" w:w="2016"/>
            <w:shd w:fill="F6F7F8"/>
            <w:vAlign w:val="center"/>
          </w:tcPr>
          <w:p>
            <w:pPr>
              <w:spacing w:after="0"/>
            </w:pPr>
            <w:r>
              <w:rPr>
                <w:sz w:val="15"/>
              </w:rPr>
              <w:t>~$82</w:t>
            </w:r>
          </w:p>
        </w:tc>
        <w:tc>
          <w:tcPr>
            <w:tcW w:type="dxa" w:w="2016"/>
            <w:shd w:fill="F6F7F8"/>
            <w:vAlign w:val="center"/>
          </w:tcPr>
          <w:p>
            <w:pPr>
              <w:spacing w:after="0"/>
            </w:pPr>
            <w:r>
              <w:rPr>
                <w:sz w:val="15"/>
              </w:rPr>
              <w:t>~$79</w:t>
            </w:r>
          </w:p>
        </w:tc>
        <w:tc>
          <w:tcPr>
            <w:tcW w:type="dxa" w:w="2016"/>
            <w:shd w:fill="F6F7F8"/>
            <w:vAlign w:val="center"/>
          </w:tcPr>
          <w:p>
            <w:pPr>
              <w:spacing w:after="0"/>
            </w:pPr>
            <w:r>
              <w:rPr>
                <w:sz w:val="15"/>
              </w:rPr>
              <w:t>~$81</w:t>
            </w:r>
          </w:p>
        </w:tc>
      </w:tr>
      <w:tr>
        <w:tc>
          <w:tcPr>
            <w:tcW w:type="dxa" w:w="2016"/>
            <w:vAlign w:val="center"/>
          </w:tcPr>
          <w:p>
            <w:pPr>
              <w:spacing w:after="0"/>
            </w:pPr>
            <w:r>
              <w:rPr>
                <w:sz w:val="15"/>
              </w:rPr>
              <w:t>TTF gas</w:t>
            </w:r>
          </w:p>
        </w:tc>
        <w:tc>
          <w:tcPr>
            <w:tcW w:type="dxa" w:w="2016"/>
            <w:vAlign w:val="center"/>
          </w:tcPr>
          <w:p>
            <w:pPr>
              <w:spacing w:after="0"/>
            </w:pPr>
            <w:r>
              <w:rPr>
                <w:sz w:val="15"/>
              </w:rPr>
              <w:t>~€44/MWh</w:t>
            </w:r>
          </w:p>
        </w:tc>
        <w:tc>
          <w:tcPr>
            <w:tcW w:type="dxa" w:w="2016"/>
            <w:vAlign w:val="center"/>
          </w:tcPr>
          <w:p>
            <w:pPr>
              <w:spacing w:after="0"/>
            </w:pPr>
            <w:r>
              <w:rPr>
                <w:sz w:val="15"/>
              </w:rPr>
              <w:t>~€47</w:t>
            </w:r>
          </w:p>
        </w:tc>
        <w:tc>
          <w:tcPr>
            <w:tcW w:type="dxa" w:w="2016"/>
            <w:vAlign w:val="center"/>
          </w:tcPr>
          <w:p>
            <w:pPr>
              <w:spacing w:after="0"/>
            </w:pPr>
            <w:r>
              <w:rPr>
                <w:sz w:val="15"/>
              </w:rPr>
              <w:t>~€43</w:t>
            </w:r>
          </w:p>
        </w:tc>
        <w:tc>
          <w:tcPr>
            <w:tcW w:type="dxa" w:w="2016"/>
            <w:vAlign w:val="center"/>
          </w:tcPr>
          <w:p>
            <w:pPr>
              <w:spacing w:after="0"/>
            </w:pPr>
            <w:r>
              <w:rPr>
                <w:sz w:val="15"/>
              </w:rPr>
              <w:t>~€46</w:t>
            </w:r>
          </w:p>
        </w:tc>
      </w:tr>
      <w:tr>
        <w:tc>
          <w:tcPr>
            <w:tcW w:type="dxa" w:w="2016"/>
            <w:shd w:fill="F6F7F8"/>
            <w:vAlign w:val="center"/>
          </w:tcPr>
          <w:p>
            <w:pPr>
              <w:spacing w:after="0"/>
            </w:pPr>
            <w:r>
              <w:rPr>
                <w:sz w:val="15"/>
              </w:rPr>
              <w:t>Gold</w:t>
            </w:r>
          </w:p>
        </w:tc>
        <w:tc>
          <w:tcPr>
            <w:tcW w:type="dxa" w:w="2016"/>
            <w:shd w:fill="F6F7F8"/>
            <w:vAlign w:val="center"/>
          </w:tcPr>
          <w:p>
            <w:pPr>
              <w:spacing w:after="0"/>
            </w:pPr>
            <w:r>
              <w:rPr>
                <w:sz w:val="15"/>
              </w:rPr>
              <w:t>~$4,800/oz</w:t>
            </w:r>
          </w:p>
        </w:tc>
        <w:tc>
          <w:tcPr>
            <w:tcW w:type="dxa" w:w="2016"/>
            <w:shd w:fill="F6F7F8"/>
            <w:vAlign w:val="center"/>
          </w:tcPr>
          <w:p>
            <w:pPr>
              <w:spacing w:after="0"/>
            </w:pPr>
            <w:r>
              <w:rPr>
                <w:sz w:val="15"/>
              </w:rPr>
              <w:t>~$5,200</w:t>
            </w:r>
          </w:p>
        </w:tc>
        <w:tc>
          <w:tcPr>
            <w:tcW w:type="dxa" w:w="2016"/>
            <w:shd w:fill="F6F7F8"/>
            <w:vAlign w:val="center"/>
          </w:tcPr>
          <w:p>
            <w:pPr>
              <w:spacing w:after="0"/>
            </w:pPr>
            <w:r>
              <w:rPr>
                <w:sz w:val="15"/>
              </w:rPr>
              <w:t>~$5,600</w:t>
            </w:r>
          </w:p>
        </w:tc>
        <w:tc>
          <w:tcPr>
            <w:tcW w:type="dxa" w:w="2016"/>
            <w:shd w:fill="F6F7F8"/>
            <w:vAlign w:val="center"/>
          </w:tcPr>
          <w:p>
            <w:pPr>
              <w:spacing w:after="0"/>
            </w:pPr>
            <w:r>
              <w:rPr>
                <w:sz w:val="15"/>
              </w:rPr>
              <w:t>~$5,900</w:t>
            </w:r>
          </w:p>
        </w:tc>
      </w:tr>
      <w:tr>
        <w:tc>
          <w:tcPr>
            <w:tcW w:type="dxa" w:w="2016"/>
            <w:vAlign w:val="center"/>
          </w:tcPr>
          <w:p>
            <w:pPr>
              <w:spacing w:after="0"/>
            </w:pPr>
            <w:r>
              <w:rPr>
                <w:sz w:val="15"/>
              </w:rPr>
              <w:t>Copper</w:t>
            </w:r>
          </w:p>
        </w:tc>
        <w:tc>
          <w:tcPr>
            <w:tcW w:type="dxa" w:w="2016"/>
            <w:vAlign w:val="center"/>
          </w:tcPr>
          <w:p>
            <w:pPr>
              <w:spacing w:after="0"/>
            </w:pPr>
            <w:r>
              <w:rPr>
                <w:sz w:val="15"/>
              </w:rPr>
              <w:t>~$11,500/t</w:t>
            </w:r>
          </w:p>
        </w:tc>
        <w:tc>
          <w:tcPr>
            <w:tcW w:type="dxa" w:w="2016"/>
            <w:vAlign w:val="center"/>
          </w:tcPr>
          <w:p>
            <w:pPr>
              <w:spacing w:after="0"/>
            </w:pPr>
            <w:r>
              <w:rPr>
                <w:sz w:val="15"/>
              </w:rPr>
              <w:t>~$12,800</w:t>
            </w:r>
          </w:p>
        </w:tc>
        <w:tc>
          <w:tcPr>
            <w:tcW w:type="dxa" w:w="2016"/>
            <w:vAlign w:val="center"/>
          </w:tcPr>
          <w:p>
            <w:pPr>
              <w:spacing w:after="0"/>
            </w:pPr>
            <w:r>
              <w:rPr>
                <w:sz w:val="15"/>
              </w:rPr>
              <w:t>~$13,200</w:t>
            </w:r>
          </w:p>
        </w:tc>
        <w:tc>
          <w:tcPr>
            <w:tcW w:type="dxa" w:w="2016"/>
            <w:vAlign w:val="center"/>
          </w:tcPr>
          <w:p>
            <w:pPr>
              <w:spacing w:after="0"/>
            </w:pPr>
            <w:r>
              <w:rPr>
                <w:sz w:val="15"/>
              </w:rPr>
              <w:t>~$13,800</w:t>
            </w:r>
          </w:p>
        </w:tc>
      </w:tr>
      <w:tr>
        <w:tc>
          <w:tcPr>
            <w:tcW w:type="dxa" w:w="2016"/>
            <w:shd w:fill="F6F7F8"/>
            <w:vAlign w:val="center"/>
          </w:tcPr>
          <w:p>
            <w:pPr>
              <w:spacing w:after="0"/>
            </w:pPr>
            <w:r>
              <w:rPr>
                <w:sz w:val="15"/>
              </w:rPr>
              <w:t>EUR/USD</w:t>
            </w:r>
          </w:p>
        </w:tc>
        <w:tc>
          <w:tcPr>
            <w:tcW w:type="dxa" w:w="2016"/>
            <w:shd w:fill="F6F7F8"/>
            <w:vAlign w:val="center"/>
          </w:tcPr>
          <w:p>
            <w:pPr>
              <w:spacing w:after="0"/>
            </w:pPr>
            <w:r>
              <w:rPr>
                <w:sz w:val="15"/>
              </w:rPr>
              <w:t>1.15</w:t>
            </w:r>
          </w:p>
        </w:tc>
        <w:tc>
          <w:tcPr>
            <w:tcW w:type="dxa" w:w="2016"/>
            <w:shd w:fill="F6F7F8"/>
            <w:vAlign w:val="center"/>
          </w:tcPr>
          <w:p>
            <w:pPr>
              <w:spacing w:after="0"/>
            </w:pPr>
            <w:r>
              <w:rPr>
                <w:sz w:val="15"/>
              </w:rPr>
              <w:t>1.17</w:t>
            </w:r>
          </w:p>
        </w:tc>
        <w:tc>
          <w:tcPr>
            <w:tcW w:type="dxa" w:w="2016"/>
            <w:shd w:fill="F6F7F8"/>
            <w:vAlign w:val="center"/>
          </w:tcPr>
          <w:p>
            <w:pPr>
              <w:spacing w:after="0"/>
            </w:pPr>
            <w:r>
              <w:rPr>
                <w:sz w:val="15"/>
              </w:rPr>
              <w:t>1.15</w:t>
            </w:r>
          </w:p>
        </w:tc>
        <w:tc>
          <w:tcPr>
            <w:tcW w:type="dxa" w:w="2016"/>
            <w:shd w:fill="F6F7F8"/>
            <w:vAlign w:val="center"/>
          </w:tcPr>
          <w:p>
            <w:pPr>
              <w:spacing w:after="0"/>
            </w:pPr>
            <w:r>
              <w:rPr>
                <w:sz w:val="15"/>
              </w:rPr>
              <w:t>1.14</w:t>
            </w:r>
          </w:p>
        </w:tc>
      </w:tr>
    </w:tbl>
    <w:p>
      <w:pPr>
        <w:spacing w:after="40"/>
      </w:pPr>
    </w:p>
    <w:p>
      <w:pPr>
        <w:spacing w:after="80" w:line="252" w:lineRule="auto"/>
      </w:pPr>
      <w:r>
        <w:t>The simulation uses a moderate-growth world rather than an exponential-growth fantasy. AI raises productivity and capex, but energy, grid capacity, financing costs, geopolitical fragmentation and demographic constraints keep the macro path within a plausible industrial range.</w:t>
      </w:r>
    </w:p>
    <w:p>
      <w:pPr>
        <w:pStyle w:val="Heading1"/>
      </w:pPr>
      <w:r>
        <w:t>3. Regional economy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252A30"/>
            <w:vAlign w:val="center"/>
          </w:tcPr>
          <w:p>
            <w:r>
              <w:rPr>
                <w:b/>
                <w:color w:val="FFFFFF"/>
                <w:sz w:val="15"/>
              </w:rPr>
              <w:t>Region</w:t>
            </w:r>
          </w:p>
        </w:tc>
        <w:tc>
          <w:tcPr>
            <w:tcW w:type="dxa" w:w="2520"/>
            <w:shd w:fill="252A30"/>
            <w:vAlign w:val="center"/>
          </w:tcPr>
          <w:p>
            <w:r>
              <w:rPr>
                <w:b/>
                <w:color w:val="FFFFFF"/>
                <w:sz w:val="15"/>
              </w:rPr>
              <w:t>2027–2030 trajectory</w:t>
            </w:r>
          </w:p>
        </w:tc>
        <w:tc>
          <w:tcPr>
            <w:tcW w:type="dxa" w:w="2520"/>
            <w:shd w:fill="252A30"/>
            <w:vAlign w:val="center"/>
          </w:tcPr>
          <w:p>
            <w:r>
              <w:rPr>
                <w:b/>
                <w:color w:val="FFFFFF"/>
                <w:sz w:val="15"/>
              </w:rPr>
              <w:t>Key drivers</w:t>
            </w:r>
          </w:p>
        </w:tc>
        <w:tc>
          <w:tcPr>
            <w:tcW w:type="dxa" w:w="2520"/>
            <w:shd w:fill="252A30"/>
            <w:vAlign w:val="center"/>
          </w:tcPr>
          <w:p>
            <w:r>
              <w:rPr>
                <w:b/>
                <w:color w:val="FFFFFF"/>
                <w:sz w:val="15"/>
              </w:rPr>
              <w:t>Key constraints</w:t>
            </w:r>
          </w:p>
        </w:tc>
      </w:tr>
      <w:tr>
        <w:tc>
          <w:tcPr>
            <w:tcW w:type="dxa" w:w="2520"/>
            <w:shd w:fill="F6F7F8"/>
            <w:vAlign w:val="center"/>
          </w:tcPr>
          <w:p>
            <w:pPr>
              <w:spacing w:after="0"/>
            </w:pPr>
            <w:r>
              <w:rPr>
                <w:sz w:val="15"/>
              </w:rPr>
              <w:t>US</w:t>
            </w:r>
          </w:p>
        </w:tc>
        <w:tc>
          <w:tcPr>
            <w:tcW w:type="dxa" w:w="2520"/>
            <w:shd w:fill="F6F7F8"/>
            <w:vAlign w:val="center"/>
          </w:tcPr>
          <w:p>
            <w:pPr>
              <w:spacing w:after="0"/>
            </w:pPr>
            <w:r>
              <w:rPr>
                <w:sz w:val="15"/>
              </w:rPr>
              <w:t>Strongest advanced-economy tech cycle</w:t>
            </w:r>
          </w:p>
        </w:tc>
        <w:tc>
          <w:tcPr>
            <w:tcW w:type="dxa" w:w="2520"/>
            <w:shd w:fill="F6F7F8"/>
            <w:vAlign w:val="center"/>
          </w:tcPr>
          <w:p>
            <w:pPr>
              <w:spacing w:after="0"/>
            </w:pPr>
            <w:r>
              <w:rPr>
                <w:sz w:val="15"/>
              </w:rPr>
              <w:t>AI, power, defense, industrial reshoring</w:t>
            </w:r>
          </w:p>
        </w:tc>
        <w:tc>
          <w:tcPr>
            <w:tcW w:type="dxa" w:w="2520"/>
            <w:shd w:fill="F6F7F8"/>
            <w:vAlign w:val="center"/>
          </w:tcPr>
          <w:p>
            <w:pPr>
              <w:spacing w:after="0"/>
            </w:pPr>
            <w:r>
              <w:rPr>
                <w:sz w:val="15"/>
              </w:rPr>
              <w:t>Debt, labor scarcity, grid bottlenecks</w:t>
            </w:r>
          </w:p>
        </w:tc>
      </w:tr>
      <w:tr>
        <w:tc>
          <w:tcPr>
            <w:tcW w:type="dxa" w:w="2520"/>
            <w:vAlign w:val="center"/>
          </w:tcPr>
          <w:p>
            <w:pPr>
              <w:spacing w:after="0"/>
            </w:pPr>
            <w:r>
              <w:rPr>
                <w:sz w:val="15"/>
              </w:rPr>
              <w:t>Eurozone</w:t>
            </w:r>
          </w:p>
        </w:tc>
        <w:tc>
          <w:tcPr>
            <w:tcW w:type="dxa" w:w="2520"/>
            <w:vAlign w:val="center"/>
          </w:tcPr>
          <w:p>
            <w:pPr>
              <w:spacing w:after="0"/>
            </w:pPr>
            <w:r>
              <w:rPr>
                <w:sz w:val="15"/>
              </w:rPr>
              <w:t>Slow but improving industrial cycle</w:t>
            </w:r>
          </w:p>
        </w:tc>
        <w:tc>
          <w:tcPr>
            <w:tcW w:type="dxa" w:w="2520"/>
            <w:vAlign w:val="center"/>
          </w:tcPr>
          <w:p>
            <w:pPr>
              <w:spacing w:after="0"/>
            </w:pPr>
            <w:r>
              <w:rPr>
                <w:sz w:val="15"/>
              </w:rPr>
              <w:t>Automation, defense, grid, semis</w:t>
            </w:r>
          </w:p>
        </w:tc>
        <w:tc>
          <w:tcPr>
            <w:tcW w:type="dxa" w:w="2520"/>
            <w:vAlign w:val="center"/>
          </w:tcPr>
          <w:p>
            <w:pPr>
              <w:spacing w:after="0"/>
            </w:pPr>
            <w:r>
              <w:rPr>
                <w:sz w:val="15"/>
              </w:rPr>
              <w:t>Demographics, fragmented capital markets</w:t>
            </w:r>
          </w:p>
        </w:tc>
      </w:tr>
      <w:tr>
        <w:tc>
          <w:tcPr>
            <w:tcW w:type="dxa" w:w="2520"/>
            <w:shd w:fill="F6F7F8"/>
            <w:vAlign w:val="center"/>
          </w:tcPr>
          <w:p>
            <w:pPr>
              <w:spacing w:after="0"/>
            </w:pPr>
            <w:r>
              <w:rPr>
                <w:sz w:val="15"/>
              </w:rPr>
              <w:t>China</w:t>
            </w:r>
          </w:p>
        </w:tc>
        <w:tc>
          <w:tcPr>
            <w:tcW w:type="dxa" w:w="2520"/>
            <w:shd w:fill="F6F7F8"/>
            <w:vAlign w:val="center"/>
          </w:tcPr>
          <w:p>
            <w:pPr>
              <w:spacing w:after="0"/>
            </w:pPr>
            <w:r>
              <w:rPr>
                <w:sz w:val="15"/>
              </w:rPr>
              <w:t>Slowing but highly industrial</w:t>
            </w:r>
          </w:p>
        </w:tc>
        <w:tc>
          <w:tcPr>
            <w:tcW w:type="dxa" w:w="2520"/>
            <w:shd w:fill="F6F7F8"/>
            <w:vAlign w:val="center"/>
          </w:tcPr>
          <w:p>
            <w:pPr>
              <w:spacing w:after="0"/>
            </w:pPr>
            <w:r>
              <w:rPr>
                <w:sz w:val="15"/>
              </w:rPr>
              <w:t>Manufacturing, semis, EV, AI</w:t>
            </w:r>
          </w:p>
        </w:tc>
        <w:tc>
          <w:tcPr>
            <w:tcW w:type="dxa" w:w="2520"/>
            <w:shd w:fill="F6F7F8"/>
            <w:vAlign w:val="center"/>
          </w:tcPr>
          <w:p>
            <w:pPr>
              <w:spacing w:after="0"/>
            </w:pPr>
            <w:r>
              <w:rPr>
                <w:sz w:val="15"/>
              </w:rPr>
              <w:t>Property, demographics, trade restrictions</w:t>
            </w:r>
          </w:p>
        </w:tc>
      </w:tr>
      <w:tr>
        <w:tc>
          <w:tcPr>
            <w:tcW w:type="dxa" w:w="2520"/>
            <w:vAlign w:val="center"/>
          </w:tcPr>
          <w:p>
            <w:pPr>
              <w:spacing w:after="0"/>
            </w:pPr>
            <w:r>
              <w:rPr>
                <w:sz w:val="15"/>
              </w:rPr>
              <w:t>India</w:t>
            </w:r>
          </w:p>
        </w:tc>
        <w:tc>
          <w:tcPr>
            <w:tcW w:type="dxa" w:w="2520"/>
            <w:vAlign w:val="center"/>
          </w:tcPr>
          <w:p>
            <w:pPr>
              <w:spacing w:after="0"/>
            </w:pPr>
            <w:r>
              <w:rPr>
                <w:sz w:val="15"/>
              </w:rPr>
              <w:t>Fastest major economy</w:t>
            </w:r>
          </w:p>
        </w:tc>
        <w:tc>
          <w:tcPr>
            <w:tcW w:type="dxa" w:w="2520"/>
            <w:vAlign w:val="center"/>
          </w:tcPr>
          <w:p>
            <w:pPr>
              <w:spacing w:after="0"/>
            </w:pPr>
            <w:r>
              <w:rPr>
                <w:sz w:val="15"/>
              </w:rPr>
              <w:t>Services + manufacturing + digital infra</w:t>
            </w:r>
          </w:p>
        </w:tc>
        <w:tc>
          <w:tcPr>
            <w:tcW w:type="dxa" w:w="2520"/>
            <w:vAlign w:val="center"/>
          </w:tcPr>
          <w:p>
            <w:pPr>
              <w:spacing w:after="0"/>
            </w:pPr>
            <w:r>
              <w:rPr>
                <w:sz w:val="15"/>
              </w:rPr>
              <w:t>Infrastructure, skills, power</w:t>
            </w:r>
          </w:p>
        </w:tc>
      </w:tr>
      <w:tr>
        <w:tc>
          <w:tcPr>
            <w:tcW w:type="dxa" w:w="2520"/>
            <w:shd w:fill="F6F7F8"/>
            <w:vAlign w:val="center"/>
          </w:tcPr>
          <w:p>
            <w:pPr>
              <w:spacing w:after="0"/>
            </w:pPr>
            <w:r>
              <w:rPr>
                <w:sz w:val="15"/>
              </w:rPr>
              <w:t>Japan</w:t>
            </w:r>
          </w:p>
        </w:tc>
        <w:tc>
          <w:tcPr>
            <w:tcW w:type="dxa" w:w="2520"/>
            <w:shd w:fill="F6F7F8"/>
            <w:vAlign w:val="center"/>
          </w:tcPr>
          <w:p>
            <w:pPr>
              <w:spacing w:after="0"/>
            </w:pPr>
            <w:r>
              <w:rPr>
                <w:sz w:val="15"/>
              </w:rPr>
              <w:t>Slow growth / high-tech industry</w:t>
            </w:r>
          </w:p>
        </w:tc>
        <w:tc>
          <w:tcPr>
            <w:tcW w:type="dxa" w:w="2520"/>
            <w:shd w:fill="F6F7F8"/>
            <w:vAlign w:val="center"/>
          </w:tcPr>
          <w:p>
            <w:pPr>
              <w:spacing w:after="0"/>
            </w:pPr>
            <w:r>
              <w:rPr>
                <w:sz w:val="15"/>
              </w:rPr>
              <w:t>Robotics, semis, precision manufacturing</w:t>
            </w:r>
          </w:p>
        </w:tc>
        <w:tc>
          <w:tcPr>
            <w:tcW w:type="dxa" w:w="2520"/>
            <w:shd w:fill="F6F7F8"/>
            <w:vAlign w:val="center"/>
          </w:tcPr>
          <w:p>
            <w:pPr>
              <w:spacing w:after="0"/>
            </w:pPr>
            <w:r>
              <w:rPr>
                <w:sz w:val="15"/>
              </w:rPr>
              <w:t>Demographics, debt</w:t>
            </w:r>
          </w:p>
        </w:tc>
      </w:tr>
      <w:tr>
        <w:tc>
          <w:tcPr>
            <w:tcW w:type="dxa" w:w="2520"/>
            <w:vAlign w:val="center"/>
          </w:tcPr>
          <w:p>
            <w:pPr>
              <w:spacing w:after="0"/>
            </w:pPr>
            <w:r>
              <w:rPr>
                <w:sz w:val="15"/>
              </w:rPr>
              <w:t>ASEAN</w:t>
            </w:r>
          </w:p>
        </w:tc>
        <w:tc>
          <w:tcPr>
            <w:tcW w:type="dxa" w:w="2520"/>
            <w:vAlign w:val="center"/>
          </w:tcPr>
          <w:p>
            <w:pPr>
              <w:spacing w:after="0"/>
            </w:pPr>
            <w:r>
              <w:rPr>
                <w:sz w:val="15"/>
              </w:rPr>
              <w:t>Strong supply-chain beneficiary</w:t>
            </w:r>
          </w:p>
        </w:tc>
        <w:tc>
          <w:tcPr>
            <w:tcW w:type="dxa" w:w="2520"/>
            <w:vAlign w:val="center"/>
          </w:tcPr>
          <w:p>
            <w:pPr>
              <w:spacing w:after="0"/>
            </w:pPr>
            <w:r>
              <w:rPr>
                <w:sz w:val="15"/>
              </w:rPr>
              <w:t>Diversification, electronics, manufacturing</w:t>
            </w:r>
          </w:p>
        </w:tc>
        <w:tc>
          <w:tcPr>
            <w:tcW w:type="dxa" w:w="2520"/>
            <w:vAlign w:val="center"/>
          </w:tcPr>
          <w:p>
            <w:pPr>
              <w:spacing w:after="0"/>
            </w:pPr>
            <w:r>
              <w:rPr>
                <w:sz w:val="15"/>
              </w:rPr>
              <w:t>Infrastructure and skills</w:t>
            </w:r>
          </w:p>
        </w:tc>
      </w:tr>
      <w:tr>
        <w:tc>
          <w:tcPr>
            <w:tcW w:type="dxa" w:w="2520"/>
            <w:shd w:fill="F6F7F8"/>
            <w:vAlign w:val="center"/>
          </w:tcPr>
          <w:p>
            <w:pPr>
              <w:spacing w:after="0"/>
            </w:pPr>
            <w:r>
              <w:rPr>
                <w:sz w:val="15"/>
              </w:rPr>
              <w:t>Middle East</w:t>
            </w:r>
          </w:p>
        </w:tc>
        <w:tc>
          <w:tcPr>
            <w:tcW w:type="dxa" w:w="2520"/>
            <w:shd w:fill="F6F7F8"/>
            <w:vAlign w:val="center"/>
          </w:tcPr>
          <w:p>
            <w:pPr>
              <w:spacing w:after="0"/>
            </w:pPr>
            <w:r>
              <w:rPr>
                <w:sz w:val="15"/>
              </w:rPr>
              <w:t>Capital-rich strategic investor</w:t>
            </w:r>
          </w:p>
        </w:tc>
        <w:tc>
          <w:tcPr>
            <w:tcW w:type="dxa" w:w="2520"/>
            <w:shd w:fill="F6F7F8"/>
            <w:vAlign w:val="center"/>
          </w:tcPr>
          <w:p>
            <w:pPr>
              <w:spacing w:after="0"/>
            </w:pPr>
            <w:r>
              <w:rPr>
                <w:sz w:val="15"/>
              </w:rPr>
              <w:t>Energy, logistics, data centers</w:t>
            </w:r>
          </w:p>
        </w:tc>
        <w:tc>
          <w:tcPr>
            <w:tcW w:type="dxa" w:w="2520"/>
            <w:shd w:fill="F6F7F8"/>
            <w:vAlign w:val="center"/>
          </w:tcPr>
          <w:p>
            <w:pPr>
              <w:spacing w:after="0"/>
            </w:pPr>
            <w:r>
              <w:rPr>
                <w:sz w:val="15"/>
              </w:rPr>
              <w:t>Security / conflict risk</w:t>
            </w:r>
          </w:p>
        </w:tc>
      </w:tr>
      <w:tr>
        <w:tc>
          <w:tcPr>
            <w:tcW w:type="dxa" w:w="2520"/>
            <w:vAlign w:val="center"/>
          </w:tcPr>
          <w:p>
            <w:pPr>
              <w:spacing w:after="0"/>
            </w:pPr>
            <w:r>
              <w:rPr>
                <w:sz w:val="15"/>
              </w:rPr>
              <w:t>Africa</w:t>
            </w:r>
          </w:p>
        </w:tc>
        <w:tc>
          <w:tcPr>
            <w:tcW w:type="dxa" w:w="2520"/>
            <w:vAlign w:val="center"/>
          </w:tcPr>
          <w:p>
            <w:pPr>
              <w:spacing w:after="0"/>
            </w:pPr>
            <w:r>
              <w:rPr>
                <w:sz w:val="15"/>
              </w:rPr>
              <w:t>High growth but uneven</w:t>
            </w:r>
          </w:p>
        </w:tc>
        <w:tc>
          <w:tcPr>
            <w:tcW w:type="dxa" w:w="2520"/>
            <w:vAlign w:val="center"/>
          </w:tcPr>
          <w:p>
            <w:pPr>
              <w:spacing w:after="0"/>
            </w:pPr>
            <w:r>
              <w:rPr>
                <w:sz w:val="15"/>
              </w:rPr>
              <w:t>Urbanization, mobile, power, minerals</w:t>
            </w:r>
          </w:p>
        </w:tc>
        <w:tc>
          <w:tcPr>
            <w:tcW w:type="dxa" w:w="2520"/>
            <w:vAlign w:val="center"/>
          </w:tcPr>
          <w:p>
            <w:pPr>
              <w:spacing w:after="0"/>
            </w:pPr>
            <w:r>
              <w:rPr>
                <w:sz w:val="15"/>
              </w:rPr>
              <w:t>Capital access, infrastructure</w:t>
            </w:r>
          </w:p>
        </w:tc>
      </w:tr>
    </w:tbl>
    <w:p>
      <w:pPr>
        <w:spacing w:after="40"/>
      </w:pPr>
    </w:p>
    <w:p>
      <w:pPr>
        <w:pStyle w:val="Heading1"/>
      </w:pPr>
      <w:r>
        <w:t>4. Geopolitics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52A30"/>
            <w:vAlign w:val="center"/>
          </w:tcPr>
          <w:p>
            <w:r>
              <w:rPr>
                <w:b/>
                <w:color w:val="FFFFFF"/>
                <w:sz w:val="15"/>
              </w:rPr>
              <w:t>Theme</w:t>
            </w:r>
          </w:p>
        </w:tc>
        <w:tc>
          <w:tcPr>
            <w:tcW w:type="dxa" w:w="3360"/>
            <w:shd w:fill="252A30"/>
            <w:vAlign w:val="center"/>
          </w:tcPr>
          <w:p>
            <w:r>
              <w:rPr>
                <w:b/>
                <w:color w:val="FFFFFF"/>
                <w:sz w:val="15"/>
              </w:rPr>
              <w:t>2030 simulated state</w:t>
            </w:r>
          </w:p>
        </w:tc>
        <w:tc>
          <w:tcPr>
            <w:tcW w:type="dxa" w:w="3360"/>
            <w:shd w:fill="252A30"/>
            <w:vAlign w:val="center"/>
          </w:tcPr>
          <w:p>
            <w:r>
              <w:rPr>
                <w:b/>
                <w:color w:val="FFFFFF"/>
                <w:sz w:val="15"/>
              </w:rPr>
              <w:t>Economic effect</w:t>
            </w:r>
          </w:p>
        </w:tc>
      </w:tr>
      <w:tr>
        <w:tc>
          <w:tcPr>
            <w:tcW w:type="dxa" w:w="3360"/>
            <w:shd w:fill="F6F7F8"/>
            <w:vAlign w:val="center"/>
          </w:tcPr>
          <w:p>
            <w:pPr>
              <w:spacing w:after="0"/>
            </w:pPr>
            <w:r>
              <w:rPr>
                <w:sz w:val="15"/>
              </w:rPr>
              <w:t>US–China technology</w:t>
            </w:r>
          </w:p>
        </w:tc>
        <w:tc>
          <w:tcPr>
            <w:tcW w:type="dxa" w:w="3360"/>
            <w:shd w:fill="F6F7F8"/>
            <w:vAlign w:val="center"/>
          </w:tcPr>
          <w:p>
            <w:pPr>
              <w:spacing w:after="0"/>
            </w:pPr>
            <w:r>
              <w:rPr>
                <w:sz w:val="15"/>
              </w:rPr>
              <w:t>Strategic competition persists; selected controls rather than total decoupling</w:t>
            </w:r>
          </w:p>
        </w:tc>
        <w:tc>
          <w:tcPr>
            <w:tcW w:type="dxa" w:w="3360"/>
            <w:shd w:fill="F6F7F8"/>
            <w:vAlign w:val="center"/>
          </w:tcPr>
          <w:p>
            <w:pPr>
              <w:spacing w:after="0"/>
            </w:pPr>
            <w:r>
              <w:rPr>
                <w:sz w:val="15"/>
              </w:rPr>
              <w:t>Semiconductor duplication and higher capex</w:t>
            </w:r>
          </w:p>
        </w:tc>
      </w:tr>
      <w:tr>
        <w:tc>
          <w:tcPr>
            <w:tcW w:type="dxa" w:w="3360"/>
            <w:vAlign w:val="center"/>
          </w:tcPr>
          <w:p>
            <w:pPr>
              <w:spacing w:after="0"/>
            </w:pPr>
            <w:r>
              <w:rPr>
                <w:sz w:val="15"/>
              </w:rPr>
              <w:t>Taiwan</w:t>
            </w:r>
          </w:p>
        </w:tc>
        <w:tc>
          <w:tcPr>
            <w:tcW w:type="dxa" w:w="3360"/>
            <w:vAlign w:val="center"/>
          </w:tcPr>
          <w:p>
            <w:pPr>
              <w:spacing w:after="0"/>
            </w:pPr>
            <w:r>
              <w:rPr>
                <w:sz w:val="15"/>
              </w:rPr>
              <w:t>No full conflict; repeated shipping/security episodes</w:t>
            </w:r>
          </w:p>
        </w:tc>
        <w:tc>
          <w:tcPr>
            <w:tcW w:type="dxa" w:w="3360"/>
            <w:vAlign w:val="center"/>
          </w:tcPr>
          <w:p>
            <w:pPr>
              <w:spacing w:after="0"/>
            </w:pPr>
            <w:r>
              <w:rPr>
                <w:sz w:val="15"/>
              </w:rPr>
              <w:t>Insurance and supply-chain premiums</w:t>
            </w:r>
          </w:p>
        </w:tc>
      </w:tr>
      <w:tr>
        <w:tc>
          <w:tcPr>
            <w:tcW w:type="dxa" w:w="3360"/>
            <w:shd w:fill="F6F7F8"/>
            <w:vAlign w:val="center"/>
          </w:tcPr>
          <w:p>
            <w:pPr>
              <w:spacing w:after="0"/>
            </w:pPr>
            <w:r>
              <w:rPr>
                <w:sz w:val="15"/>
              </w:rPr>
              <w:t>Ukraine</w:t>
            </w:r>
          </w:p>
        </w:tc>
        <w:tc>
          <w:tcPr>
            <w:tcW w:type="dxa" w:w="3360"/>
            <w:shd w:fill="F6F7F8"/>
            <w:vAlign w:val="center"/>
          </w:tcPr>
          <w:p>
            <w:pPr>
              <w:spacing w:after="0"/>
            </w:pPr>
            <w:r>
              <w:rPr>
                <w:sz w:val="15"/>
              </w:rPr>
              <w:t>Conflict remains unresolved but contained; European defense spending stays high</w:t>
            </w:r>
          </w:p>
        </w:tc>
        <w:tc>
          <w:tcPr>
            <w:tcW w:type="dxa" w:w="3360"/>
            <w:shd w:fill="F6F7F8"/>
            <w:vAlign w:val="center"/>
          </w:tcPr>
          <w:p>
            <w:pPr>
              <w:spacing w:after="0"/>
            </w:pPr>
            <w:r>
              <w:rPr>
                <w:sz w:val="15"/>
              </w:rPr>
              <w:t>Defense and energy capex</w:t>
            </w:r>
          </w:p>
        </w:tc>
      </w:tr>
      <w:tr>
        <w:tc>
          <w:tcPr>
            <w:tcW w:type="dxa" w:w="3360"/>
            <w:vAlign w:val="center"/>
          </w:tcPr>
          <w:p>
            <w:pPr>
              <w:spacing w:after="0"/>
            </w:pPr>
            <w:r>
              <w:rPr>
                <w:sz w:val="15"/>
              </w:rPr>
              <w:t>Middle East</w:t>
            </w:r>
          </w:p>
        </w:tc>
        <w:tc>
          <w:tcPr>
            <w:tcW w:type="dxa" w:w="3360"/>
            <w:vAlign w:val="center"/>
          </w:tcPr>
          <w:p>
            <w:pPr>
              <w:spacing w:after="0"/>
            </w:pPr>
            <w:r>
              <w:rPr>
                <w:sz w:val="15"/>
              </w:rPr>
              <w:t>Security architecture reduces peak energy shock but risk remains</w:t>
            </w:r>
          </w:p>
        </w:tc>
        <w:tc>
          <w:tcPr>
            <w:tcW w:type="dxa" w:w="3360"/>
            <w:vAlign w:val="center"/>
          </w:tcPr>
          <w:p>
            <w:pPr>
              <w:spacing w:after="0"/>
            </w:pPr>
            <w:r>
              <w:rPr>
                <w:sz w:val="15"/>
              </w:rPr>
              <w:t>Energy risk premium lower than 2026 peak</w:t>
            </w:r>
          </w:p>
        </w:tc>
      </w:tr>
      <w:tr>
        <w:tc>
          <w:tcPr>
            <w:tcW w:type="dxa" w:w="3360"/>
            <w:shd w:fill="F6F7F8"/>
            <w:vAlign w:val="center"/>
          </w:tcPr>
          <w:p>
            <w:pPr>
              <w:spacing w:after="0"/>
            </w:pPr>
            <w:r>
              <w:rPr>
                <w:sz w:val="15"/>
              </w:rPr>
              <w:t>EU strategic autonomy</w:t>
            </w:r>
          </w:p>
        </w:tc>
        <w:tc>
          <w:tcPr>
            <w:tcW w:type="dxa" w:w="3360"/>
            <w:shd w:fill="F6F7F8"/>
            <w:vAlign w:val="center"/>
          </w:tcPr>
          <w:p>
            <w:pPr>
              <w:spacing w:after="0"/>
            </w:pPr>
            <w:r>
              <w:rPr>
                <w:sz w:val="15"/>
              </w:rPr>
              <w:t>More semiconductor, defense, grid and robotics support</w:t>
            </w:r>
          </w:p>
        </w:tc>
        <w:tc>
          <w:tcPr>
            <w:tcW w:type="dxa" w:w="3360"/>
            <w:shd w:fill="F6F7F8"/>
            <w:vAlign w:val="center"/>
          </w:tcPr>
          <w:p>
            <w:pPr>
              <w:spacing w:after="0"/>
            </w:pPr>
            <w:r>
              <w:rPr>
                <w:sz w:val="15"/>
              </w:rPr>
              <w:t>Positive for industrial automation</w:t>
            </w:r>
          </w:p>
        </w:tc>
      </w:tr>
      <w:tr>
        <w:tc>
          <w:tcPr>
            <w:tcW w:type="dxa" w:w="3360"/>
            <w:vAlign w:val="center"/>
          </w:tcPr>
          <w:p>
            <w:pPr>
              <w:spacing w:after="0"/>
            </w:pPr>
            <w:r>
              <w:rPr>
                <w:sz w:val="15"/>
              </w:rPr>
              <w:t>Critical minerals</w:t>
            </w:r>
          </w:p>
        </w:tc>
        <w:tc>
          <w:tcPr>
            <w:tcW w:type="dxa" w:w="3360"/>
            <w:vAlign w:val="center"/>
          </w:tcPr>
          <w:p>
            <w:pPr>
              <w:spacing w:after="0"/>
            </w:pPr>
            <w:r>
              <w:rPr>
                <w:sz w:val="15"/>
              </w:rPr>
              <w:t>Diversification accelerates</w:t>
            </w:r>
          </w:p>
        </w:tc>
        <w:tc>
          <w:tcPr>
            <w:tcW w:type="dxa" w:w="3360"/>
            <w:vAlign w:val="center"/>
          </w:tcPr>
          <w:p>
            <w:pPr>
              <w:spacing w:after="0"/>
            </w:pPr>
            <w:r>
              <w:rPr>
                <w:sz w:val="15"/>
              </w:rPr>
              <w:t>Higher inventory and financing requirements</w:t>
            </w:r>
          </w:p>
        </w:tc>
      </w:tr>
      <w:tr>
        <w:tc>
          <w:tcPr>
            <w:tcW w:type="dxa" w:w="3360"/>
            <w:shd w:fill="F6F7F8"/>
            <w:vAlign w:val="center"/>
          </w:tcPr>
          <w:p>
            <w:pPr>
              <w:spacing w:after="0"/>
            </w:pPr>
            <w:r>
              <w:rPr>
                <w:sz w:val="15"/>
              </w:rPr>
              <w:t>Trade</w:t>
            </w:r>
          </w:p>
        </w:tc>
        <w:tc>
          <w:tcPr>
            <w:tcW w:type="dxa" w:w="3360"/>
            <w:shd w:fill="F6F7F8"/>
            <w:vAlign w:val="center"/>
          </w:tcPr>
          <w:p>
            <w:pPr>
              <w:spacing w:after="0"/>
            </w:pPr>
            <w:r>
              <w:rPr>
                <w:sz w:val="15"/>
              </w:rPr>
              <w:t>Fragmented but still global</w:t>
            </w:r>
          </w:p>
        </w:tc>
        <w:tc>
          <w:tcPr>
            <w:tcW w:type="dxa" w:w="3360"/>
            <w:shd w:fill="F6F7F8"/>
            <w:vAlign w:val="center"/>
          </w:tcPr>
          <w:p>
            <w:pPr>
              <w:spacing w:after="0"/>
            </w:pPr>
            <w:r>
              <w:rPr>
                <w:sz w:val="15"/>
              </w:rPr>
              <w:t>Cross-border investment remains viable</w:t>
            </w:r>
          </w:p>
        </w:tc>
      </w:tr>
    </w:tbl>
    <w:p>
      <w:pPr>
        <w:spacing w:after="40"/>
      </w:pPr>
    </w:p>
    <w:p>
      <w:pPr>
        <w:pStyle w:val="Heading1"/>
      </w:pPr>
      <w:r>
        <w:t>5. AI / compute</w:t>
      </w:r>
    </w:p>
    <w:p>
      <w:pPr>
        <w:spacing w:after="80" w:line="252" w:lineRule="auto"/>
      </w:pPr>
      <w:r>
        <w:t>By 2030, frontier AI systems are materially better than the 2026 generation. Multimodal reasoning, coding agents, tool use and long-context workflows are ubiquitous. However, the simulation deliberately does not equate improved model capability with reliable physical autonomy. The largest constraints are inference cost, energy, latency, data rights, evaluation, safety and deployment integration.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52A30"/>
            <w:vAlign w:val="center"/>
          </w:tcPr>
          <w:p>
            <w:r>
              <w:rPr>
                <w:b/>
                <w:color w:val="FFFFFF"/>
                <w:sz w:val="15"/>
              </w:rPr>
              <w:t>Layer</w:t>
            </w:r>
          </w:p>
        </w:tc>
        <w:tc>
          <w:tcPr>
            <w:tcW w:type="dxa" w:w="3360"/>
            <w:shd w:fill="252A30"/>
            <w:vAlign w:val="center"/>
          </w:tcPr>
          <w:p>
            <w:r>
              <w:rPr>
                <w:b/>
                <w:color w:val="FFFFFF"/>
                <w:sz w:val="15"/>
              </w:rPr>
              <w:t>2030 state</w:t>
            </w:r>
          </w:p>
        </w:tc>
        <w:tc>
          <w:tcPr>
            <w:tcW w:type="dxa" w:w="3360"/>
            <w:shd w:fill="252A30"/>
            <w:vAlign w:val="center"/>
          </w:tcPr>
          <w:p>
            <w:r>
              <w:rPr>
                <w:b/>
                <w:color w:val="FFFFFF"/>
                <w:sz w:val="15"/>
              </w:rPr>
              <w:t>Implication</w:t>
            </w:r>
          </w:p>
        </w:tc>
      </w:tr>
      <w:tr>
        <w:tc>
          <w:tcPr>
            <w:tcW w:type="dxa" w:w="3360"/>
            <w:shd w:fill="F6F7F8"/>
            <w:vAlign w:val="center"/>
          </w:tcPr>
          <w:p>
            <w:pPr>
              <w:spacing w:after="0"/>
            </w:pPr>
            <w:r>
              <w:rPr>
                <w:sz w:val="15"/>
              </w:rPr>
              <w:t>Foundation models</w:t>
            </w:r>
          </w:p>
        </w:tc>
        <w:tc>
          <w:tcPr>
            <w:tcW w:type="dxa" w:w="3360"/>
            <w:shd w:fill="F6F7F8"/>
            <w:vAlign w:val="center"/>
          </w:tcPr>
          <w:p>
            <w:pPr>
              <w:spacing w:after="0"/>
            </w:pPr>
            <w:r>
              <w:rPr>
                <w:sz w:val="15"/>
              </w:rPr>
              <w:t>Multiple frontier families; multi-model routing common</w:t>
            </w:r>
          </w:p>
        </w:tc>
        <w:tc>
          <w:tcPr>
            <w:tcW w:type="dxa" w:w="3360"/>
            <w:shd w:fill="F6F7F8"/>
            <w:vAlign w:val="center"/>
          </w:tcPr>
          <w:p>
            <w:pPr>
              <w:spacing w:after="0"/>
            </w:pPr>
            <w:r>
              <w:rPr>
                <w:sz w:val="15"/>
              </w:rPr>
              <w:t>Applications can switch models</w:t>
            </w:r>
          </w:p>
        </w:tc>
      </w:tr>
      <w:tr>
        <w:tc>
          <w:tcPr>
            <w:tcW w:type="dxa" w:w="3360"/>
            <w:vAlign w:val="center"/>
          </w:tcPr>
          <w:p>
            <w:pPr>
              <w:spacing w:after="0"/>
            </w:pPr>
            <w:r>
              <w:rPr>
                <w:sz w:val="15"/>
              </w:rPr>
              <w:t>Agents</w:t>
            </w:r>
          </w:p>
        </w:tc>
        <w:tc>
          <w:tcPr>
            <w:tcW w:type="dxa" w:w="3360"/>
            <w:vAlign w:val="center"/>
          </w:tcPr>
          <w:p>
            <w:pPr>
              <w:spacing w:after="0"/>
            </w:pPr>
            <w:r>
              <w:rPr>
                <w:sz w:val="15"/>
              </w:rPr>
              <w:t>Enterprise agents manage bounded workflows</w:t>
            </w:r>
          </w:p>
        </w:tc>
        <w:tc>
          <w:tcPr>
            <w:tcW w:type="dxa" w:w="3360"/>
            <w:vAlign w:val="center"/>
          </w:tcPr>
          <w:p>
            <w:pPr>
              <w:spacing w:after="0"/>
            </w:pPr>
            <w:r>
              <w:rPr>
                <w:sz w:val="15"/>
              </w:rPr>
              <w:t>Higher automation of knowledge work</w:t>
            </w:r>
          </w:p>
        </w:tc>
      </w:tr>
      <w:tr>
        <w:tc>
          <w:tcPr>
            <w:tcW w:type="dxa" w:w="3360"/>
            <w:shd w:fill="F6F7F8"/>
            <w:vAlign w:val="center"/>
          </w:tcPr>
          <w:p>
            <w:pPr>
              <w:spacing w:after="0"/>
            </w:pPr>
            <w:r>
              <w:rPr>
                <w:sz w:val="15"/>
              </w:rPr>
              <w:t>Inference</w:t>
            </w:r>
          </w:p>
        </w:tc>
        <w:tc>
          <w:tcPr>
            <w:tcW w:type="dxa" w:w="3360"/>
            <w:shd w:fill="F6F7F8"/>
            <w:vAlign w:val="center"/>
          </w:tcPr>
          <w:p>
            <w:pPr>
              <w:spacing w:after="0"/>
            </w:pPr>
            <w:r>
              <w:rPr>
                <w:sz w:val="15"/>
              </w:rPr>
              <w:t>Large share of AI spend shifts to inference</w:t>
            </w:r>
          </w:p>
        </w:tc>
        <w:tc>
          <w:tcPr>
            <w:tcW w:type="dxa" w:w="3360"/>
            <w:shd w:fill="F6F7F8"/>
            <w:vAlign w:val="center"/>
          </w:tcPr>
          <w:p>
            <w:pPr>
              <w:spacing w:after="0"/>
            </w:pPr>
            <w:r>
              <w:rPr>
                <w:sz w:val="15"/>
              </w:rPr>
              <w:t>Efficiency becomes a competitive moat</w:t>
            </w:r>
          </w:p>
        </w:tc>
      </w:tr>
      <w:tr>
        <w:tc>
          <w:tcPr>
            <w:tcW w:type="dxa" w:w="3360"/>
            <w:vAlign w:val="center"/>
          </w:tcPr>
          <w:p>
            <w:pPr>
              <w:spacing w:after="0"/>
            </w:pPr>
            <w:r>
              <w:rPr>
                <w:sz w:val="15"/>
              </w:rPr>
              <w:t>Data centers</w:t>
            </w:r>
          </w:p>
        </w:tc>
        <w:tc>
          <w:tcPr>
            <w:tcW w:type="dxa" w:w="3360"/>
            <w:vAlign w:val="center"/>
          </w:tcPr>
          <w:p>
            <w:pPr>
              <w:spacing w:after="0"/>
            </w:pPr>
            <w:r>
              <w:rPr>
                <w:sz w:val="15"/>
              </w:rPr>
              <w:t>Power and grid access are major strategic constraints</w:t>
            </w:r>
          </w:p>
        </w:tc>
        <w:tc>
          <w:tcPr>
            <w:tcW w:type="dxa" w:w="3360"/>
            <w:vAlign w:val="center"/>
          </w:tcPr>
          <w:p>
            <w:pPr>
              <w:spacing w:after="0"/>
            </w:pPr>
            <w:r>
              <w:rPr>
                <w:sz w:val="15"/>
              </w:rPr>
              <w:t>Electricity becomes an AI input</w:t>
            </w:r>
          </w:p>
        </w:tc>
      </w:tr>
      <w:tr>
        <w:tc>
          <w:tcPr>
            <w:tcW w:type="dxa" w:w="3360"/>
            <w:shd w:fill="F6F7F8"/>
            <w:vAlign w:val="center"/>
          </w:tcPr>
          <w:p>
            <w:pPr>
              <w:spacing w:after="0"/>
            </w:pPr>
            <w:r>
              <w:rPr>
                <w:sz w:val="15"/>
              </w:rPr>
              <w:t>AI safety / assurance</w:t>
            </w:r>
          </w:p>
        </w:tc>
        <w:tc>
          <w:tcPr>
            <w:tcW w:type="dxa" w:w="3360"/>
            <w:shd w:fill="F6F7F8"/>
            <w:vAlign w:val="center"/>
          </w:tcPr>
          <w:p>
            <w:pPr>
              <w:spacing w:after="0"/>
            </w:pPr>
            <w:r>
              <w:rPr>
                <w:sz w:val="15"/>
              </w:rPr>
              <w:t>Enterprise buyers require provenance and audit trails</w:t>
            </w:r>
          </w:p>
        </w:tc>
        <w:tc>
          <w:tcPr>
            <w:tcW w:type="dxa" w:w="3360"/>
            <w:shd w:fill="F6F7F8"/>
            <w:vAlign w:val="center"/>
          </w:tcPr>
          <w:p>
            <w:pPr>
              <w:spacing w:after="0"/>
            </w:pPr>
            <w:r>
              <w:rPr>
                <w:sz w:val="15"/>
              </w:rPr>
              <w:t>RAS Assurance Layer gains value</w:t>
            </w:r>
          </w:p>
        </w:tc>
      </w:tr>
    </w:tbl>
    <w:p>
      <w:pPr>
        <w:spacing w:after="40"/>
      </w:pPr>
    </w:p>
    <w:p>
      <w:pPr>
        <w:pStyle w:val="Heading1"/>
      </w:pPr>
      <w:r>
        <w:t>6. Robotics / Physical AI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52A30"/>
            <w:vAlign w:val="center"/>
          </w:tcPr>
          <w:p>
            <w:r>
              <w:rPr>
                <w:b/>
                <w:color w:val="FFFFFF"/>
                <w:sz w:val="15"/>
              </w:rPr>
              <w:t>Category</w:t>
            </w:r>
          </w:p>
        </w:tc>
        <w:tc>
          <w:tcPr>
            <w:tcW w:type="dxa" w:w="3360"/>
            <w:shd w:fill="252A30"/>
            <w:vAlign w:val="center"/>
          </w:tcPr>
          <w:p>
            <w:r>
              <w:rPr>
                <w:b/>
                <w:color w:val="FFFFFF"/>
                <w:sz w:val="15"/>
              </w:rPr>
              <w:t>2030 maturity</w:t>
            </w:r>
          </w:p>
        </w:tc>
        <w:tc>
          <w:tcPr>
            <w:tcW w:type="dxa" w:w="3360"/>
            <w:shd w:fill="252A30"/>
            <w:vAlign w:val="center"/>
          </w:tcPr>
          <w:p>
            <w:r>
              <w:rPr>
                <w:b/>
                <w:color w:val="FFFFFF"/>
                <w:sz w:val="15"/>
              </w:rPr>
              <w:t>Realistic boundary</w:t>
            </w:r>
          </w:p>
        </w:tc>
      </w:tr>
      <w:tr>
        <w:tc>
          <w:tcPr>
            <w:tcW w:type="dxa" w:w="3360"/>
            <w:shd w:fill="F6F7F8"/>
            <w:vAlign w:val="center"/>
          </w:tcPr>
          <w:p>
            <w:pPr>
              <w:spacing w:after="0"/>
            </w:pPr>
            <w:r>
              <w:rPr>
                <w:sz w:val="15"/>
              </w:rPr>
              <w:t>Factory manipulation</w:t>
            </w:r>
          </w:p>
        </w:tc>
        <w:tc>
          <w:tcPr>
            <w:tcW w:type="dxa" w:w="3360"/>
            <w:shd w:fill="F6F7F8"/>
            <w:vAlign w:val="center"/>
          </w:tcPr>
          <w:p>
            <w:pPr>
              <w:spacing w:after="0"/>
            </w:pPr>
            <w:r>
              <w:rPr>
                <w:sz w:val="15"/>
              </w:rPr>
              <w:t>High on defined tasks</w:t>
            </w:r>
          </w:p>
        </w:tc>
        <w:tc>
          <w:tcPr>
            <w:tcW w:type="dxa" w:w="3360"/>
            <w:shd w:fill="F6F7F8"/>
            <w:vAlign w:val="center"/>
          </w:tcPr>
          <w:p>
            <w:pPr>
              <w:spacing w:after="0"/>
            </w:pPr>
            <w:r>
              <w:rPr>
                <w:sz w:val="15"/>
              </w:rPr>
              <w:t>Not universal dexterity</w:t>
            </w:r>
          </w:p>
        </w:tc>
      </w:tr>
      <w:tr>
        <w:tc>
          <w:tcPr>
            <w:tcW w:type="dxa" w:w="3360"/>
            <w:vAlign w:val="center"/>
          </w:tcPr>
          <w:p>
            <w:pPr>
              <w:spacing w:after="0"/>
            </w:pPr>
            <w:r>
              <w:rPr>
                <w:sz w:val="15"/>
              </w:rPr>
              <w:t>Mobile manipulation</w:t>
            </w:r>
          </w:p>
        </w:tc>
        <w:tc>
          <w:tcPr>
            <w:tcW w:type="dxa" w:w="3360"/>
            <w:vAlign w:val="center"/>
          </w:tcPr>
          <w:p>
            <w:pPr>
              <w:spacing w:after="0"/>
            </w:pPr>
            <w:r>
              <w:rPr>
                <w:sz w:val="15"/>
              </w:rPr>
              <w:t>Commercial</w:t>
            </w:r>
          </w:p>
        </w:tc>
        <w:tc>
          <w:tcPr>
            <w:tcW w:type="dxa" w:w="3360"/>
            <w:vAlign w:val="center"/>
          </w:tcPr>
          <w:p>
            <w:pPr>
              <w:spacing w:after="0"/>
            </w:pPr>
            <w:r>
              <w:rPr>
                <w:sz w:val="15"/>
              </w:rPr>
              <w:t>Strong site-specific mapping and recovery requirements</w:t>
            </w:r>
          </w:p>
        </w:tc>
      </w:tr>
      <w:tr>
        <w:tc>
          <w:tcPr>
            <w:tcW w:type="dxa" w:w="3360"/>
            <w:shd w:fill="F6F7F8"/>
            <w:vAlign w:val="center"/>
          </w:tcPr>
          <w:p>
            <w:pPr>
              <w:spacing w:after="0"/>
            </w:pPr>
            <w:r>
              <w:rPr>
                <w:sz w:val="15"/>
              </w:rPr>
              <w:t>Humanoids</w:t>
            </w:r>
          </w:p>
        </w:tc>
        <w:tc>
          <w:tcPr>
            <w:tcW w:type="dxa" w:w="3360"/>
            <w:shd w:fill="F6F7F8"/>
            <w:vAlign w:val="center"/>
          </w:tcPr>
          <w:p>
            <w:pPr>
              <w:spacing w:after="0"/>
            </w:pPr>
            <w:r>
              <w:rPr>
                <w:sz w:val="15"/>
              </w:rPr>
              <w:t>Commercial in selected workflows</w:t>
            </w:r>
          </w:p>
        </w:tc>
        <w:tc>
          <w:tcPr>
            <w:tcW w:type="dxa" w:w="3360"/>
            <w:shd w:fill="F6F7F8"/>
            <w:vAlign w:val="center"/>
          </w:tcPr>
          <w:p>
            <w:pPr>
              <w:spacing w:after="0"/>
            </w:pPr>
            <w:r>
              <w:rPr>
                <w:sz w:val="15"/>
              </w:rPr>
              <w:t>Not universal human replacement</w:t>
            </w:r>
          </w:p>
        </w:tc>
      </w:tr>
      <w:tr>
        <w:tc>
          <w:tcPr>
            <w:tcW w:type="dxa" w:w="3360"/>
            <w:vAlign w:val="center"/>
          </w:tcPr>
          <w:p>
            <w:pPr>
              <w:spacing w:after="0"/>
            </w:pPr>
            <w:r>
              <w:rPr>
                <w:sz w:val="15"/>
              </w:rPr>
              <w:t>Warehouse autonomy</w:t>
            </w:r>
          </w:p>
        </w:tc>
        <w:tc>
          <w:tcPr>
            <w:tcW w:type="dxa" w:w="3360"/>
            <w:vAlign w:val="center"/>
          </w:tcPr>
          <w:p>
            <w:pPr>
              <w:spacing w:after="0"/>
            </w:pPr>
            <w:r>
              <w:rPr>
                <w:sz w:val="15"/>
              </w:rPr>
              <w:t>High</w:t>
            </w:r>
          </w:p>
        </w:tc>
        <w:tc>
          <w:tcPr>
            <w:tcW w:type="dxa" w:w="3360"/>
            <w:vAlign w:val="center"/>
          </w:tcPr>
          <w:p>
            <w:pPr>
              <w:spacing w:after="0"/>
            </w:pPr>
            <w:r>
              <w:rPr>
                <w:sz w:val="15"/>
              </w:rPr>
              <w:t>Structured environments dominate</w:t>
            </w:r>
          </w:p>
        </w:tc>
      </w:tr>
      <w:tr>
        <w:tc>
          <w:tcPr>
            <w:tcW w:type="dxa" w:w="3360"/>
            <w:shd w:fill="F6F7F8"/>
            <w:vAlign w:val="center"/>
          </w:tcPr>
          <w:p>
            <w:pPr>
              <w:spacing w:after="0"/>
            </w:pPr>
            <w:r>
              <w:rPr>
                <w:sz w:val="15"/>
              </w:rPr>
              <w:t>Construction robotics</w:t>
            </w:r>
          </w:p>
        </w:tc>
        <w:tc>
          <w:tcPr>
            <w:tcW w:type="dxa" w:w="3360"/>
            <w:shd w:fill="F6F7F8"/>
            <w:vAlign w:val="center"/>
          </w:tcPr>
          <w:p>
            <w:pPr>
              <w:spacing w:after="0"/>
            </w:pPr>
            <w:r>
              <w:rPr>
                <w:sz w:val="15"/>
              </w:rPr>
              <w:t>Early to medium</w:t>
            </w:r>
          </w:p>
        </w:tc>
        <w:tc>
          <w:tcPr>
            <w:tcW w:type="dxa" w:w="3360"/>
            <w:shd w:fill="F6F7F8"/>
            <w:vAlign w:val="center"/>
          </w:tcPr>
          <w:p>
            <w:pPr>
              <w:spacing w:after="0"/>
            </w:pPr>
            <w:r>
              <w:rPr>
                <w:sz w:val="15"/>
              </w:rPr>
              <w:t>Long-tail variability remains difficult</w:t>
            </w:r>
          </w:p>
        </w:tc>
      </w:tr>
      <w:tr>
        <w:tc>
          <w:tcPr>
            <w:tcW w:type="dxa" w:w="3360"/>
            <w:vAlign w:val="center"/>
          </w:tcPr>
          <w:p>
            <w:pPr>
              <w:spacing w:after="0"/>
            </w:pPr>
            <w:r>
              <w:rPr>
                <w:sz w:val="15"/>
              </w:rPr>
              <w:t>Extreme environments</w:t>
            </w:r>
          </w:p>
        </w:tc>
        <w:tc>
          <w:tcPr>
            <w:tcW w:type="dxa" w:w="3360"/>
            <w:vAlign w:val="center"/>
          </w:tcPr>
          <w:p>
            <w:pPr>
              <w:spacing w:after="0"/>
            </w:pPr>
            <w:r>
              <w:rPr>
                <w:sz w:val="15"/>
              </w:rPr>
              <w:t>Early but strategic</w:t>
            </w:r>
          </w:p>
        </w:tc>
        <w:tc>
          <w:tcPr>
            <w:tcW w:type="dxa" w:w="3360"/>
            <w:vAlign w:val="center"/>
          </w:tcPr>
          <w:p>
            <w:pPr>
              <w:spacing w:after="0"/>
            </w:pPr>
            <w:r>
              <w:rPr>
                <w:sz w:val="15"/>
              </w:rPr>
              <w:t>Small number of high-value deployments</w:t>
            </w:r>
          </w:p>
        </w:tc>
      </w:tr>
      <w:tr>
        <w:tc>
          <w:tcPr>
            <w:tcW w:type="dxa" w:w="3360"/>
            <w:shd w:fill="F6F7F8"/>
            <w:vAlign w:val="center"/>
          </w:tcPr>
          <w:p>
            <w:pPr>
              <w:spacing w:after="0"/>
            </w:pPr>
            <w:r>
              <w:rPr>
                <w:sz w:val="15"/>
              </w:rPr>
              <w:t>Fleet learning</w:t>
            </w:r>
          </w:p>
        </w:tc>
        <w:tc>
          <w:tcPr>
            <w:tcW w:type="dxa" w:w="3360"/>
            <w:shd w:fill="F6F7F8"/>
            <w:vAlign w:val="center"/>
          </w:tcPr>
          <w:p>
            <w:pPr>
              <w:spacing w:after="0"/>
            </w:pPr>
            <w:r>
              <w:rPr>
                <w:sz w:val="15"/>
              </w:rPr>
              <w:t>High value</w:t>
            </w:r>
          </w:p>
        </w:tc>
        <w:tc>
          <w:tcPr>
            <w:tcW w:type="dxa" w:w="3360"/>
            <w:shd w:fill="F6F7F8"/>
            <w:vAlign w:val="center"/>
          </w:tcPr>
          <w:p>
            <w:pPr>
              <w:spacing w:after="0"/>
            </w:pPr>
            <w:r>
              <w:rPr>
                <w:sz w:val="15"/>
              </w:rPr>
              <w:t>Data rights and integration determine moat</w:t>
            </w:r>
          </w:p>
        </w:tc>
      </w:tr>
    </w:tbl>
    <w:p>
      <w:pPr>
        <w:spacing w:after="40"/>
      </w:pPr>
    </w:p>
    <w:p>
      <w:pPr>
        <w:pStyle w:val="Heading1"/>
      </w:pPr>
      <w:r>
        <w:t>7. Semiconductors</w:t>
      </w:r>
    </w:p>
    <w:p>
      <w:pPr>
        <w:spacing w:after="80" w:line="252" w:lineRule="auto"/>
      </w:pPr>
      <w:r>
        <w:t>Leading-edge sub-2nm-class manufacturing, HBM, advanced packaging and specialized accelerators become strategic industrial infrastructure. TSMC remains a critical manufacturing node; NVIDIA remains a dominant accelerator platform; AMD and custom silicon gain share; Samsung and SK Hynix remain central in memory; ASML remains indispensable in lithography. Geographic diversification increases capacity but does not eliminate concentration.</w:t>
      </w:r>
    </w:p>
    <w:p>
      <w:pPr>
        <w:pStyle w:val="Heading1"/>
      </w:pPr>
      <w:r>
        <w:t>8. Quantum / materials</w:t>
      </w:r>
    </w:p>
    <w:p>
      <w:pPr>
        <w:spacing w:after="80" w:line="252" w:lineRule="auto"/>
      </w:pPr>
      <w:r>
        <w:t>Quantum reaches narrow economic utility. The simulation refuses a generic “quantum advantage everywhere” assumption. Materials AI becomes more useful earlier: discovery and candidate generation accelerate, but synthesis, qualification, certification and production remain bottlenecks.</w:t>
      </w:r>
    </w:p>
    <w:p>
      <w:pPr>
        <w:pStyle w:val="Heading1"/>
      </w:pPr>
      <w:r>
        <w:t>9. Energy and physical infrastructure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52A30"/>
            <w:vAlign w:val="center"/>
          </w:tcPr>
          <w:p>
            <w:r>
              <w:rPr>
                <w:b/>
                <w:color w:val="FFFFFF"/>
                <w:sz w:val="15"/>
              </w:rPr>
              <w:t>Infrastructure</w:t>
            </w:r>
          </w:p>
        </w:tc>
        <w:tc>
          <w:tcPr>
            <w:tcW w:type="dxa" w:w="3360"/>
            <w:shd w:fill="252A30"/>
            <w:vAlign w:val="center"/>
          </w:tcPr>
          <w:p>
            <w:r>
              <w:rPr>
                <w:b/>
                <w:color w:val="FFFFFF"/>
                <w:sz w:val="15"/>
              </w:rPr>
              <w:t>2030 state</w:t>
            </w:r>
          </w:p>
        </w:tc>
        <w:tc>
          <w:tcPr>
            <w:tcW w:type="dxa" w:w="3360"/>
            <w:shd w:fill="252A30"/>
            <w:vAlign w:val="center"/>
          </w:tcPr>
          <w:p>
            <w:r>
              <w:rPr>
                <w:b/>
                <w:color w:val="FFFFFF"/>
                <w:sz w:val="15"/>
              </w:rPr>
              <w:t>Constraint</w:t>
            </w:r>
          </w:p>
        </w:tc>
      </w:tr>
      <w:tr>
        <w:tc>
          <w:tcPr>
            <w:tcW w:type="dxa" w:w="3360"/>
            <w:shd w:fill="F6F7F8"/>
            <w:vAlign w:val="center"/>
          </w:tcPr>
          <w:p>
            <w:pPr>
              <w:spacing w:after="0"/>
            </w:pPr>
            <w:r>
              <w:rPr>
                <w:sz w:val="15"/>
              </w:rPr>
              <w:t>Grid</w:t>
            </w:r>
          </w:p>
        </w:tc>
        <w:tc>
          <w:tcPr>
            <w:tcW w:type="dxa" w:w="3360"/>
            <w:shd w:fill="F6F7F8"/>
            <w:vAlign w:val="center"/>
          </w:tcPr>
          <w:p>
            <w:pPr>
              <w:spacing w:after="0"/>
            </w:pPr>
            <w:r>
              <w:rPr>
                <w:sz w:val="15"/>
              </w:rPr>
              <w:t>Heavy expansion in US/EU/Asia</w:t>
            </w:r>
          </w:p>
        </w:tc>
        <w:tc>
          <w:tcPr>
            <w:tcW w:type="dxa" w:w="3360"/>
            <w:shd w:fill="F6F7F8"/>
            <w:vAlign w:val="center"/>
          </w:tcPr>
          <w:p>
            <w:pPr>
              <w:spacing w:after="0"/>
            </w:pPr>
            <w:r>
              <w:rPr>
                <w:sz w:val="15"/>
              </w:rPr>
              <w:t>Transmission and permitting</w:t>
            </w:r>
          </w:p>
        </w:tc>
      </w:tr>
      <w:tr>
        <w:tc>
          <w:tcPr>
            <w:tcW w:type="dxa" w:w="3360"/>
            <w:vAlign w:val="center"/>
          </w:tcPr>
          <w:p>
            <w:pPr>
              <w:spacing w:after="0"/>
            </w:pPr>
            <w:r>
              <w:rPr>
                <w:sz w:val="15"/>
              </w:rPr>
              <w:t>Nuclear</w:t>
            </w:r>
          </w:p>
        </w:tc>
        <w:tc>
          <w:tcPr>
            <w:tcW w:type="dxa" w:w="3360"/>
            <w:vAlign w:val="center"/>
          </w:tcPr>
          <w:p>
            <w:pPr>
              <w:spacing w:after="0"/>
            </w:pPr>
            <w:r>
              <w:rPr>
                <w:sz w:val="15"/>
              </w:rPr>
              <w:t>New build + life extension</w:t>
            </w:r>
          </w:p>
        </w:tc>
        <w:tc>
          <w:tcPr>
            <w:tcW w:type="dxa" w:w="3360"/>
            <w:vAlign w:val="center"/>
          </w:tcPr>
          <w:p>
            <w:pPr>
              <w:spacing w:after="0"/>
            </w:pPr>
            <w:r>
              <w:rPr>
                <w:sz w:val="15"/>
              </w:rPr>
              <w:t>Lead time and financing</w:t>
            </w:r>
          </w:p>
        </w:tc>
      </w:tr>
      <w:tr>
        <w:tc>
          <w:tcPr>
            <w:tcW w:type="dxa" w:w="3360"/>
            <w:shd w:fill="F6F7F8"/>
            <w:vAlign w:val="center"/>
          </w:tcPr>
          <w:p>
            <w:pPr>
              <w:spacing w:after="0"/>
            </w:pPr>
            <w:r>
              <w:rPr>
                <w:sz w:val="15"/>
              </w:rPr>
              <w:t>Renewables</w:t>
            </w:r>
          </w:p>
        </w:tc>
        <w:tc>
          <w:tcPr>
            <w:tcW w:type="dxa" w:w="3360"/>
            <w:shd w:fill="F6F7F8"/>
            <w:vAlign w:val="center"/>
          </w:tcPr>
          <w:p>
            <w:pPr>
              <w:spacing w:after="0"/>
            </w:pPr>
            <w:r>
              <w:rPr>
                <w:sz w:val="15"/>
              </w:rPr>
              <w:t>Large share of incremental capacity</w:t>
            </w:r>
          </w:p>
        </w:tc>
        <w:tc>
          <w:tcPr>
            <w:tcW w:type="dxa" w:w="3360"/>
            <w:shd w:fill="F6F7F8"/>
            <w:vAlign w:val="center"/>
          </w:tcPr>
          <w:p>
            <w:pPr>
              <w:spacing w:after="0"/>
            </w:pPr>
            <w:r>
              <w:rPr>
                <w:sz w:val="15"/>
              </w:rPr>
              <w:t>Storage / transmission</w:t>
            </w:r>
          </w:p>
        </w:tc>
      </w:tr>
      <w:tr>
        <w:tc>
          <w:tcPr>
            <w:tcW w:type="dxa" w:w="3360"/>
            <w:vAlign w:val="center"/>
          </w:tcPr>
          <w:p>
            <w:pPr>
              <w:spacing w:after="0"/>
            </w:pPr>
            <w:r>
              <w:rPr>
                <w:sz w:val="15"/>
              </w:rPr>
              <w:t>Battery storage</w:t>
            </w:r>
          </w:p>
        </w:tc>
        <w:tc>
          <w:tcPr>
            <w:tcW w:type="dxa" w:w="3360"/>
            <w:vAlign w:val="center"/>
          </w:tcPr>
          <w:p>
            <w:pPr>
              <w:spacing w:after="0"/>
            </w:pPr>
            <w:r>
              <w:rPr>
                <w:sz w:val="15"/>
              </w:rPr>
              <w:t>Materially cheaper and larger</w:t>
            </w:r>
          </w:p>
        </w:tc>
        <w:tc>
          <w:tcPr>
            <w:tcW w:type="dxa" w:w="3360"/>
            <w:vAlign w:val="center"/>
          </w:tcPr>
          <w:p>
            <w:pPr>
              <w:spacing w:after="0"/>
            </w:pPr>
            <w:r>
              <w:rPr>
                <w:sz w:val="15"/>
              </w:rPr>
              <w:t>Minerals / recycling</w:t>
            </w:r>
          </w:p>
        </w:tc>
      </w:tr>
      <w:tr>
        <w:tc>
          <w:tcPr>
            <w:tcW w:type="dxa" w:w="3360"/>
            <w:shd w:fill="F6F7F8"/>
            <w:vAlign w:val="center"/>
          </w:tcPr>
          <w:p>
            <w:pPr>
              <w:spacing w:after="0"/>
            </w:pPr>
            <w:r>
              <w:rPr>
                <w:sz w:val="15"/>
              </w:rPr>
              <w:t>Data centers</w:t>
            </w:r>
          </w:p>
        </w:tc>
        <w:tc>
          <w:tcPr>
            <w:tcW w:type="dxa" w:w="3360"/>
            <w:shd w:fill="F6F7F8"/>
            <w:vAlign w:val="center"/>
          </w:tcPr>
          <w:p>
            <w:pPr>
              <w:spacing w:after="0"/>
            </w:pPr>
            <w:r>
              <w:rPr>
                <w:sz w:val="15"/>
              </w:rPr>
              <w:t>Massive global buildout</w:t>
            </w:r>
          </w:p>
        </w:tc>
        <w:tc>
          <w:tcPr>
            <w:tcW w:type="dxa" w:w="3360"/>
            <w:shd w:fill="F6F7F8"/>
            <w:vAlign w:val="center"/>
          </w:tcPr>
          <w:p>
            <w:pPr>
              <w:spacing w:after="0"/>
            </w:pPr>
            <w:r>
              <w:rPr>
                <w:sz w:val="15"/>
              </w:rPr>
              <w:t>Power, water, transformers</w:t>
            </w:r>
          </w:p>
        </w:tc>
      </w:tr>
      <w:tr>
        <w:tc>
          <w:tcPr>
            <w:tcW w:type="dxa" w:w="3360"/>
            <w:vAlign w:val="center"/>
          </w:tcPr>
          <w:p>
            <w:pPr>
              <w:spacing w:after="0"/>
            </w:pPr>
            <w:r>
              <w:rPr>
                <w:sz w:val="15"/>
              </w:rPr>
              <w:t>Ports / logistics</w:t>
            </w:r>
          </w:p>
        </w:tc>
        <w:tc>
          <w:tcPr>
            <w:tcW w:type="dxa" w:w="3360"/>
            <w:vAlign w:val="center"/>
          </w:tcPr>
          <w:p>
            <w:pPr>
              <w:spacing w:after="0"/>
            </w:pPr>
            <w:r>
              <w:rPr>
                <w:sz w:val="15"/>
              </w:rPr>
              <w:t>Highly digitized</w:t>
            </w:r>
          </w:p>
        </w:tc>
        <w:tc>
          <w:tcPr>
            <w:tcW w:type="dxa" w:w="3360"/>
            <w:vAlign w:val="center"/>
          </w:tcPr>
          <w:p>
            <w:pPr>
              <w:spacing w:after="0"/>
            </w:pPr>
            <w:r>
              <w:rPr>
                <w:sz w:val="15"/>
              </w:rPr>
              <w:t>Geopolitical chokepoints</w:t>
            </w:r>
          </w:p>
        </w:tc>
      </w:tr>
      <w:tr>
        <w:tc>
          <w:tcPr>
            <w:tcW w:type="dxa" w:w="3360"/>
            <w:shd w:fill="F6F7F8"/>
            <w:vAlign w:val="center"/>
          </w:tcPr>
          <w:p>
            <w:pPr>
              <w:spacing w:after="0"/>
            </w:pPr>
            <w:r>
              <w:rPr>
                <w:sz w:val="15"/>
              </w:rPr>
              <w:t>Spaceports</w:t>
            </w:r>
          </w:p>
        </w:tc>
        <w:tc>
          <w:tcPr>
            <w:tcW w:type="dxa" w:w="3360"/>
            <w:shd w:fill="F6F7F8"/>
            <w:vAlign w:val="center"/>
          </w:tcPr>
          <w:p>
            <w:pPr>
              <w:spacing w:after="0"/>
            </w:pPr>
            <w:r>
              <w:rPr>
                <w:sz w:val="15"/>
              </w:rPr>
              <w:t>Higher launch cadence</w:t>
            </w:r>
          </w:p>
        </w:tc>
        <w:tc>
          <w:tcPr>
            <w:tcW w:type="dxa" w:w="3360"/>
            <w:shd w:fill="F6F7F8"/>
            <w:vAlign w:val="center"/>
          </w:tcPr>
          <w:p>
            <w:pPr>
              <w:spacing w:after="0"/>
            </w:pPr>
            <w:r>
              <w:rPr>
                <w:sz w:val="15"/>
              </w:rPr>
              <w:t>Range / licensing / safety</w:t>
            </w:r>
          </w:p>
        </w:tc>
      </w:tr>
    </w:tbl>
    <w:p>
      <w:pPr>
        <w:spacing w:after="40"/>
      </w:pPr>
    </w:p>
    <w:p>
      <w:pPr>
        <w:pStyle w:val="Heading1"/>
      </w:pPr>
      <w:r>
        <w:t>10. Space</w:t>
      </w:r>
    </w:p>
    <w:p>
      <w:pPr>
        <w:spacing w:after="80" w:line="252" w:lineRule="auto"/>
      </w:pPr>
      <w:r>
        <w:t>The 2026 research boundary already had NASA planning Artemis III in 2027 as an Earth-orbit systems demonstration and Artemis IV in early 2028 as the first planned crewed lunar landing in this revised architecture. Source: NASA Artemis III and Artemis IV official mission pages. The simulation then evolves through a 2030 environment in which reusable launch, lunar communications, commercial landers and servicing infrastructure are more mature, but orbital industrialization remains early rather than fully mature.</w:t>
      </w:r>
    </w:p>
    <w:p>
      <w:pPr>
        <w:pStyle w:val="Heading1"/>
      </w:pPr>
      <w:r>
        <w:t>11. Financial markets</w:t>
      </w:r>
    </w:p>
    <w:p>
      <w:pPr>
        <w:spacing w:after="80" w:line="252" w:lineRule="auto"/>
      </w:pPr>
      <w:r>
        <w:t>The 2027–2030 world experiences alternating AI enthusiasm and valuation discipline. The 2030 correction does not become a global financial crisis because the major banks and diversified economies remain solvent. Instead it changes private-company financing: investors demand recurring revenue, retention, gross margin and cash efficiency. This is one reason RAS raises in 2028 and 2029 but does not rush to IPO.</w:t>
      </w:r>
    </w:p>
    <w:p>
      <w:pPr>
        <w:pStyle w:val="Heading1"/>
      </w:pPr>
      <w:r>
        <w:t>12. Top 50 public companies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252A30"/>
            <w:vAlign w:val="center"/>
          </w:tcPr>
          <w:p>
            <w:r>
              <w:rPr>
                <w:b/>
                <w:color w:val="FFFFFF"/>
                <w:sz w:val="13"/>
              </w:rPr>
              <w:t>#</w:t>
            </w:r>
          </w:p>
        </w:tc>
        <w:tc>
          <w:tcPr>
            <w:tcW w:type="dxa" w:w="2520"/>
            <w:shd w:fill="252A30"/>
            <w:vAlign w:val="center"/>
          </w:tcPr>
          <w:p>
            <w:r>
              <w:rPr>
                <w:b/>
                <w:color w:val="FFFFFF"/>
                <w:sz w:val="13"/>
              </w:rPr>
              <w:t>Company</w:t>
            </w:r>
          </w:p>
        </w:tc>
        <w:tc>
          <w:tcPr>
            <w:tcW w:type="dxa" w:w="2520"/>
            <w:shd w:fill="252A30"/>
            <w:vAlign w:val="center"/>
          </w:tcPr>
          <w:p>
            <w:r>
              <w:rPr>
                <w:b/>
                <w:color w:val="FFFFFF"/>
                <w:sz w:val="13"/>
              </w:rPr>
              <w:t>Country</w:t>
            </w:r>
          </w:p>
        </w:tc>
        <w:tc>
          <w:tcPr>
            <w:tcW w:type="dxa" w:w="2520"/>
            <w:shd w:fill="252A30"/>
            <w:vAlign w:val="center"/>
          </w:tcPr>
          <w:p>
            <w:r>
              <w:rPr>
                <w:b/>
                <w:color w:val="FFFFFF"/>
                <w:sz w:val="13"/>
              </w:rPr>
              <w:t>Market cap</w:t>
            </w:r>
          </w:p>
        </w:tc>
      </w:tr>
      <w:tr>
        <w:tc>
          <w:tcPr>
            <w:tcW w:type="dxa" w:w="2520"/>
            <w:shd w:fill="F6F7F8"/>
            <w:vAlign w:val="center"/>
          </w:tcPr>
          <w:p>
            <w:pPr>
              <w:spacing w:after="0"/>
            </w:pPr>
            <w:r>
              <w:rPr>
                <w:sz w:val="13"/>
              </w:rPr>
              <w:t>1</w:t>
            </w:r>
          </w:p>
        </w:tc>
        <w:tc>
          <w:tcPr>
            <w:tcW w:type="dxa" w:w="2520"/>
            <w:shd w:fill="F6F7F8"/>
            <w:vAlign w:val="center"/>
          </w:tcPr>
          <w:p>
            <w:pPr>
              <w:spacing w:after="0"/>
            </w:pPr>
            <w:r>
              <w:rPr>
                <w:sz w:val="13"/>
              </w:rPr>
              <w:t>NVIDIA</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$7.90T</w:t>
            </w:r>
          </w:p>
        </w:tc>
      </w:tr>
      <w:tr>
        <w:tc>
          <w:tcPr>
            <w:tcW w:type="dxa" w:w="2520"/>
            <w:vAlign w:val="center"/>
          </w:tcPr>
          <w:p>
            <w:pPr>
              <w:spacing w:after="0"/>
            </w:pPr>
            <w:r>
              <w:rPr>
                <w:sz w:val="13"/>
              </w:rPr>
              <w:t>2</w:t>
            </w:r>
          </w:p>
        </w:tc>
        <w:tc>
          <w:tcPr>
            <w:tcW w:type="dxa" w:w="2520"/>
            <w:vAlign w:val="center"/>
          </w:tcPr>
          <w:p>
            <w:pPr>
              <w:spacing w:after="0"/>
            </w:pPr>
            <w:r>
              <w:rPr>
                <w:sz w:val="13"/>
              </w:rPr>
              <w:t>Microsoft</w:t>
            </w:r>
          </w:p>
        </w:tc>
        <w:tc>
          <w:tcPr>
            <w:tcW w:type="dxa" w:w="2520"/>
            <w:vAlign w:val="center"/>
          </w:tcPr>
          <w:p>
            <w:pPr>
              <w:spacing w:after="0"/>
            </w:pPr>
            <w:r>
              <w:rPr>
                <w:sz w:val="13"/>
              </w:rPr>
              <w:t>US</w:t>
            </w:r>
          </w:p>
        </w:tc>
        <w:tc>
          <w:tcPr>
            <w:tcW w:type="dxa" w:w="2520"/>
            <w:vAlign w:val="center"/>
          </w:tcPr>
          <w:p>
            <w:pPr>
              <w:spacing w:after="0"/>
            </w:pPr>
            <w:r>
              <w:rPr>
                <w:sz w:val="13"/>
              </w:rPr>
              <w:t>$6.70T</w:t>
            </w:r>
          </w:p>
        </w:tc>
      </w:tr>
      <w:tr>
        <w:tc>
          <w:tcPr>
            <w:tcW w:type="dxa" w:w="2520"/>
            <w:shd w:fill="F6F7F8"/>
            <w:vAlign w:val="center"/>
          </w:tcPr>
          <w:p>
            <w:pPr>
              <w:spacing w:after="0"/>
            </w:pPr>
            <w:r>
              <w:rPr>
                <w:sz w:val="13"/>
              </w:rPr>
              <w:t>3</w:t>
            </w:r>
          </w:p>
        </w:tc>
        <w:tc>
          <w:tcPr>
            <w:tcW w:type="dxa" w:w="2520"/>
            <w:shd w:fill="F6F7F8"/>
            <w:vAlign w:val="center"/>
          </w:tcPr>
          <w:p>
            <w:pPr>
              <w:spacing w:after="0"/>
            </w:pPr>
            <w:r>
              <w:rPr>
                <w:sz w:val="13"/>
              </w:rPr>
              <w:t>Apple</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$6.00T</w:t>
            </w:r>
          </w:p>
        </w:tc>
      </w:tr>
      <w:tr>
        <w:tc>
          <w:tcPr>
            <w:tcW w:type="dxa" w:w="2520"/>
            <w:vAlign w:val="center"/>
          </w:tcPr>
          <w:p>
            <w:pPr>
              <w:spacing w:after="0"/>
            </w:pPr>
            <w:r>
              <w:rPr>
                <w:sz w:val="13"/>
              </w:rPr>
              <w:t>4</w:t>
            </w:r>
          </w:p>
        </w:tc>
        <w:tc>
          <w:tcPr>
            <w:tcW w:type="dxa" w:w="2520"/>
            <w:vAlign w:val="center"/>
          </w:tcPr>
          <w:p>
            <w:pPr>
              <w:spacing w:after="0"/>
            </w:pPr>
            <w:r>
              <w:rPr>
                <w:sz w:val="13"/>
              </w:rPr>
              <w:t>Alphabet</w:t>
            </w:r>
          </w:p>
        </w:tc>
        <w:tc>
          <w:tcPr>
            <w:tcW w:type="dxa" w:w="2520"/>
            <w:vAlign w:val="center"/>
          </w:tcPr>
          <w:p>
            <w:pPr>
              <w:spacing w:after="0"/>
            </w:pPr>
            <w:r>
              <w:rPr>
                <w:sz w:val="13"/>
              </w:rPr>
              <w:t>US</w:t>
            </w:r>
          </w:p>
        </w:tc>
        <w:tc>
          <w:tcPr>
            <w:tcW w:type="dxa" w:w="2520"/>
            <w:vAlign w:val="center"/>
          </w:tcPr>
          <w:p>
            <w:pPr>
              <w:spacing w:after="0"/>
            </w:pPr>
            <w:r>
              <w:rPr>
                <w:sz w:val="13"/>
              </w:rPr>
              <w:t>$5.40T</w:t>
            </w:r>
          </w:p>
        </w:tc>
      </w:tr>
      <w:tr>
        <w:tc>
          <w:tcPr>
            <w:tcW w:type="dxa" w:w="2520"/>
            <w:shd w:fill="F6F7F8"/>
            <w:vAlign w:val="center"/>
          </w:tcPr>
          <w:p>
            <w:pPr>
              <w:spacing w:after="0"/>
            </w:pPr>
            <w:r>
              <w:rPr>
                <w:sz w:val="13"/>
              </w:rPr>
              <w:t>5</w:t>
            </w:r>
          </w:p>
        </w:tc>
        <w:tc>
          <w:tcPr>
            <w:tcW w:type="dxa" w:w="2520"/>
            <w:shd w:fill="F6F7F8"/>
            <w:vAlign w:val="center"/>
          </w:tcPr>
          <w:p>
            <w:pPr>
              <w:spacing w:after="0"/>
            </w:pPr>
            <w:r>
              <w:rPr>
                <w:sz w:val="13"/>
              </w:rPr>
              <w:t>Amazon</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$4.20T</w:t>
            </w:r>
          </w:p>
        </w:tc>
      </w:tr>
      <w:tr>
        <w:tc>
          <w:tcPr>
            <w:tcW w:type="dxa" w:w="2520"/>
            <w:vAlign w:val="center"/>
          </w:tcPr>
          <w:p>
            <w:pPr>
              <w:spacing w:after="0"/>
            </w:pPr>
            <w:r>
              <w:rPr>
                <w:sz w:val="13"/>
              </w:rPr>
              <w:t>6</w:t>
            </w:r>
          </w:p>
        </w:tc>
        <w:tc>
          <w:tcPr>
            <w:tcW w:type="dxa" w:w="2520"/>
            <w:vAlign w:val="center"/>
          </w:tcPr>
          <w:p>
            <w:pPr>
              <w:spacing w:after="0"/>
            </w:pPr>
            <w:r>
              <w:rPr>
                <w:sz w:val="13"/>
              </w:rPr>
              <w:t>TSMC</w:t>
            </w:r>
          </w:p>
        </w:tc>
        <w:tc>
          <w:tcPr>
            <w:tcW w:type="dxa" w:w="2520"/>
            <w:vAlign w:val="center"/>
          </w:tcPr>
          <w:p>
            <w:pPr>
              <w:spacing w:after="0"/>
            </w:pPr>
            <w:r>
              <w:rPr>
                <w:sz w:val="13"/>
              </w:rPr>
              <w:t>Taiwan</w:t>
            </w:r>
          </w:p>
        </w:tc>
        <w:tc>
          <w:tcPr>
            <w:tcW w:type="dxa" w:w="2520"/>
            <w:vAlign w:val="center"/>
          </w:tcPr>
          <w:p>
            <w:pPr>
              <w:spacing w:after="0"/>
            </w:pPr>
            <w:r>
              <w:rPr>
                <w:sz w:val="13"/>
              </w:rPr>
              <w:t>$3.60T</w:t>
            </w:r>
          </w:p>
        </w:tc>
      </w:tr>
      <w:tr>
        <w:tc>
          <w:tcPr>
            <w:tcW w:type="dxa" w:w="2520"/>
            <w:shd w:fill="F6F7F8"/>
            <w:vAlign w:val="center"/>
          </w:tcPr>
          <w:p>
            <w:pPr>
              <w:spacing w:after="0"/>
            </w:pPr>
            <w:r>
              <w:rPr>
                <w:sz w:val="13"/>
              </w:rPr>
              <w:t>7</w:t>
            </w:r>
          </w:p>
        </w:tc>
        <w:tc>
          <w:tcPr>
            <w:tcW w:type="dxa" w:w="2520"/>
            <w:shd w:fill="F6F7F8"/>
            <w:vAlign w:val="center"/>
          </w:tcPr>
          <w:p>
            <w:pPr>
              <w:spacing w:after="0"/>
            </w:pPr>
            <w:r>
              <w:rPr>
                <w:sz w:val="13"/>
              </w:rPr>
              <w:t>SpaceX</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$3.40T</w:t>
            </w:r>
          </w:p>
        </w:tc>
      </w:tr>
      <w:tr>
        <w:tc>
          <w:tcPr>
            <w:tcW w:type="dxa" w:w="2520"/>
            <w:vAlign w:val="center"/>
          </w:tcPr>
          <w:p>
            <w:pPr>
              <w:spacing w:after="0"/>
            </w:pPr>
            <w:r>
              <w:rPr>
                <w:sz w:val="13"/>
              </w:rPr>
              <w:t>8</w:t>
            </w:r>
          </w:p>
        </w:tc>
        <w:tc>
          <w:tcPr>
            <w:tcW w:type="dxa" w:w="2520"/>
            <w:vAlign w:val="center"/>
          </w:tcPr>
          <w:p>
            <w:pPr>
              <w:spacing w:after="0"/>
            </w:pPr>
            <w:r>
              <w:rPr>
                <w:sz w:val="13"/>
              </w:rPr>
              <w:t>Meta Platforms</w:t>
            </w:r>
          </w:p>
        </w:tc>
        <w:tc>
          <w:tcPr>
            <w:tcW w:type="dxa" w:w="2520"/>
            <w:vAlign w:val="center"/>
          </w:tcPr>
          <w:p>
            <w:pPr>
              <w:spacing w:after="0"/>
            </w:pPr>
            <w:r>
              <w:rPr>
                <w:sz w:val="13"/>
              </w:rPr>
              <w:t>US</w:t>
            </w:r>
          </w:p>
        </w:tc>
        <w:tc>
          <w:tcPr>
            <w:tcW w:type="dxa" w:w="2520"/>
            <w:vAlign w:val="center"/>
          </w:tcPr>
          <w:p>
            <w:pPr>
              <w:spacing w:after="0"/>
            </w:pPr>
            <w:r>
              <w:rPr>
                <w:sz w:val="13"/>
              </w:rPr>
              <w:t>$3.20T</w:t>
            </w:r>
          </w:p>
        </w:tc>
      </w:tr>
      <w:tr>
        <w:tc>
          <w:tcPr>
            <w:tcW w:type="dxa" w:w="2520"/>
            <w:shd w:fill="F6F7F8"/>
            <w:vAlign w:val="center"/>
          </w:tcPr>
          <w:p>
            <w:pPr>
              <w:spacing w:after="0"/>
            </w:pPr>
            <w:r>
              <w:rPr>
                <w:sz w:val="13"/>
              </w:rPr>
              <w:t>9</w:t>
            </w:r>
          </w:p>
        </w:tc>
        <w:tc>
          <w:tcPr>
            <w:tcW w:type="dxa" w:w="2520"/>
            <w:shd w:fill="F6F7F8"/>
            <w:vAlign w:val="center"/>
          </w:tcPr>
          <w:p>
            <w:pPr>
              <w:spacing w:after="0"/>
            </w:pPr>
            <w:r>
              <w:rPr>
                <w:sz w:val="13"/>
              </w:rPr>
              <w:t>Broadcom</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$2.40T</w:t>
            </w:r>
          </w:p>
        </w:tc>
      </w:tr>
      <w:tr>
        <w:tc>
          <w:tcPr>
            <w:tcW w:type="dxa" w:w="2520"/>
            <w:vAlign w:val="center"/>
          </w:tcPr>
          <w:p>
            <w:pPr>
              <w:spacing w:after="0"/>
            </w:pPr>
            <w:r>
              <w:rPr>
                <w:sz w:val="13"/>
              </w:rPr>
              <w:t>10</w:t>
            </w:r>
          </w:p>
        </w:tc>
        <w:tc>
          <w:tcPr>
            <w:tcW w:type="dxa" w:w="2520"/>
            <w:vAlign w:val="center"/>
          </w:tcPr>
          <w:p>
            <w:pPr>
              <w:spacing w:after="0"/>
            </w:pPr>
            <w:r>
              <w:rPr>
                <w:sz w:val="13"/>
              </w:rPr>
              <w:t>Saudi Aramco</w:t>
            </w:r>
          </w:p>
        </w:tc>
        <w:tc>
          <w:tcPr>
            <w:tcW w:type="dxa" w:w="2520"/>
            <w:vAlign w:val="center"/>
          </w:tcPr>
          <w:p>
            <w:pPr>
              <w:spacing w:after="0"/>
            </w:pPr>
            <w:r>
              <w:rPr>
                <w:sz w:val="13"/>
              </w:rPr>
              <w:t>Saudi Arabia</w:t>
            </w:r>
          </w:p>
        </w:tc>
        <w:tc>
          <w:tcPr>
            <w:tcW w:type="dxa" w:w="2520"/>
            <w:vAlign w:val="center"/>
          </w:tcPr>
          <w:p>
            <w:pPr>
              <w:spacing w:after="0"/>
            </w:pPr>
            <w:r>
              <w:rPr>
                <w:sz w:val="13"/>
              </w:rPr>
              <w:t>$2.00T</w:t>
            </w:r>
          </w:p>
        </w:tc>
      </w:tr>
      <w:tr>
        <w:tc>
          <w:tcPr>
            <w:tcW w:type="dxa" w:w="2520"/>
            <w:shd w:fill="F6F7F8"/>
            <w:vAlign w:val="center"/>
          </w:tcPr>
          <w:p>
            <w:pPr>
              <w:spacing w:after="0"/>
            </w:pPr>
            <w:r>
              <w:rPr>
                <w:sz w:val="13"/>
              </w:rPr>
              <w:t>11</w:t>
            </w:r>
          </w:p>
        </w:tc>
        <w:tc>
          <w:tcPr>
            <w:tcW w:type="dxa" w:w="2520"/>
            <w:shd w:fill="F6F7F8"/>
            <w:vAlign w:val="center"/>
          </w:tcPr>
          <w:p>
            <w:pPr>
              <w:spacing w:after="0"/>
            </w:pPr>
            <w:r>
              <w:rPr>
                <w:sz w:val="13"/>
              </w:rPr>
              <w:t>Tesla</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$2.00T</w:t>
            </w:r>
          </w:p>
        </w:tc>
      </w:tr>
      <w:tr>
        <w:tc>
          <w:tcPr>
            <w:tcW w:type="dxa" w:w="2520"/>
            <w:vAlign w:val="center"/>
          </w:tcPr>
          <w:p>
            <w:pPr>
              <w:spacing w:after="0"/>
            </w:pPr>
            <w:r>
              <w:rPr>
                <w:sz w:val="13"/>
              </w:rPr>
              <w:t>12</w:t>
            </w:r>
          </w:p>
        </w:tc>
        <w:tc>
          <w:tcPr>
            <w:tcW w:type="dxa" w:w="2520"/>
            <w:vAlign w:val="center"/>
          </w:tcPr>
          <w:p>
            <w:pPr>
              <w:spacing w:after="0"/>
            </w:pPr>
            <w:r>
              <w:rPr>
                <w:sz w:val="13"/>
              </w:rPr>
              <w:t>ASML</w:t>
            </w:r>
          </w:p>
        </w:tc>
        <w:tc>
          <w:tcPr>
            <w:tcW w:type="dxa" w:w="2520"/>
            <w:vAlign w:val="center"/>
          </w:tcPr>
          <w:p>
            <w:pPr>
              <w:spacing w:after="0"/>
            </w:pPr>
            <w:r>
              <w:rPr>
                <w:sz w:val="13"/>
              </w:rPr>
              <w:t>Netherlands</w:t>
            </w:r>
          </w:p>
        </w:tc>
        <w:tc>
          <w:tcPr>
            <w:tcW w:type="dxa" w:w="2520"/>
            <w:vAlign w:val="center"/>
          </w:tcPr>
          <w:p>
            <w:pPr>
              <w:spacing w:after="0"/>
            </w:pPr>
            <w:r>
              <w:rPr>
                <w:sz w:val="13"/>
              </w:rPr>
              <w:t>$1.80T</w:t>
            </w:r>
          </w:p>
        </w:tc>
      </w:tr>
      <w:tr>
        <w:tc>
          <w:tcPr>
            <w:tcW w:type="dxa" w:w="2520"/>
            <w:shd w:fill="F6F7F8"/>
            <w:vAlign w:val="center"/>
          </w:tcPr>
          <w:p>
            <w:pPr>
              <w:spacing w:after="0"/>
            </w:pPr>
            <w:r>
              <w:rPr>
                <w:sz w:val="13"/>
              </w:rPr>
              <w:t>13</w:t>
            </w:r>
          </w:p>
        </w:tc>
        <w:tc>
          <w:tcPr>
            <w:tcW w:type="dxa" w:w="2520"/>
            <w:shd w:fill="F6F7F8"/>
            <w:vAlign w:val="center"/>
          </w:tcPr>
          <w:p>
            <w:pPr>
              <w:spacing w:after="0"/>
            </w:pPr>
            <w:r>
              <w:rPr>
                <w:sz w:val="13"/>
              </w:rPr>
              <w:t>AMD</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$1.70T</w:t>
            </w:r>
          </w:p>
        </w:tc>
      </w:tr>
      <w:tr>
        <w:tc>
          <w:tcPr>
            <w:tcW w:type="dxa" w:w="2520"/>
            <w:vAlign w:val="center"/>
          </w:tcPr>
          <w:p>
            <w:pPr>
              <w:spacing w:after="0"/>
            </w:pPr>
            <w:r>
              <w:rPr>
                <w:sz w:val="13"/>
              </w:rPr>
              <w:t>14</w:t>
            </w:r>
          </w:p>
        </w:tc>
        <w:tc>
          <w:tcPr>
            <w:tcW w:type="dxa" w:w="2520"/>
            <w:vAlign w:val="center"/>
          </w:tcPr>
          <w:p>
            <w:pPr>
              <w:spacing w:after="0"/>
            </w:pPr>
            <w:r>
              <w:rPr>
                <w:sz w:val="13"/>
              </w:rPr>
              <w:t>Samsung Electronics</w:t>
            </w:r>
          </w:p>
        </w:tc>
        <w:tc>
          <w:tcPr>
            <w:tcW w:type="dxa" w:w="2520"/>
            <w:vAlign w:val="center"/>
          </w:tcPr>
          <w:p>
            <w:pPr>
              <w:spacing w:after="0"/>
            </w:pPr>
            <w:r>
              <w:rPr>
                <w:sz w:val="13"/>
              </w:rPr>
              <w:t>South Korea</w:t>
            </w:r>
          </w:p>
        </w:tc>
        <w:tc>
          <w:tcPr>
            <w:tcW w:type="dxa" w:w="2520"/>
            <w:vAlign w:val="center"/>
          </w:tcPr>
          <w:p>
            <w:pPr>
              <w:spacing w:after="0"/>
            </w:pPr>
            <w:r>
              <w:rPr>
                <w:sz w:val="13"/>
              </w:rPr>
              <w:t>$1.65T</w:t>
            </w:r>
          </w:p>
        </w:tc>
      </w:tr>
      <w:tr>
        <w:tc>
          <w:tcPr>
            <w:tcW w:type="dxa" w:w="2520"/>
            <w:shd w:fill="F6F7F8"/>
            <w:vAlign w:val="center"/>
          </w:tcPr>
          <w:p>
            <w:pPr>
              <w:spacing w:after="0"/>
            </w:pPr>
            <w:r>
              <w:rPr>
                <w:sz w:val="13"/>
              </w:rPr>
              <w:t>15</w:t>
            </w:r>
          </w:p>
        </w:tc>
        <w:tc>
          <w:tcPr>
            <w:tcW w:type="dxa" w:w="2520"/>
            <w:shd w:fill="F6F7F8"/>
            <w:vAlign w:val="center"/>
          </w:tcPr>
          <w:p>
            <w:pPr>
              <w:spacing w:after="0"/>
            </w:pPr>
            <w:r>
              <w:rPr>
                <w:sz w:val="13"/>
              </w:rPr>
              <w:t>Berkshire Hathaway</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$1.55T</w:t>
            </w:r>
          </w:p>
        </w:tc>
      </w:tr>
      <w:tr>
        <w:tc>
          <w:tcPr>
            <w:tcW w:type="dxa" w:w="2520"/>
            <w:vAlign w:val="center"/>
          </w:tcPr>
          <w:p>
            <w:pPr>
              <w:spacing w:after="0"/>
            </w:pPr>
            <w:r>
              <w:rPr>
                <w:sz w:val="13"/>
              </w:rPr>
              <w:t>16</w:t>
            </w:r>
          </w:p>
        </w:tc>
        <w:tc>
          <w:tcPr>
            <w:tcW w:type="dxa" w:w="2520"/>
            <w:vAlign w:val="center"/>
          </w:tcPr>
          <w:p>
            <w:pPr>
              <w:spacing w:after="0"/>
            </w:pPr>
            <w:r>
              <w:rPr>
                <w:sz w:val="13"/>
              </w:rPr>
              <w:t>Eli Lilly</w:t>
            </w:r>
          </w:p>
        </w:tc>
        <w:tc>
          <w:tcPr>
            <w:tcW w:type="dxa" w:w="2520"/>
            <w:vAlign w:val="center"/>
          </w:tcPr>
          <w:p>
            <w:pPr>
              <w:spacing w:after="0"/>
            </w:pPr>
            <w:r>
              <w:rPr>
                <w:sz w:val="13"/>
              </w:rPr>
              <w:t>US</w:t>
            </w:r>
          </w:p>
        </w:tc>
        <w:tc>
          <w:tcPr>
            <w:tcW w:type="dxa" w:w="2520"/>
            <w:vAlign w:val="center"/>
          </w:tcPr>
          <w:p>
            <w:pPr>
              <w:spacing w:after="0"/>
            </w:pPr>
            <w:r>
              <w:rPr>
                <w:sz w:val="13"/>
              </w:rPr>
              <w:t>$1.48T</w:t>
            </w:r>
          </w:p>
        </w:tc>
      </w:tr>
      <w:tr>
        <w:tc>
          <w:tcPr>
            <w:tcW w:type="dxa" w:w="2520"/>
            <w:shd w:fill="F6F7F8"/>
            <w:vAlign w:val="center"/>
          </w:tcPr>
          <w:p>
            <w:pPr>
              <w:spacing w:after="0"/>
            </w:pPr>
            <w:r>
              <w:rPr>
                <w:sz w:val="13"/>
              </w:rPr>
              <w:t>17</w:t>
            </w:r>
          </w:p>
        </w:tc>
        <w:tc>
          <w:tcPr>
            <w:tcW w:type="dxa" w:w="2520"/>
            <w:shd w:fill="F6F7F8"/>
            <w:vAlign w:val="center"/>
          </w:tcPr>
          <w:p>
            <w:pPr>
              <w:spacing w:after="0"/>
            </w:pPr>
            <w:r>
              <w:rPr>
                <w:sz w:val="13"/>
              </w:rPr>
              <w:t>JPMorgan Chase</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$1.40T</w:t>
            </w:r>
          </w:p>
        </w:tc>
      </w:tr>
      <w:tr>
        <w:tc>
          <w:tcPr>
            <w:tcW w:type="dxa" w:w="2520"/>
            <w:vAlign w:val="center"/>
          </w:tcPr>
          <w:p>
            <w:pPr>
              <w:spacing w:after="0"/>
            </w:pPr>
            <w:r>
              <w:rPr>
                <w:sz w:val="13"/>
              </w:rPr>
              <w:t>18</w:t>
            </w:r>
          </w:p>
        </w:tc>
        <w:tc>
          <w:tcPr>
            <w:tcW w:type="dxa" w:w="2520"/>
            <w:vAlign w:val="center"/>
          </w:tcPr>
          <w:p>
            <w:pPr>
              <w:spacing w:after="0"/>
            </w:pPr>
            <w:r>
              <w:rPr>
                <w:sz w:val="13"/>
              </w:rPr>
              <w:t>Oracle</w:t>
            </w:r>
          </w:p>
        </w:tc>
        <w:tc>
          <w:tcPr>
            <w:tcW w:type="dxa" w:w="2520"/>
            <w:vAlign w:val="center"/>
          </w:tcPr>
          <w:p>
            <w:pPr>
              <w:spacing w:after="0"/>
            </w:pPr>
            <w:r>
              <w:rPr>
                <w:sz w:val="13"/>
              </w:rPr>
              <w:t>US</w:t>
            </w:r>
          </w:p>
        </w:tc>
        <w:tc>
          <w:tcPr>
            <w:tcW w:type="dxa" w:w="2520"/>
            <w:vAlign w:val="center"/>
          </w:tcPr>
          <w:p>
            <w:pPr>
              <w:spacing w:after="0"/>
            </w:pPr>
            <w:r>
              <w:rPr>
                <w:sz w:val="13"/>
              </w:rPr>
              <w:t>$1.35T</w:t>
            </w:r>
          </w:p>
        </w:tc>
      </w:tr>
      <w:tr>
        <w:tc>
          <w:tcPr>
            <w:tcW w:type="dxa" w:w="2520"/>
            <w:shd w:fill="F6F7F8"/>
            <w:vAlign w:val="center"/>
          </w:tcPr>
          <w:p>
            <w:pPr>
              <w:spacing w:after="0"/>
            </w:pPr>
            <w:r>
              <w:rPr>
                <w:sz w:val="13"/>
              </w:rPr>
              <w:t>19</w:t>
            </w:r>
          </w:p>
        </w:tc>
        <w:tc>
          <w:tcPr>
            <w:tcW w:type="dxa" w:w="2520"/>
            <w:shd w:fill="F6F7F8"/>
            <w:vAlign w:val="center"/>
          </w:tcPr>
          <w:p>
            <w:pPr>
              <w:spacing w:after="0"/>
            </w:pPr>
            <w:r>
              <w:rPr>
                <w:sz w:val="13"/>
              </w:rPr>
              <w:t>Micron Technology</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$1.30T</w:t>
            </w:r>
          </w:p>
        </w:tc>
      </w:tr>
      <w:tr>
        <w:tc>
          <w:tcPr>
            <w:tcW w:type="dxa" w:w="2520"/>
            <w:vAlign w:val="center"/>
          </w:tcPr>
          <w:p>
            <w:pPr>
              <w:spacing w:after="0"/>
            </w:pPr>
            <w:r>
              <w:rPr>
                <w:sz w:val="13"/>
              </w:rPr>
              <w:t>20</w:t>
            </w:r>
          </w:p>
        </w:tc>
        <w:tc>
          <w:tcPr>
            <w:tcW w:type="dxa" w:w="2520"/>
            <w:vAlign w:val="center"/>
          </w:tcPr>
          <w:p>
            <w:pPr>
              <w:spacing w:after="0"/>
            </w:pPr>
            <w:r>
              <w:rPr>
                <w:sz w:val="13"/>
              </w:rPr>
              <w:t>SK Hynix</w:t>
            </w:r>
          </w:p>
        </w:tc>
        <w:tc>
          <w:tcPr>
            <w:tcW w:type="dxa" w:w="2520"/>
            <w:vAlign w:val="center"/>
          </w:tcPr>
          <w:p>
            <w:pPr>
              <w:spacing w:after="0"/>
            </w:pPr>
            <w:r>
              <w:rPr>
                <w:sz w:val="13"/>
              </w:rPr>
              <w:t>South Korea</w:t>
            </w:r>
          </w:p>
        </w:tc>
        <w:tc>
          <w:tcPr>
            <w:tcW w:type="dxa" w:w="2520"/>
            <w:vAlign w:val="center"/>
          </w:tcPr>
          <w:p>
            <w:pPr>
              <w:spacing w:after="0"/>
            </w:pPr>
            <w:r>
              <w:rPr>
                <w:sz w:val="13"/>
              </w:rPr>
              <w:t>$1.25T</w:t>
            </w:r>
          </w:p>
        </w:tc>
      </w:tr>
      <w:tr>
        <w:tc>
          <w:tcPr>
            <w:tcW w:type="dxa" w:w="2520"/>
            <w:shd w:fill="F6F7F8"/>
            <w:vAlign w:val="center"/>
          </w:tcPr>
          <w:p>
            <w:pPr>
              <w:spacing w:after="0"/>
            </w:pPr>
            <w:r>
              <w:rPr>
                <w:sz w:val="13"/>
              </w:rPr>
              <w:t>21</w:t>
            </w:r>
          </w:p>
        </w:tc>
        <w:tc>
          <w:tcPr>
            <w:tcW w:type="dxa" w:w="2520"/>
            <w:shd w:fill="F6F7F8"/>
            <w:vAlign w:val="center"/>
          </w:tcPr>
          <w:p>
            <w:pPr>
              <w:spacing w:after="0"/>
            </w:pPr>
            <w:r>
              <w:rPr>
                <w:sz w:val="13"/>
              </w:rPr>
              <w:t>Visa</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$1.20T</w:t>
            </w:r>
          </w:p>
        </w:tc>
      </w:tr>
      <w:tr>
        <w:tc>
          <w:tcPr>
            <w:tcW w:type="dxa" w:w="2520"/>
            <w:vAlign w:val="center"/>
          </w:tcPr>
          <w:p>
            <w:pPr>
              <w:spacing w:after="0"/>
            </w:pPr>
            <w:r>
              <w:rPr>
                <w:sz w:val="13"/>
              </w:rPr>
              <w:t>22</w:t>
            </w:r>
          </w:p>
        </w:tc>
        <w:tc>
          <w:tcPr>
            <w:tcW w:type="dxa" w:w="2520"/>
            <w:vAlign w:val="center"/>
          </w:tcPr>
          <w:p>
            <w:pPr>
              <w:spacing w:after="0"/>
            </w:pPr>
            <w:r>
              <w:rPr>
                <w:sz w:val="13"/>
              </w:rPr>
              <w:t>Walmart</w:t>
            </w:r>
          </w:p>
        </w:tc>
        <w:tc>
          <w:tcPr>
            <w:tcW w:type="dxa" w:w="2520"/>
            <w:vAlign w:val="center"/>
          </w:tcPr>
          <w:p>
            <w:pPr>
              <w:spacing w:after="0"/>
            </w:pPr>
            <w:r>
              <w:rPr>
                <w:sz w:val="13"/>
              </w:rPr>
              <w:t>US</w:t>
            </w:r>
          </w:p>
        </w:tc>
        <w:tc>
          <w:tcPr>
            <w:tcW w:type="dxa" w:w="2520"/>
            <w:vAlign w:val="center"/>
          </w:tcPr>
          <w:p>
            <w:pPr>
              <w:spacing w:after="0"/>
            </w:pPr>
            <w:r>
              <w:rPr>
                <w:sz w:val="13"/>
              </w:rPr>
              <w:t>$1.15T</w:t>
            </w:r>
          </w:p>
        </w:tc>
      </w:tr>
      <w:tr>
        <w:tc>
          <w:tcPr>
            <w:tcW w:type="dxa" w:w="2520"/>
            <w:shd w:fill="F6F7F8"/>
            <w:vAlign w:val="center"/>
          </w:tcPr>
          <w:p>
            <w:pPr>
              <w:spacing w:after="0"/>
            </w:pPr>
            <w:r>
              <w:rPr>
                <w:sz w:val="13"/>
              </w:rPr>
              <w:t>23</w:t>
            </w:r>
          </w:p>
        </w:tc>
        <w:tc>
          <w:tcPr>
            <w:tcW w:type="dxa" w:w="2520"/>
            <w:shd w:fill="F6F7F8"/>
            <w:vAlign w:val="center"/>
          </w:tcPr>
          <w:p>
            <w:pPr>
              <w:spacing w:after="0"/>
            </w:pPr>
            <w:r>
              <w:rPr>
                <w:sz w:val="13"/>
              </w:rPr>
              <w:t>Tencent</w:t>
            </w:r>
          </w:p>
        </w:tc>
        <w:tc>
          <w:tcPr>
            <w:tcW w:type="dxa" w:w="2520"/>
            <w:shd w:fill="F6F7F8"/>
            <w:vAlign w:val="center"/>
          </w:tcPr>
          <w:p>
            <w:pPr>
              <w:spacing w:after="0"/>
            </w:pPr>
            <w:r>
              <w:rPr>
                <w:sz w:val="13"/>
              </w:rPr>
              <w:t>China</w:t>
            </w:r>
          </w:p>
        </w:tc>
        <w:tc>
          <w:tcPr>
            <w:tcW w:type="dxa" w:w="2520"/>
            <w:shd w:fill="F6F7F8"/>
            <w:vAlign w:val="center"/>
          </w:tcPr>
          <w:p>
            <w:pPr>
              <w:spacing w:after="0"/>
            </w:pPr>
            <w:r>
              <w:rPr>
                <w:sz w:val="13"/>
              </w:rPr>
              <w:t>$1.12T</w:t>
            </w:r>
          </w:p>
        </w:tc>
      </w:tr>
      <w:tr>
        <w:tc>
          <w:tcPr>
            <w:tcW w:type="dxa" w:w="2520"/>
            <w:vAlign w:val="center"/>
          </w:tcPr>
          <w:p>
            <w:pPr>
              <w:spacing w:after="0"/>
            </w:pPr>
            <w:r>
              <w:rPr>
                <w:sz w:val="13"/>
              </w:rPr>
              <w:t>24</w:t>
            </w:r>
          </w:p>
        </w:tc>
        <w:tc>
          <w:tcPr>
            <w:tcW w:type="dxa" w:w="2520"/>
            <w:vAlign w:val="center"/>
          </w:tcPr>
          <w:p>
            <w:pPr>
              <w:spacing w:after="0"/>
            </w:pPr>
            <w:r>
              <w:rPr>
                <w:sz w:val="13"/>
              </w:rPr>
              <w:t>Novo Nordisk</w:t>
            </w:r>
          </w:p>
        </w:tc>
        <w:tc>
          <w:tcPr>
            <w:tcW w:type="dxa" w:w="2520"/>
            <w:vAlign w:val="center"/>
          </w:tcPr>
          <w:p>
            <w:pPr>
              <w:spacing w:after="0"/>
            </w:pPr>
            <w:r>
              <w:rPr>
                <w:sz w:val="13"/>
              </w:rPr>
              <w:t>Denmark</w:t>
            </w:r>
          </w:p>
        </w:tc>
        <w:tc>
          <w:tcPr>
            <w:tcW w:type="dxa" w:w="2520"/>
            <w:vAlign w:val="center"/>
          </w:tcPr>
          <w:p>
            <w:pPr>
              <w:spacing w:after="0"/>
            </w:pPr>
            <w:r>
              <w:rPr>
                <w:sz w:val="13"/>
              </w:rPr>
              <w:t>$1.08T</w:t>
            </w:r>
          </w:p>
        </w:tc>
      </w:tr>
      <w:tr>
        <w:tc>
          <w:tcPr>
            <w:tcW w:type="dxa" w:w="2520"/>
            <w:shd w:fill="F6F7F8"/>
            <w:vAlign w:val="center"/>
          </w:tcPr>
          <w:p>
            <w:pPr>
              <w:spacing w:after="0"/>
            </w:pPr>
            <w:r>
              <w:rPr>
                <w:sz w:val="13"/>
              </w:rPr>
              <w:t>25</w:t>
            </w:r>
          </w:p>
        </w:tc>
        <w:tc>
          <w:tcPr>
            <w:tcW w:type="dxa" w:w="2520"/>
            <w:shd w:fill="F6F7F8"/>
            <w:vAlign w:val="center"/>
          </w:tcPr>
          <w:p>
            <w:pPr>
              <w:spacing w:after="0"/>
            </w:pPr>
            <w:r>
              <w:rPr>
                <w:sz w:val="13"/>
              </w:rPr>
              <w:t>Palantir</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$1.05T</w:t>
            </w:r>
          </w:p>
        </w:tc>
      </w:tr>
      <w:tr>
        <w:tc>
          <w:tcPr>
            <w:tcW w:type="dxa" w:w="2520"/>
            <w:vAlign w:val="center"/>
          </w:tcPr>
          <w:p>
            <w:pPr>
              <w:spacing w:after="0"/>
            </w:pPr>
            <w:r>
              <w:rPr>
                <w:sz w:val="13"/>
              </w:rPr>
              <w:t>26</w:t>
            </w:r>
          </w:p>
        </w:tc>
        <w:tc>
          <w:tcPr>
            <w:tcW w:type="dxa" w:w="2520"/>
            <w:vAlign w:val="center"/>
          </w:tcPr>
          <w:p>
            <w:pPr>
              <w:spacing w:after="0"/>
            </w:pPr>
            <w:r>
              <w:rPr>
                <w:sz w:val="13"/>
              </w:rPr>
              <w:t>Mastercard</w:t>
            </w:r>
          </w:p>
        </w:tc>
        <w:tc>
          <w:tcPr>
            <w:tcW w:type="dxa" w:w="2520"/>
            <w:vAlign w:val="center"/>
          </w:tcPr>
          <w:p>
            <w:pPr>
              <w:spacing w:after="0"/>
            </w:pPr>
            <w:r>
              <w:rPr>
                <w:sz w:val="13"/>
              </w:rPr>
              <w:t>US</w:t>
            </w:r>
          </w:p>
        </w:tc>
        <w:tc>
          <w:tcPr>
            <w:tcW w:type="dxa" w:w="2520"/>
            <w:vAlign w:val="center"/>
          </w:tcPr>
          <w:p>
            <w:pPr>
              <w:spacing w:after="0"/>
            </w:pPr>
            <w:r>
              <w:rPr>
                <w:sz w:val="13"/>
              </w:rPr>
              <w:t>$980B</w:t>
            </w:r>
          </w:p>
        </w:tc>
      </w:tr>
      <w:tr>
        <w:tc>
          <w:tcPr>
            <w:tcW w:type="dxa" w:w="2520"/>
            <w:shd w:fill="F6F7F8"/>
            <w:vAlign w:val="center"/>
          </w:tcPr>
          <w:p>
            <w:pPr>
              <w:spacing w:after="0"/>
            </w:pPr>
            <w:r>
              <w:rPr>
                <w:sz w:val="13"/>
              </w:rPr>
              <w:t>27</w:t>
            </w:r>
          </w:p>
        </w:tc>
        <w:tc>
          <w:tcPr>
            <w:tcW w:type="dxa" w:w="2520"/>
            <w:shd w:fill="F6F7F8"/>
            <w:vAlign w:val="center"/>
          </w:tcPr>
          <w:p>
            <w:pPr>
              <w:spacing w:after="0"/>
            </w:pPr>
            <w:r>
              <w:rPr>
                <w:sz w:val="13"/>
              </w:rPr>
              <w:t>Costco</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$950B</w:t>
            </w:r>
          </w:p>
        </w:tc>
      </w:tr>
      <w:tr>
        <w:tc>
          <w:tcPr>
            <w:tcW w:type="dxa" w:w="2520"/>
            <w:vAlign w:val="center"/>
          </w:tcPr>
          <w:p>
            <w:pPr>
              <w:spacing w:after="0"/>
            </w:pPr>
            <w:r>
              <w:rPr>
                <w:sz w:val="13"/>
              </w:rPr>
              <w:t>28</w:t>
            </w:r>
          </w:p>
        </w:tc>
        <w:tc>
          <w:tcPr>
            <w:tcW w:type="dxa" w:w="2520"/>
            <w:vAlign w:val="center"/>
          </w:tcPr>
          <w:p>
            <w:pPr>
              <w:spacing w:after="0"/>
            </w:pPr>
            <w:r>
              <w:rPr>
                <w:sz w:val="13"/>
              </w:rPr>
              <w:t>Netflix</w:t>
            </w:r>
          </w:p>
        </w:tc>
        <w:tc>
          <w:tcPr>
            <w:tcW w:type="dxa" w:w="2520"/>
            <w:vAlign w:val="center"/>
          </w:tcPr>
          <w:p>
            <w:pPr>
              <w:spacing w:after="0"/>
            </w:pPr>
            <w:r>
              <w:rPr>
                <w:sz w:val="13"/>
              </w:rPr>
              <w:t>US</w:t>
            </w:r>
          </w:p>
        </w:tc>
        <w:tc>
          <w:tcPr>
            <w:tcW w:type="dxa" w:w="2520"/>
            <w:vAlign w:val="center"/>
          </w:tcPr>
          <w:p>
            <w:pPr>
              <w:spacing w:after="0"/>
            </w:pPr>
            <w:r>
              <w:rPr>
                <w:sz w:val="13"/>
              </w:rPr>
              <w:t>$910B</w:t>
            </w:r>
          </w:p>
        </w:tc>
      </w:tr>
      <w:tr>
        <w:tc>
          <w:tcPr>
            <w:tcW w:type="dxa" w:w="2520"/>
            <w:shd w:fill="F6F7F8"/>
            <w:vAlign w:val="center"/>
          </w:tcPr>
          <w:p>
            <w:pPr>
              <w:spacing w:after="0"/>
            </w:pPr>
            <w:r>
              <w:rPr>
                <w:sz w:val="13"/>
              </w:rPr>
              <w:t>29</w:t>
            </w:r>
          </w:p>
        </w:tc>
        <w:tc>
          <w:tcPr>
            <w:tcW w:type="dxa" w:w="2520"/>
            <w:shd w:fill="F6F7F8"/>
            <w:vAlign w:val="center"/>
          </w:tcPr>
          <w:p>
            <w:pPr>
              <w:spacing w:after="0"/>
            </w:pPr>
            <w:r>
              <w:rPr>
                <w:sz w:val="13"/>
              </w:rPr>
              <w:t>Schneider Electric</w:t>
            </w:r>
          </w:p>
        </w:tc>
        <w:tc>
          <w:tcPr>
            <w:tcW w:type="dxa" w:w="2520"/>
            <w:shd w:fill="F6F7F8"/>
            <w:vAlign w:val="center"/>
          </w:tcPr>
          <w:p>
            <w:pPr>
              <w:spacing w:after="0"/>
            </w:pPr>
            <w:r>
              <w:rPr>
                <w:sz w:val="13"/>
              </w:rPr>
              <w:t>France</w:t>
            </w:r>
          </w:p>
        </w:tc>
        <w:tc>
          <w:tcPr>
            <w:tcW w:type="dxa" w:w="2520"/>
            <w:shd w:fill="F6F7F8"/>
            <w:vAlign w:val="center"/>
          </w:tcPr>
          <w:p>
            <w:pPr>
              <w:spacing w:after="0"/>
            </w:pPr>
            <w:r>
              <w:rPr>
                <w:sz w:val="13"/>
              </w:rPr>
              <w:t>$880B</w:t>
            </w:r>
          </w:p>
        </w:tc>
      </w:tr>
      <w:tr>
        <w:tc>
          <w:tcPr>
            <w:tcW w:type="dxa" w:w="2520"/>
            <w:vAlign w:val="center"/>
          </w:tcPr>
          <w:p>
            <w:pPr>
              <w:spacing w:after="0"/>
            </w:pPr>
            <w:r>
              <w:rPr>
                <w:sz w:val="13"/>
              </w:rPr>
              <w:t>30</w:t>
            </w:r>
          </w:p>
        </w:tc>
        <w:tc>
          <w:tcPr>
            <w:tcW w:type="dxa" w:w="2520"/>
            <w:vAlign w:val="center"/>
          </w:tcPr>
          <w:p>
            <w:pPr>
              <w:spacing w:after="0"/>
            </w:pPr>
            <w:r>
              <w:rPr>
                <w:sz w:val="13"/>
              </w:rPr>
              <w:t>Applied Materials</w:t>
            </w:r>
          </w:p>
        </w:tc>
        <w:tc>
          <w:tcPr>
            <w:tcW w:type="dxa" w:w="2520"/>
            <w:vAlign w:val="center"/>
          </w:tcPr>
          <w:p>
            <w:pPr>
              <w:spacing w:after="0"/>
            </w:pPr>
            <w:r>
              <w:rPr>
                <w:sz w:val="13"/>
              </w:rPr>
              <w:t>US</w:t>
            </w:r>
          </w:p>
        </w:tc>
        <w:tc>
          <w:tcPr>
            <w:tcW w:type="dxa" w:w="2520"/>
            <w:vAlign w:val="center"/>
          </w:tcPr>
          <w:p>
            <w:pPr>
              <w:spacing w:after="0"/>
            </w:pPr>
            <w:r>
              <w:rPr>
                <w:sz w:val="13"/>
              </w:rPr>
              <w:t>$860B</w:t>
            </w:r>
          </w:p>
        </w:tc>
      </w:tr>
      <w:tr>
        <w:tc>
          <w:tcPr>
            <w:tcW w:type="dxa" w:w="2520"/>
            <w:shd w:fill="F6F7F8"/>
            <w:vAlign w:val="center"/>
          </w:tcPr>
          <w:p>
            <w:pPr>
              <w:spacing w:after="0"/>
            </w:pPr>
            <w:r>
              <w:rPr>
                <w:sz w:val="13"/>
              </w:rPr>
              <w:t>31</w:t>
            </w:r>
          </w:p>
        </w:tc>
        <w:tc>
          <w:tcPr>
            <w:tcW w:type="dxa" w:w="2520"/>
            <w:shd w:fill="F6F7F8"/>
            <w:vAlign w:val="center"/>
          </w:tcPr>
          <w:p>
            <w:pPr>
              <w:spacing w:after="0"/>
            </w:pPr>
            <w:r>
              <w:rPr>
                <w:sz w:val="13"/>
              </w:rPr>
              <w:t>Caterpillar</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$840B</w:t>
            </w:r>
          </w:p>
        </w:tc>
      </w:tr>
      <w:tr>
        <w:tc>
          <w:tcPr>
            <w:tcW w:type="dxa" w:w="2520"/>
            <w:vAlign w:val="center"/>
          </w:tcPr>
          <w:p>
            <w:pPr>
              <w:spacing w:after="0"/>
            </w:pPr>
            <w:r>
              <w:rPr>
                <w:sz w:val="13"/>
              </w:rPr>
              <w:t>32</w:t>
            </w:r>
          </w:p>
        </w:tc>
        <w:tc>
          <w:tcPr>
            <w:tcW w:type="dxa" w:w="2520"/>
            <w:vAlign w:val="center"/>
          </w:tcPr>
          <w:p>
            <w:pPr>
              <w:spacing w:after="0"/>
            </w:pPr>
            <w:r>
              <w:rPr>
                <w:sz w:val="13"/>
              </w:rPr>
              <w:t>ABB</w:t>
            </w:r>
          </w:p>
        </w:tc>
        <w:tc>
          <w:tcPr>
            <w:tcW w:type="dxa" w:w="2520"/>
            <w:vAlign w:val="center"/>
          </w:tcPr>
          <w:p>
            <w:pPr>
              <w:spacing w:after="0"/>
            </w:pPr>
            <w:r>
              <w:rPr>
                <w:sz w:val="13"/>
              </w:rPr>
              <w:t>Switzerland/Sweden</w:t>
            </w:r>
          </w:p>
        </w:tc>
        <w:tc>
          <w:tcPr>
            <w:tcW w:type="dxa" w:w="2520"/>
            <w:vAlign w:val="center"/>
          </w:tcPr>
          <w:p>
            <w:pPr>
              <w:spacing w:after="0"/>
            </w:pPr>
            <w:r>
              <w:rPr>
                <w:sz w:val="13"/>
              </w:rPr>
              <w:t>$810B</w:t>
            </w:r>
          </w:p>
        </w:tc>
      </w:tr>
      <w:tr>
        <w:tc>
          <w:tcPr>
            <w:tcW w:type="dxa" w:w="2520"/>
            <w:shd w:fill="F6F7F8"/>
            <w:vAlign w:val="center"/>
          </w:tcPr>
          <w:p>
            <w:pPr>
              <w:spacing w:after="0"/>
            </w:pPr>
            <w:r>
              <w:rPr>
                <w:sz w:val="13"/>
              </w:rPr>
              <w:t>33</w:t>
            </w:r>
          </w:p>
        </w:tc>
        <w:tc>
          <w:tcPr>
            <w:tcW w:type="dxa" w:w="2520"/>
            <w:shd w:fill="F6F7F8"/>
            <w:vAlign w:val="center"/>
          </w:tcPr>
          <w:p>
            <w:pPr>
              <w:spacing w:after="0"/>
            </w:pPr>
            <w:r>
              <w:rPr>
                <w:sz w:val="13"/>
              </w:rPr>
              <w:t>Siemens</w:t>
            </w:r>
          </w:p>
        </w:tc>
        <w:tc>
          <w:tcPr>
            <w:tcW w:type="dxa" w:w="2520"/>
            <w:shd w:fill="F6F7F8"/>
            <w:vAlign w:val="center"/>
          </w:tcPr>
          <w:p>
            <w:pPr>
              <w:spacing w:after="0"/>
            </w:pPr>
            <w:r>
              <w:rPr>
                <w:sz w:val="13"/>
              </w:rPr>
              <w:t>Germany</w:t>
            </w:r>
          </w:p>
        </w:tc>
        <w:tc>
          <w:tcPr>
            <w:tcW w:type="dxa" w:w="2520"/>
            <w:shd w:fill="F6F7F8"/>
            <w:vAlign w:val="center"/>
          </w:tcPr>
          <w:p>
            <w:pPr>
              <w:spacing w:after="0"/>
            </w:pPr>
            <w:r>
              <w:rPr>
                <w:sz w:val="13"/>
              </w:rPr>
              <w:t>$790B</w:t>
            </w:r>
          </w:p>
        </w:tc>
      </w:tr>
      <w:tr>
        <w:tc>
          <w:tcPr>
            <w:tcW w:type="dxa" w:w="2520"/>
            <w:vAlign w:val="center"/>
          </w:tcPr>
          <w:p>
            <w:pPr>
              <w:spacing w:after="0"/>
            </w:pPr>
            <w:r>
              <w:rPr>
                <w:sz w:val="13"/>
              </w:rPr>
              <w:t>34</w:t>
            </w:r>
          </w:p>
        </w:tc>
        <w:tc>
          <w:tcPr>
            <w:tcW w:type="dxa" w:w="2520"/>
            <w:vAlign w:val="center"/>
          </w:tcPr>
          <w:p>
            <w:pPr>
              <w:spacing w:after="0"/>
            </w:pPr>
            <w:r>
              <w:rPr>
                <w:sz w:val="13"/>
              </w:rPr>
              <w:t>SAP</w:t>
            </w:r>
          </w:p>
        </w:tc>
        <w:tc>
          <w:tcPr>
            <w:tcW w:type="dxa" w:w="2520"/>
            <w:vAlign w:val="center"/>
          </w:tcPr>
          <w:p>
            <w:pPr>
              <w:spacing w:after="0"/>
            </w:pPr>
            <w:r>
              <w:rPr>
                <w:sz w:val="13"/>
              </w:rPr>
              <w:t>Germany</w:t>
            </w:r>
          </w:p>
        </w:tc>
        <w:tc>
          <w:tcPr>
            <w:tcW w:type="dxa" w:w="2520"/>
            <w:vAlign w:val="center"/>
          </w:tcPr>
          <w:p>
            <w:pPr>
              <w:spacing w:after="0"/>
            </w:pPr>
            <w:r>
              <w:rPr>
                <w:sz w:val="13"/>
              </w:rPr>
              <w:t>$780B</w:t>
            </w:r>
          </w:p>
        </w:tc>
      </w:tr>
      <w:tr>
        <w:tc>
          <w:tcPr>
            <w:tcW w:type="dxa" w:w="2520"/>
            <w:shd w:fill="F6F7F8"/>
            <w:vAlign w:val="center"/>
          </w:tcPr>
          <w:p>
            <w:pPr>
              <w:spacing w:after="0"/>
            </w:pPr>
            <w:r>
              <w:rPr>
                <w:sz w:val="13"/>
              </w:rPr>
              <w:t>35</w:t>
            </w:r>
          </w:p>
        </w:tc>
        <w:tc>
          <w:tcPr>
            <w:tcW w:type="dxa" w:w="2520"/>
            <w:shd w:fill="F6F7F8"/>
            <w:vAlign w:val="center"/>
          </w:tcPr>
          <w:p>
            <w:pPr>
              <w:spacing w:after="0"/>
            </w:pPr>
            <w:r>
              <w:rPr>
                <w:sz w:val="13"/>
              </w:rPr>
              <w:t>Arista Networks</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$760B</w:t>
            </w:r>
          </w:p>
        </w:tc>
      </w:tr>
      <w:tr>
        <w:tc>
          <w:tcPr>
            <w:tcW w:type="dxa" w:w="2520"/>
            <w:vAlign w:val="center"/>
          </w:tcPr>
          <w:p>
            <w:pPr>
              <w:spacing w:after="0"/>
            </w:pPr>
            <w:r>
              <w:rPr>
                <w:sz w:val="13"/>
              </w:rPr>
              <w:t>36</w:t>
            </w:r>
          </w:p>
        </w:tc>
        <w:tc>
          <w:tcPr>
            <w:tcW w:type="dxa" w:w="2520"/>
            <w:vAlign w:val="center"/>
          </w:tcPr>
          <w:p>
            <w:pPr>
              <w:spacing w:after="0"/>
            </w:pPr>
            <w:r>
              <w:rPr>
                <w:sz w:val="13"/>
              </w:rPr>
              <w:t>Qualcomm</w:t>
            </w:r>
          </w:p>
        </w:tc>
        <w:tc>
          <w:tcPr>
            <w:tcW w:type="dxa" w:w="2520"/>
            <w:vAlign w:val="center"/>
          </w:tcPr>
          <w:p>
            <w:pPr>
              <w:spacing w:after="0"/>
            </w:pPr>
            <w:r>
              <w:rPr>
                <w:sz w:val="13"/>
              </w:rPr>
              <w:t>US</w:t>
            </w:r>
          </w:p>
        </w:tc>
        <w:tc>
          <w:tcPr>
            <w:tcW w:type="dxa" w:w="2520"/>
            <w:vAlign w:val="center"/>
          </w:tcPr>
          <w:p>
            <w:pPr>
              <w:spacing w:after="0"/>
            </w:pPr>
            <w:r>
              <w:rPr>
                <w:sz w:val="13"/>
              </w:rPr>
              <w:t>$750B</w:t>
            </w:r>
          </w:p>
        </w:tc>
      </w:tr>
      <w:tr>
        <w:tc>
          <w:tcPr>
            <w:tcW w:type="dxa" w:w="2520"/>
            <w:shd w:fill="F6F7F8"/>
            <w:vAlign w:val="center"/>
          </w:tcPr>
          <w:p>
            <w:pPr>
              <w:spacing w:after="0"/>
            </w:pPr>
            <w:r>
              <w:rPr>
                <w:sz w:val="13"/>
              </w:rPr>
              <w:t>37</w:t>
            </w:r>
          </w:p>
        </w:tc>
        <w:tc>
          <w:tcPr>
            <w:tcW w:type="dxa" w:w="2520"/>
            <w:shd w:fill="F6F7F8"/>
            <w:vAlign w:val="center"/>
          </w:tcPr>
          <w:p>
            <w:pPr>
              <w:spacing w:after="0"/>
            </w:pPr>
            <w:r>
              <w:rPr>
                <w:sz w:val="13"/>
              </w:rPr>
              <w:t>Lockheed Martin</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$730B</w:t>
            </w:r>
          </w:p>
        </w:tc>
      </w:tr>
      <w:tr>
        <w:tc>
          <w:tcPr>
            <w:tcW w:type="dxa" w:w="2520"/>
            <w:vAlign w:val="center"/>
          </w:tcPr>
          <w:p>
            <w:pPr>
              <w:spacing w:after="0"/>
            </w:pPr>
            <w:r>
              <w:rPr>
                <w:sz w:val="13"/>
              </w:rPr>
              <w:t>38</w:t>
            </w:r>
          </w:p>
        </w:tc>
        <w:tc>
          <w:tcPr>
            <w:tcW w:type="dxa" w:w="2520"/>
            <w:vAlign w:val="center"/>
          </w:tcPr>
          <w:p>
            <w:pPr>
              <w:spacing w:after="0"/>
            </w:pPr>
            <w:r>
              <w:rPr>
                <w:sz w:val="13"/>
              </w:rPr>
              <w:t>Texas Instruments</w:t>
            </w:r>
          </w:p>
        </w:tc>
        <w:tc>
          <w:tcPr>
            <w:tcW w:type="dxa" w:w="2520"/>
            <w:vAlign w:val="center"/>
          </w:tcPr>
          <w:p>
            <w:pPr>
              <w:spacing w:after="0"/>
            </w:pPr>
            <w:r>
              <w:rPr>
                <w:sz w:val="13"/>
              </w:rPr>
              <w:t>US</w:t>
            </w:r>
          </w:p>
        </w:tc>
        <w:tc>
          <w:tcPr>
            <w:tcW w:type="dxa" w:w="2520"/>
            <w:vAlign w:val="center"/>
          </w:tcPr>
          <w:p>
            <w:pPr>
              <w:spacing w:after="0"/>
            </w:pPr>
            <w:r>
              <w:rPr>
                <w:sz w:val="13"/>
              </w:rPr>
              <w:t>$720B</w:t>
            </w:r>
          </w:p>
        </w:tc>
      </w:tr>
      <w:tr>
        <w:tc>
          <w:tcPr>
            <w:tcW w:type="dxa" w:w="2520"/>
            <w:shd w:fill="F6F7F8"/>
            <w:vAlign w:val="center"/>
          </w:tcPr>
          <w:p>
            <w:pPr>
              <w:spacing w:after="0"/>
            </w:pPr>
            <w:r>
              <w:rPr>
                <w:sz w:val="13"/>
              </w:rPr>
              <w:t>39</w:t>
            </w:r>
          </w:p>
        </w:tc>
        <w:tc>
          <w:tcPr>
            <w:tcW w:type="dxa" w:w="2520"/>
            <w:shd w:fill="F6F7F8"/>
            <w:vAlign w:val="center"/>
          </w:tcPr>
          <w:p>
            <w:pPr>
              <w:spacing w:after="0"/>
            </w:pPr>
            <w:r>
              <w:rPr>
                <w:sz w:val="13"/>
              </w:rPr>
              <w:t>Intuitive Surgical</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$700B</w:t>
            </w:r>
          </w:p>
        </w:tc>
      </w:tr>
      <w:tr>
        <w:tc>
          <w:tcPr>
            <w:tcW w:type="dxa" w:w="2520"/>
            <w:vAlign w:val="center"/>
          </w:tcPr>
          <w:p>
            <w:pPr>
              <w:spacing w:after="0"/>
            </w:pPr>
            <w:r>
              <w:rPr>
                <w:sz w:val="13"/>
              </w:rPr>
              <w:t>40</w:t>
            </w:r>
          </w:p>
        </w:tc>
        <w:tc>
          <w:tcPr>
            <w:tcW w:type="dxa" w:w="2520"/>
            <w:vAlign w:val="center"/>
          </w:tcPr>
          <w:p>
            <w:pPr>
              <w:spacing w:after="0"/>
            </w:pPr>
            <w:r>
              <w:rPr>
                <w:sz w:val="13"/>
              </w:rPr>
              <w:t>ServiceNow</w:t>
            </w:r>
          </w:p>
        </w:tc>
        <w:tc>
          <w:tcPr>
            <w:tcW w:type="dxa" w:w="2520"/>
            <w:vAlign w:val="center"/>
          </w:tcPr>
          <w:p>
            <w:pPr>
              <w:spacing w:after="0"/>
            </w:pPr>
            <w:r>
              <w:rPr>
                <w:sz w:val="13"/>
              </w:rPr>
              <w:t>US</w:t>
            </w:r>
          </w:p>
        </w:tc>
        <w:tc>
          <w:tcPr>
            <w:tcW w:type="dxa" w:w="2520"/>
            <w:vAlign w:val="center"/>
          </w:tcPr>
          <w:p>
            <w:pPr>
              <w:spacing w:after="0"/>
            </w:pPr>
            <w:r>
              <w:rPr>
                <w:sz w:val="13"/>
              </w:rPr>
              <w:t>$690B</w:t>
            </w:r>
          </w:p>
        </w:tc>
      </w:tr>
      <w:tr>
        <w:tc>
          <w:tcPr>
            <w:tcW w:type="dxa" w:w="2520"/>
            <w:shd w:fill="F6F7F8"/>
            <w:vAlign w:val="center"/>
          </w:tcPr>
          <w:p>
            <w:pPr>
              <w:spacing w:after="0"/>
            </w:pPr>
            <w:r>
              <w:rPr>
                <w:sz w:val="13"/>
              </w:rPr>
              <w:t>41</w:t>
            </w:r>
          </w:p>
        </w:tc>
        <w:tc>
          <w:tcPr>
            <w:tcW w:type="dxa" w:w="2520"/>
            <w:shd w:fill="F6F7F8"/>
            <w:vAlign w:val="center"/>
          </w:tcPr>
          <w:p>
            <w:pPr>
              <w:spacing w:after="0"/>
            </w:pPr>
            <w:r>
              <w:rPr>
                <w:sz w:val="13"/>
              </w:rPr>
              <w:t>LVMH</w:t>
            </w:r>
          </w:p>
        </w:tc>
        <w:tc>
          <w:tcPr>
            <w:tcW w:type="dxa" w:w="2520"/>
            <w:shd w:fill="F6F7F8"/>
            <w:vAlign w:val="center"/>
          </w:tcPr>
          <w:p>
            <w:pPr>
              <w:spacing w:after="0"/>
            </w:pPr>
            <w:r>
              <w:rPr>
                <w:sz w:val="13"/>
              </w:rPr>
              <w:t>France</w:t>
            </w:r>
          </w:p>
        </w:tc>
        <w:tc>
          <w:tcPr>
            <w:tcW w:type="dxa" w:w="2520"/>
            <w:shd w:fill="F6F7F8"/>
            <w:vAlign w:val="center"/>
          </w:tcPr>
          <w:p>
            <w:pPr>
              <w:spacing w:after="0"/>
            </w:pPr>
            <w:r>
              <w:rPr>
                <w:sz w:val="13"/>
              </w:rPr>
              <w:t>$680B</w:t>
            </w:r>
          </w:p>
        </w:tc>
      </w:tr>
      <w:tr>
        <w:tc>
          <w:tcPr>
            <w:tcW w:type="dxa" w:w="2520"/>
            <w:vAlign w:val="center"/>
          </w:tcPr>
          <w:p>
            <w:pPr>
              <w:spacing w:after="0"/>
            </w:pPr>
            <w:r>
              <w:rPr>
                <w:sz w:val="13"/>
              </w:rPr>
              <w:t>42</w:t>
            </w:r>
          </w:p>
        </w:tc>
        <w:tc>
          <w:tcPr>
            <w:tcW w:type="dxa" w:w="2520"/>
            <w:vAlign w:val="center"/>
          </w:tcPr>
          <w:p>
            <w:pPr>
              <w:spacing w:after="0"/>
            </w:pPr>
            <w:r>
              <w:rPr>
                <w:sz w:val="13"/>
              </w:rPr>
              <w:t>Roche</w:t>
            </w:r>
          </w:p>
        </w:tc>
        <w:tc>
          <w:tcPr>
            <w:tcW w:type="dxa" w:w="2520"/>
            <w:vAlign w:val="center"/>
          </w:tcPr>
          <w:p>
            <w:pPr>
              <w:spacing w:after="0"/>
            </w:pPr>
            <w:r>
              <w:rPr>
                <w:sz w:val="13"/>
              </w:rPr>
              <w:t>Switzerland</w:t>
            </w:r>
          </w:p>
        </w:tc>
        <w:tc>
          <w:tcPr>
            <w:tcW w:type="dxa" w:w="2520"/>
            <w:vAlign w:val="center"/>
          </w:tcPr>
          <w:p>
            <w:pPr>
              <w:spacing w:after="0"/>
            </w:pPr>
            <w:r>
              <w:rPr>
                <w:sz w:val="13"/>
              </w:rPr>
              <w:t>$670B</w:t>
            </w:r>
          </w:p>
        </w:tc>
      </w:tr>
      <w:tr>
        <w:tc>
          <w:tcPr>
            <w:tcW w:type="dxa" w:w="2520"/>
            <w:shd w:fill="F6F7F8"/>
            <w:vAlign w:val="center"/>
          </w:tcPr>
          <w:p>
            <w:pPr>
              <w:spacing w:after="0"/>
            </w:pPr>
            <w:r>
              <w:rPr>
                <w:sz w:val="13"/>
              </w:rPr>
              <w:t>43</w:t>
            </w:r>
          </w:p>
        </w:tc>
        <w:tc>
          <w:tcPr>
            <w:tcW w:type="dxa" w:w="2520"/>
            <w:shd w:fill="F6F7F8"/>
            <w:vAlign w:val="center"/>
          </w:tcPr>
          <w:p>
            <w:pPr>
              <w:spacing w:after="0"/>
            </w:pPr>
            <w:r>
              <w:rPr>
                <w:sz w:val="13"/>
              </w:rPr>
              <w:t>Exxon Mobil</w:t>
            </w:r>
          </w:p>
        </w:tc>
        <w:tc>
          <w:tcPr>
            <w:tcW w:type="dxa" w:w="2520"/>
            <w:shd w:fill="F6F7F8"/>
            <w:vAlign w:val="center"/>
          </w:tcPr>
          <w:p>
            <w:pPr>
              <w:spacing w:after="0"/>
            </w:pPr>
            <w:r>
              <w:rPr>
                <w:sz w:val="13"/>
              </w:rPr>
              <w:t>US</w:t>
            </w:r>
          </w:p>
        </w:tc>
        <w:tc>
          <w:tcPr>
            <w:tcW w:type="dxa" w:w="2520"/>
            <w:shd w:fill="F6F7F8"/>
            <w:vAlign w:val="center"/>
          </w:tcPr>
          <w:p>
            <w:pPr>
              <w:spacing w:after="0"/>
            </w:pPr>
            <w:r>
              <w:rPr>
                <w:sz w:val="13"/>
              </w:rPr>
              <w:t>$650B</w:t>
            </w:r>
          </w:p>
        </w:tc>
      </w:tr>
      <w:tr>
        <w:tc>
          <w:tcPr>
            <w:tcW w:type="dxa" w:w="2520"/>
            <w:vAlign w:val="center"/>
          </w:tcPr>
          <w:p>
            <w:pPr>
              <w:spacing w:after="0"/>
            </w:pPr>
            <w:r>
              <w:rPr>
                <w:sz w:val="13"/>
              </w:rPr>
              <w:t>44</w:t>
            </w:r>
          </w:p>
        </w:tc>
        <w:tc>
          <w:tcPr>
            <w:tcW w:type="dxa" w:w="2520"/>
            <w:vAlign w:val="center"/>
          </w:tcPr>
          <w:p>
            <w:pPr>
              <w:spacing w:after="0"/>
            </w:pPr>
            <w:r>
              <w:rPr>
                <w:sz w:val="13"/>
              </w:rPr>
              <w:t>Airbus</w:t>
            </w:r>
          </w:p>
        </w:tc>
        <w:tc>
          <w:tcPr>
            <w:tcW w:type="dxa" w:w="2520"/>
            <w:vAlign w:val="center"/>
          </w:tcPr>
          <w:p>
            <w:pPr>
              <w:spacing w:after="0"/>
            </w:pPr>
            <w:r>
              <w:rPr>
                <w:sz w:val="13"/>
              </w:rPr>
              <w:t>EU</w:t>
            </w:r>
          </w:p>
        </w:tc>
        <w:tc>
          <w:tcPr>
            <w:tcW w:type="dxa" w:w="2520"/>
            <w:vAlign w:val="center"/>
          </w:tcPr>
          <w:p>
            <w:pPr>
              <w:spacing w:after="0"/>
            </w:pPr>
            <w:r>
              <w:rPr>
                <w:sz w:val="13"/>
              </w:rPr>
              <w:t>$630B</w:t>
            </w:r>
          </w:p>
        </w:tc>
      </w:tr>
      <w:tr>
        <w:tc>
          <w:tcPr>
            <w:tcW w:type="dxa" w:w="2520"/>
            <w:shd w:fill="F6F7F8"/>
            <w:vAlign w:val="center"/>
          </w:tcPr>
          <w:p>
            <w:pPr>
              <w:spacing w:after="0"/>
            </w:pPr>
            <w:r>
              <w:rPr>
                <w:sz w:val="13"/>
              </w:rPr>
              <w:t>45</w:t>
            </w:r>
          </w:p>
        </w:tc>
        <w:tc>
          <w:tcPr>
            <w:tcW w:type="dxa" w:w="2520"/>
            <w:shd w:fill="F6F7F8"/>
            <w:vAlign w:val="center"/>
          </w:tcPr>
          <w:p>
            <w:pPr>
              <w:spacing w:after="0"/>
            </w:pPr>
            <w:r>
              <w:rPr>
                <w:sz w:val="13"/>
              </w:rPr>
              <w:t>Toyota</w:t>
            </w:r>
          </w:p>
        </w:tc>
        <w:tc>
          <w:tcPr>
            <w:tcW w:type="dxa" w:w="2520"/>
            <w:shd w:fill="F6F7F8"/>
            <w:vAlign w:val="center"/>
          </w:tcPr>
          <w:p>
            <w:pPr>
              <w:spacing w:after="0"/>
            </w:pPr>
            <w:r>
              <w:rPr>
                <w:sz w:val="13"/>
              </w:rPr>
              <w:t>Japan</w:t>
            </w:r>
          </w:p>
        </w:tc>
        <w:tc>
          <w:tcPr>
            <w:tcW w:type="dxa" w:w="2520"/>
            <w:shd w:fill="F6F7F8"/>
            <w:vAlign w:val="center"/>
          </w:tcPr>
          <w:p>
            <w:pPr>
              <w:spacing w:after="0"/>
            </w:pPr>
            <w:r>
              <w:rPr>
                <w:sz w:val="13"/>
              </w:rPr>
              <w:t>$620B</w:t>
            </w:r>
          </w:p>
        </w:tc>
      </w:tr>
      <w:tr>
        <w:tc>
          <w:tcPr>
            <w:tcW w:type="dxa" w:w="2520"/>
            <w:vAlign w:val="center"/>
          </w:tcPr>
          <w:p>
            <w:pPr>
              <w:spacing w:after="0"/>
            </w:pPr>
            <w:r>
              <w:rPr>
                <w:sz w:val="13"/>
              </w:rPr>
              <w:t>46</w:t>
            </w:r>
          </w:p>
        </w:tc>
        <w:tc>
          <w:tcPr>
            <w:tcW w:type="dxa" w:w="2520"/>
            <w:vAlign w:val="center"/>
          </w:tcPr>
          <w:p>
            <w:pPr>
              <w:spacing w:after="0"/>
            </w:pPr>
            <w:r>
              <w:rPr>
                <w:sz w:val="13"/>
              </w:rPr>
              <w:t>Hitachi</w:t>
            </w:r>
          </w:p>
        </w:tc>
        <w:tc>
          <w:tcPr>
            <w:tcW w:type="dxa" w:w="2520"/>
            <w:vAlign w:val="center"/>
          </w:tcPr>
          <w:p>
            <w:pPr>
              <w:spacing w:after="0"/>
            </w:pPr>
            <w:r>
              <w:rPr>
                <w:sz w:val="13"/>
              </w:rPr>
              <w:t>Japan</w:t>
            </w:r>
          </w:p>
        </w:tc>
        <w:tc>
          <w:tcPr>
            <w:tcW w:type="dxa" w:w="2520"/>
            <w:vAlign w:val="center"/>
          </w:tcPr>
          <w:p>
            <w:pPr>
              <w:spacing w:after="0"/>
            </w:pPr>
            <w:r>
              <w:rPr>
                <w:sz w:val="13"/>
              </w:rPr>
              <w:t>$600B</w:t>
            </w:r>
          </w:p>
        </w:tc>
      </w:tr>
      <w:tr>
        <w:tc>
          <w:tcPr>
            <w:tcW w:type="dxa" w:w="2520"/>
            <w:shd w:fill="F6F7F8"/>
            <w:vAlign w:val="center"/>
          </w:tcPr>
          <w:p>
            <w:pPr>
              <w:spacing w:after="0"/>
            </w:pPr>
            <w:r>
              <w:rPr>
                <w:sz w:val="13"/>
              </w:rPr>
              <w:t>47</w:t>
            </w:r>
          </w:p>
        </w:tc>
        <w:tc>
          <w:tcPr>
            <w:tcW w:type="dxa" w:w="2520"/>
            <w:shd w:fill="F6F7F8"/>
            <w:vAlign w:val="center"/>
          </w:tcPr>
          <w:p>
            <w:pPr>
              <w:spacing w:after="0"/>
            </w:pPr>
            <w:r>
              <w:rPr>
                <w:sz w:val="13"/>
              </w:rPr>
              <w:t>China Construction Bank</w:t>
            </w:r>
          </w:p>
        </w:tc>
        <w:tc>
          <w:tcPr>
            <w:tcW w:type="dxa" w:w="2520"/>
            <w:shd w:fill="F6F7F8"/>
            <w:vAlign w:val="center"/>
          </w:tcPr>
          <w:p>
            <w:pPr>
              <w:spacing w:after="0"/>
            </w:pPr>
            <w:r>
              <w:rPr>
                <w:sz w:val="13"/>
              </w:rPr>
              <w:t>China</w:t>
            </w:r>
          </w:p>
        </w:tc>
        <w:tc>
          <w:tcPr>
            <w:tcW w:type="dxa" w:w="2520"/>
            <w:shd w:fill="F6F7F8"/>
            <w:vAlign w:val="center"/>
          </w:tcPr>
          <w:p>
            <w:pPr>
              <w:spacing w:after="0"/>
            </w:pPr>
            <w:r>
              <w:rPr>
                <w:sz w:val="13"/>
              </w:rPr>
              <w:t>$580B</w:t>
            </w:r>
          </w:p>
        </w:tc>
      </w:tr>
      <w:tr>
        <w:tc>
          <w:tcPr>
            <w:tcW w:type="dxa" w:w="2520"/>
            <w:vAlign w:val="center"/>
          </w:tcPr>
          <w:p>
            <w:pPr>
              <w:spacing w:after="0"/>
            </w:pPr>
            <w:r>
              <w:rPr>
                <w:sz w:val="13"/>
              </w:rPr>
              <w:t>48</w:t>
            </w:r>
          </w:p>
        </w:tc>
        <w:tc>
          <w:tcPr>
            <w:tcW w:type="dxa" w:w="2520"/>
            <w:vAlign w:val="center"/>
          </w:tcPr>
          <w:p>
            <w:pPr>
              <w:spacing w:after="0"/>
            </w:pPr>
            <w:r>
              <w:rPr>
                <w:sz w:val="13"/>
              </w:rPr>
              <w:t>Meituan</w:t>
            </w:r>
          </w:p>
        </w:tc>
        <w:tc>
          <w:tcPr>
            <w:tcW w:type="dxa" w:w="2520"/>
            <w:vAlign w:val="center"/>
          </w:tcPr>
          <w:p>
            <w:pPr>
              <w:spacing w:after="0"/>
            </w:pPr>
            <w:r>
              <w:rPr>
                <w:sz w:val="13"/>
              </w:rPr>
              <w:t>China</w:t>
            </w:r>
          </w:p>
        </w:tc>
        <w:tc>
          <w:tcPr>
            <w:tcW w:type="dxa" w:w="2520"/>
            <w:vAlign w:val="center"/>
          </w:tcPr>
          <w:p>
            <w:pPr>
              <w:spacing w:after="0"/>
            </w:pPr>
            <w:r>
              <w:rPr>
                <w:sz w:val="13"/>
              </w:rPr>
              <w:t>$570B</w:t>
            </w:r>
          </w:p>
        </w:tc>
      </w:tr>
      <w:tr>
        <w:tc>
          <w:tcPr>
            <w:tcW w:type="dxa" w:w="2520"/>
            <w:shd w:fill="F6F7F8"/>
            <w:vAlign w:val="center"/>
          </w:tcPr>
          <w:p>
            <w:pPr>
              <w:spacing w:after="0"/>
            </w:pPr>
            <w:r>
              <w:rPr>
                <w:sz w:val="13"/>
              </w:rPr>
              <w:t>49</w:t>
            </w:r>
          </w:p>
        </w:tc>
        <w:tc>
          <w:tcPr>
            <w:tcW w:type="dxa" w:w="2520"/>
            <w:shd w:fill="F6F7F8"/>
            <w:vAlign w:val="center"/>
          </w:tcPr>
          <w:p>
            <w:pPr>
              <w:spacing w:after="0"/>
            </w:pPr>
            <w:r>
              <w:rPr>
                <w:sz w:val="13"/>
              </w:rPr>
              <w:t>CATL</w:t>
            </w:r>
          </w:p>
        </w:tc>
        <w:tc>
          <w:tcPr>
            <w:tcW w:type="dxa" w:w="2520"/>
            <w:shd w:fill="F6F7F8"/>
            <w:vAlign w:val="center"/>
          </w:tcPr>
          <w:p>
            <w:pPr>
              <w:spacing w:after="0"/>
            </w:pPr>
            <w:r>
              <w:rPr>
                <w:sz w:val="13"/>
              </w:rPr>
              <w:t>China</w:t>
            </w:r>
          </w:p>
        </w:tc>
        <w:tc>
          <w:tcPr>
            <w:tcW w:type="dxa" w:w="2520"/>
            <w:shd w:fill="F6F7F8"/>
            <w:vAlign w:val="center"/>
          </w:tcPr>
          <w:p>
            <w:pPr>
              <w:spacing w:after="0"/>
            </w:pPr>
            <w:r>
              <w:rPr>
                <w:sz w:val="13"/>
              </w:rPr>
              <w:t>$550B</w:t>
            </w:r>
          </w:p>
        </w:tc>
      </w:tr>
      <w:tr>
        <w:tc>
          <w:tcPr>
            <w:tcW w:type="dxa" w:w="2520"/>
            <w:vAlign w:val="center"/>
          </w:tcPr>
          <w:p>
            <w:pPr>
              <w:spacing w:after="0"/>
            </w:pPr>
            <w:r>
              <w:rPr>
                <w:sz w:val="13"/>
              </w:rPr>
              <w:t>50</w:t>
            </w:r>
          </w:p>
        </w:tc>
        <w:tc>
          <w:tcPr>
            <w:tcW w:type="dxa" w:w="2520"/>
            <w:vAlign w:val="center"/>
          </w:tcPr>
          <w:p>
            <w:pPr>
              <w:spacing w:after="0"/>
            </w:pPr>
            <w:r>
              <w:rPr>
                <w:sz w:val="13"/>
              </w:rPr>
              <w:t>BYD</w:t>
            </w:r>
          </w:p>
        </w:tc>
        <w:tc>
          <w:tcPr>
            <w:tcW w:type="dxa" w:w="2520"/>
            <w:vAlign w:val="center"/>
          </w:tcPr>
          <w:p>
            <w:pPr>
              <w:spacing w:after="0"/>
            </w:pPr>
            <w:r>
              <w:rPr>
                <w:sz w:val="13"/>
              </w:rPr>
              <w:t>China</w:t>
            </w:r>
          </w:p>
        </w:tc>
        <w:tc>
          <w:tcPr>
            <w:tcW w:type="dxa" w:w="2520"/>
            <w:vAlign w:val="center"/>
          </w:tcPr>
          <w:p>
            <w:pPr>
              <w:spacing w:after="0"/>
            </w:pPr>
            <w:r>
              <w:rPr>
                <w:sz w:val="13"/>
              </w:rPr>
              <w:t>$540B</w:t>
            </w:r>
          </w:p>
        </w:tc>
      </w:tr>
    </w:tbl>
    <w:p>
      <w:pPr>
        <w:spacing w:after="40"/>
      </w:pPr>
    </w:p>
    <w:p>
      <w:pPr>
        <w:pStyle w:val="Heading1"/>
      </w:pPr>
      <w:r>
        <w:t>13. Top 50 fortunes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52A30"/>
            <w:vAlign w:val="center"/>
          </w:tcPr>
          <w:p>
            <w:r>
              <w:rPr>
                <w:b/>
                <w:color w:val="FFFFFF"/>
                <w:sz w:val="13"/>
              </w:rPr>
              <w:t>#</w:t>
            </w:r>
          </w:p>
        </w:tc>
        <w:tc>
          <w:tcPr>
            <w:tcW w:type="dxa" w:w="3360"/>
            <w:shd w:fill="252A30"/>
            <w:vAlign w:val="center"/>
          </w:tcPr>
          <w:p>
            <w:r>
              <w:rPr>
                <w:b/>
                <w:color w:val="FFFFFF"/>
                <w:sz w:val="13"/>
              </w:rPr>
              <w:t>Holder</w:t>
            </w:r>
          </w:p>
        </w:tc>
        <w:tc>
          <w:tcPr>
            <w:tcW w:type="dxa" w:w="3360"/>
            <w:shd w:fill="252A30"/>
            <w:vAlign w:val="center"/>
          </w:tcPr>
          <w:p>
            <w:r>
              <w:rPr>
                <w:b/>
                <w:color w:val="FFFFFF"/>
                <w:sz w:val="13"/>
              </w:rPr>
              <w:t>Est. net worth</w:t>
            </w:r>
          </w:p>
        </w:tc>
      </w:tr>
      <w:tr>
        <w:tc>
          <w:tcPr>
            <w:tcW w:type="dxa" w:w="3360"/>
            <w:shd w:fill="F6F7F8"/>
            <w:vAlign w:val="center"/>
          </w:tcPr>
          <w:p>
            <w:pPr>
              <w:spacing w:after="0"/>
            </w:pPr>
            <w:r>
              <w:rPr>
                <w:sz w:val="13"/>
              </w:rPr>
              <w:t>1</w:t>
            </w:r>
          </w:p>
        </w:tc>
        <w:tc>
          <w:tcPr>
            <w:tcW w:type="dxa" w:w="3360"/>
            <w:shd w:fill="F6F7F8"/>
            <w:vAlign w:val="center"/>
          </w:tcPr>
          <w:p>
            <w:pPr>
              <w:spacing w:after="0"/>
            </w:pPr>
            <w:r>
              <w:rPr>
                <w:sz w:val="13"/>
              </w:rPr>
              <w:t>Elon Musk</w:t>
            </w:r>
          </w:p>
        </w:tc>
        <w:tc>
          <w:tcPr>
            <w:tcW w:type="dxa" w:w="3360"/>
            <w:shd w:fill="F6F7F8"/>
            <w:vAlign w:val="center"/>
          </w:tcPr>
          <w:p>
            <w:pPr>
              <w:spacing w:after="0"/>
            </w:pPr>
            <w:r>
              <w:rPr>
                <w:sz w:val="13"/>
              </w:rPr>
              <w:t>$1550B</w:t>
            </w:r>
          </w:p>
        </w:tc>
      </w:tr>
      <w:tr>
        <w:tc>
          <w:tcPr>
            <w:tcW w:type="dxa" w:w="3360"/>
            <w:vAlign w:val="center"/>
          </w:tcPr>
          <w:p>
            <w:pPr>
              <w:spacing w:after="0"/>
            </w:pPr>
            <w:r>
              <w:rPr>
                <w:sz w:val="13"/>
              </w:rPr>
              <w:t>2</w:t>
            </w:r>
          </w:p>
        </w:tc>
        <w:tc>
          <w:tcPr>
            <w:tcW w:type="dxa" w:w="3360"/>
            <w:vAlign w:val="center"/>
          </w:tcPr>
          <w:p>
            <w:pPr>
              <w:spacing w:after="0"/>
            </w:pPr>
            <w:r>
              <w:rPr>
                <w:sz w:val="13"/>
              </w:rPr>
              <w:t>Larry Page</w:t>
            </w:r>
          </w:p>
        </w:tc>
        <w:tc>
          <w:tcPr>
            <w:tcW w:type="dxa" w:w="3360"/>
            <w:vAlign w:val="center"/>
          </w:tcPr>
          <w:p>
            <w:pPr>
              <w:spacing w:after="0"/>
            </w:pPr>
            <w:r>
              <w:rPr>
                <w:sz w:val="13"/>
              </w:rPr>
              <w:t>$520B</w:t>
            </w:r>
          </w:p>
        </w:tc>
      </w:tr>
      <w:tr>
        <w:tc>
          <w:tcPr>
            <w:tcW w:type="dxa" w:w="3360"/>
            <w:shd w:fill="F6F7F8"/>
            <w:vAlign w:val="center"/>
          </w:tcPr>
          <w:p>
            <w:pPr>
              <w:spacing w:after="0"/>
            </w:pPr>
            <w:r>
              <w:rPr>
                <w:sz w:val="13"/>
              </w:rPr>
              <w:t>3</w:t>
            </w:r>
          </w:p>
        </w:tc>
        <w:tc>
          <w:tcPr>
            <w:tcW w:type="dxa" w:w="3360"/>
            <w:shd w:fill="F6F7F8"/>
            <w:vAlign w:val="center"/>
          </w:tcPr>
          <w:p>
            <w:pPr>
              <w:spacing w:after="0"/>
            </w:pPr>
            <w:r>
              <w:rPr>
                <w:sz w:val="13"/>
              </w:rPr>
              <w:t>Jeff Bezos</w:t>
            </w:r>
          </w:p>
        </w:tc>
        <w:tc>
          <w:tcPr>
            <w:tcW w:type="dxa" w:w="3360"/>
            <w:shd w:fill="F6F7F8"/>
            <w:vAlign w:val="center"/>
          </w:tcPr>
          <w:p>
            <w:pPr>
              <w:spacing w:after="0"/>
            </w:pPr>
            <w:r>
              <w:rPr>
                <w:sz w:val="13"/>
              </w:rPr>
              <w:t>$500B</w:t>
            </w:r>
          </w:p>
        </w:tc>
      </w:tr>
      <w:tr>
        <w:tc>
          <w:tcPr>
            <w:tcW w:type="dxa" w:w="3360"/>
            <w:vAlign w:val="center"/>
          </w:tcPr>
          <w:p>
            <w:pPr>
              <w:spacing w:after="0"/>
            </w:pPr>
            <w:r>
              <w:rPr>
                <w:sz w:val="13"/>
              </w:rPr>
              <w:t>4</w:t>
            </w:r>
          </w:p>
        </w:tc>
        <w:tc>
          <w:tcPr>
            <w:tcW w:type="dxa" w:w="3360"/>
            <w:vAlign w:val="center"/>
          </w:tcPr>
          <w:p>
            <w:pPr>
              <w:spacing w:after="0"/>
            </w:pPr>
            <w:r>
              <w:rPr>
                <w:sz w:val="13"/>
              </w:rPr>
              <w:t>Mark Zuckerberg</w:t>
            </w:r>
          </w:p>
        </w:tc>
        <w:tc>
          <w:tcPr>
            <w:tcW w:type="dxa" w:w="3360"/>
            <w:vAlign w:val="center"/>
          </w:tcPr>
          <w:p>
            <w:pPr>
              <w:spacing w:after="0"/>
            </w:pPr>
            <w:r>
              <w:rPr>
                <w:sz w:val="13"/>
              </w:rPr>
              <w:t>$470B</w:t>
            </w:r>
          </w:p>
        </w:tc>
      </w:tr>
      <w:tr>
        <w:tc>
          <w:tcPr>
            <w:tcW w:type="dxa" w:w="3360"/>
            <w:shd w:fill="F6F7F8"/>
            <w:vAlign w:val="center"/>
          </w:tcPr>
          <w:p>
            <w:pPr>
              <w:spacing w:after="0"/>
            </w:pPr>
            <w:r>
              <w:rPr>
                <w:sz w:val="13"/>
              </w:rPr>
              <w:t>5</w:t>
            </w:r>
          </w:p>
        </w:tc>
        <w:tc>
          <w:tcPr>
            <w:tcW w:type="dxa" w:w="3360"/>
            <w:shd w:fill="F6F7F8"/>
            <w:vAlign w:val="center"/>
          </w:tcPr>
          <w:p>
            <w:pPr>
              <w:spacing w:after="0"/>
            </w:pPr>
            <w:r>
              <w:rPr>
                <w:sz w:val="13"/>
              </w:rPr>
              <w:t>Sergey Brin</w:t>
            </w:r>
          </w:p>
        </w:tc>
        <w:tc>
          <w:tcPr>
            <w:tcW w:type="dxa" w:w="3360"/>
            <w:shd w:fill="F6F7F8"/>
            <w:vAlign w:val="center"/>
          </w:tcPr>
          <w:p>
            <w:pPr>
              <w:spacing w:after="0"/>
            </w:pPr>
            <w:r>
              <w:rPr>
                <w:sz w:val="13"/>
              </w:rPr>
              <w:t>$455B</w:t>
            </w:r>
          </w:p>
        </w:tc>
      </w:tr>
      <w:tr>
        <w:tc>
          <w:tcPr>
            <w:tcW w:type="dxa" w:w="3360"/>
            <w:vAlign w:val="center"/>
          </w:tcPr>
          <w:p>
            <w:pPr>
              <w:spacing w:after="0"/>
            </w:pPr>
            <w:r>
              <w:rPr>
                <w:sz w:val="13"/>
              </w:rPr>
              <w:t>6</w:t>
            </w:r>
          </w:p>
        </w:tc>
        <w:tc>
          <w:tcPr>
            <w:tcW w:type="dxa" w:w="3360"/>
            <w:vAlign w:val="center"/>
          </w:tcPr>
          <w:p>
            <w:pPr>
              <w:spacing w:after="0"/>
            </w:pPr>
            <w:r>
              <w:rPr>
                <w:sz w:val="13"/>
              </w:rPr>
              <w:t>Jensen Huang</w:t>
            </w:r>
          </w:p>
        </w:tc>
        <w:tc>
          <w:tcPr>
            <w:tcW w:type="dxa" w:w="3360"/>
            <w:vAlign w:val="center"/>
          </w:tcPr>
          <w:p>
            <w:pPr>
              <w:spacing w:after="0"/>
            </w:pPr>
            <w:r>
              <w:rPr>
                <w:sz w:val="13"/>
              </w:rPr>
              <w:t>$390B</w:t>
            </w:r>
          </w:p>
        </w:tc>
      </w:tr>
      <w:tr>
        <w:tc>
          <w:tcPr>
            <w:tcW w:type="dxa" w:w="3360"/>
            <w:shd w:fill="F6F7F8"/>
            <w:vAlign w:val="center"/>
          </w:tcPr>
          <w:p>
            <w:pPr>
              <w:spacing w:after="0"/>
            </w:pPr>
            <w:r>
              <w:rPr>
                <w:sz w:val="13"/>
              </w:rPr>
              <w:t>7</w:t>
            </w:r>
          </w:p>
        </w:tc>
        <w:tc>
          <w:tcPr>
            <w:tcW w:type="dxa" w:w="3360"/>
            <w:shd w:fill="F6F7F8"/>
            <w:vAlign w:val="center"/>
          </w:tcPr>
          <w:p>
            <w:pPr>
              <w:spacing w:after="0"/>
            </w:pPr>
            <w:r>
              <w:rPr>
                <w:sz w:val="13"/>
              </w:rPr>
              <w:t>Larry Ellison</w:t>
            </w:r>
          </w:p>
        </w:tc>
        <w:tc>
          <w:tcPr>
            <w:tcW w:type="dxa" w:w="3360"/>
            <w:shd w:fill="F6F7F8"/>
            <w:vAlign w:val="center"/>
          </w:tcPr>
          <w:p>
            <w:pPr>
              <w:spacing w:after="0"/>
            </w:pPr>
            <w:r>
              <w:rPr>
                <w:sz w:val="13"/>
              </w:rPr>
              <w:t>$360B</w:t>
            </w:r>
          </w:p>
        </w:tc>
      </w:tr>
      <w:tr>
        <w:tc>
          <w:tcPr>
            <w:tcW w:type="dxa" w:w="3360"/>
            <w:vAlign w:val="center"/>
          </w:tcPr>
          <w:p>
            <w:pPr>
              <w:spacing w:after="0"/>
            </w:pPr>
            <w:r>
              <w:rPr>
                <w:sz w:val="13"/>
              </w:rPr>
              <w:t>8</w:t>
            </w:r>
          </w:p>
        </w:tc>
        <w:tc>
          <w:tcPr>
            <w:tcW w:type="dxa" w:w="3360"/>
            <w:vAlign w:val="center"/>
          </w:tcPr>
          <w:p>
            <w:pPr>
              <w:spacing w:after="0"/>
            </w:pPr>
            <w:r>
              <w:rPr>
                <w:sz w:val="13"/>
              </w:rPr>
              <w:t>Michael Dell</w:t>
            </w:r>
          </w:p>
        </w:tc>
        <w:tc>
          <w:tcPr>
            <w:tcW w:type="dxa" w:w="3360"/>
            <w:vAlign w:val="center"/>
          </w:tcPr>
          <w:p>
            <w:pPr>
              <w:spacing w:after="0"/>
            </w:pPr>
            <w:r>
              <w:rPr>
                <w:sz w:val="13"/>
              </w:rPr>
              <w:t>$305B</w:t>
            </w:r>
          </w:p>
        </w:tc>
      </w:tr>
      <w:tr>
        <w:tc>
          <w:tcPr>
            <w:tcW w:type="dxa" w:w="3360"/>
            <w:shd w:fill="F6F7F8"/>
            <w:vAlign w:val="center"/>
          </w:tcPr>
          <w:p>
            <w:pPr>
              <w:spacing w:after="0"/>
            </w:pPr>
            <w:r>
              <w:rPr>
                <w:sz w:val="13"/>
              </w:rPr>
              <w:t>9</w:t>
            </w:r>
          </w:p>
        </w:tc>
        <w:tc>
          <w:tcPr>
            <w:tcW w:type="dxa" w:w="3360"/>
            <w:shd w:fill="F6F7F8"/>
            <w:vAlign w:val="center"/>
          </w:tcPr>
          <w:p>
            <w:pPr>
              <w:spacing w:after="0"/>
            </w:pPr>
            <w:r>
              <w:rPr>
                <w:sz w:val="13"/>
              </w:rPr>
              <w:t>Steve Ballmer</w:t>
            </w:r>
          </w:p>
        </w:tc>
        <w:tc>
          <w:tcPr>
            <w:tcW w:type="dxa" w:w="3360"/>
            <w:shd w:fill="F6F7F8"/>
            <w:vAlign w:val="center"/>
          </w:tcPr>
          <w:p>
            <w:pPr>
              <w:spacing w:after="0"/>
            </w:pPr>
            <w:r>
              <w:rPr>
                <w:sz w:val="13"/>
              </w:rPr>
              <w:t>$275B</w:t>
            </w:r>
          </w:p>
        </w:tc>
      </w:tr>
      <w:tr>
        <w:tc>
          <w:tcPr>
            <w:tcW w:type="dxa" w:w="3360"/>
            <w:vAlign w:val="center"/>
          </w:tcPr>
          <w:p>
            <w:pPr>
              <w:spacing w:after="0"/>
            </w:pPr>
            <w:r>
              <w:rPr>
                <w:sz w:val="13"/>
              </w:rPr>
              <w:t>10</w:t>
            </w:r>
          </w:p>
        </w:tc>
        <w:tc>
          <w:tcPr>
            <w:tcW w:type="dxa" w:w="3360"/>
            <w:vAlign w:val="center"/>
          </w:tcPr>
          <w:p>
            <w:pPr>
              <w:spacing w:after="0"/>
            </w:pPr>
            <w:r>
              <w:rPr>
                <w:sz w:val="13"/>
              </w:rPr>
              <w:t>Bill Gates</w:t>
            </w:r>
          </w:p>
        </w:tc>
        <w:tc>
          <w:tcPr>
            <w:tcW w:type="dxa" w:w="3360"/>
            <w:vAlign w:val="center"/>
          </w:tcPr>
          <w:p>
            <w:pPr>
              <w:spacing w:after="0"/>
            </w:pPr>
            <w:r>
              <w:rPr>
                <w:sz w:val="13"/>
              </w:rPr>
              <w:t>$225B</w:t>
            </w:r>
          </w:p>
        </w:tc>
      </w:tr>
      <w:tr>
        <w:tc>
          <w:tcPr>
            <w:tcW w:type="dxa" w:w="3360"/>
            <w:shd w:fill="F6F7F8"/>
            <w:vAlign w:val="center"/>
          </w:tcPr>
          <w:p>
            <w:pPr>
              <w:spacing w:after="0"/>
            </w:pPr>
            <w:r>
              <w:rPr>
                <w:sz w:val="13"/>
              </w:rPr>
              <w:t>11</w:t>
            </w:r>
          </w:p>
        </w:tc>
        <w:tc>
          <w:tcPr>
            <w:tcW w:type="dxa" w:w="3360"/>
            <w:shd w:fill="F6F7F8"/>
            <w:vAlign w:val="center"/>
          </w:tcPr>
          <w:p>
            <w:pPr>
              <w:spacing w:after="0"/>
            </w:pPr>
            <w:r>
              <w:rPr>
                <w:sz w:val="13"/>
              </w:rPr>
              <w:t>Changpeng Zhao</w:t>
            </w:r>
          </w:p>
        </w:tc>
        <w:tc>
          <w:tcPr>
            <w:tcW w:type="dxa" w:w="3360"/>
            <w:shd w:fill="F6F7F8"/>
            <w:vAlign w:val="center"/>
          </w:tcPr>
          <w:p>
            <w:pPr>
              <w:spacing w:after="0"/>
            </w:pPr>
            <w:r>
              <w:rPr>
                <w:sz w:val="13"/>
              </w:rPr>
              <w:t>$210B</w:t>
            </w:r>
          </w:p>
        </w:tc>
      </w:tr>
      <w:tr>
        <w:tc>
          <w:tcPr>
            <w:tcW w:type="dxa" w:w="3360"/>
            <w:vAlign w:val="center"/>
          </w:tcPr>
          <w:p>
            <w:pPr>
              <w:spacing w:after="0"/>
            </w:pPr>
            <w:r>
              <w:rPr>
                <w:sz w:val="13"/>
              </w:rPr>
              <w:t>12</w:t>
            </w:r>
          </w:p>
        </w:tc>
        <w:tc>
          <w:tcPr>
            <w:tcW w:type="dxa" w:w="3360"/>
            <w:vAlign w:val="center"/>
          </w:tcPr>
          <w:p>
            <w:pPr>
              <w:spacing w:after="0"/>
            </w:pPr>
            <w:r>
              <w:rPr>
                <w:sz w:val="13"/>
              </w:rPr>
              <w:t>Carlos Slim Helú</w:t>
            </w:r>
          </w:p>
        </w:tc>
        <w:tc>
          <w:tcPr>
            <w:tcW w:type="dxa" w:w="3360"/>
            <w:vAlign w:val="center"/>
          </w:tcPr>
          <w:p>
            <w:pPr>
              <w:spacing w:after="0"/>
            </w:pPr>
            <w:r>
              <w:rPr>
                <w:sz w:val="13"/>
              </w:rPr>
              <w:t>$205B</w:t>
            </w:r>
          </w:p>
        </w:tc>
      </w:tr>
      <w:tr>
        <w:tc>
          <w:tcPr>
            <w:tcW w:type="dxa" w:w="3360"/>
            <w:shd w:fill="F6F7F8"/>
            <w:vAlign w:val="center"/>
          </w:tcPr>
          <w:p>
            <w:pPr>
              <w:spacing w:after="0"/>
            </w:pPr>
            <w:r>
              <w:rPr>
                <w:sz w:val="13"/>
              </w:rPr>
              <w:t>13</w:t>
            </w:r>
          </w:p>
        </w:tc>
        <w:tc>
          <w:tcPr>
            <w:tcW w:type="dxa" w:w="3360"/>
            <w:shd w:fill="F6F7F8"/>
            <w:vAlign w:val="center"/>
          </w:tcPr>
          <w:p>
            <w:pPr>
              <w:spacing w:after="0"/>
            </w:pPr>
            <w:r>
              <w:rPr>
                <w:sz w:val="13"/>
              </w:rPr>
              <w:t>Amancio Ortega</w:t>
            </w:r>
          </w:p>
        </w:tc>
        <w:tc>
          <w:tcPr>
            <w:tcW w:type="dxa" w:w="3360"/>
            <w:shd w:fill="F6F7F8"/>
            <w:vAlign w:val="center"/>
          </w:tcPr>
          <w:p>
            <w:pPr>
              <w:spacing w:after="0"/>
            </w:pPr>
            <w:r>
              <w:rPr>
                <w:sz w:val="13"/>
              </w:rPr>
              <w:t>$195B</w:t>
            </w:r>
          </w:p>
        </w:tc>
      </w:tr>
      <w:tr>
        <w:tc>
          <w:tcPr>
            <w:tcW w:type="dxa" w:w="3360"/>
            <w:vAlign w:val="center"/>
          </w:tcPr>
          <w:p>
            <w:pPr>
              <w:spacing w:after="0"/>
            </w:pPr>
            <w:r>
              <w:rPr>
                <w:sz w:val="13"/>
              </w:rPr>
              <w:t>14</w:t>
            </w:r>
          </w:p>
        </w:tc>
        <w:tc>
          <w:tcPr>
            <w:tcW w:type="dxa" w:w="3360"/>
            <w:vAlign w:val="center"/>
          </w:tcPr>
          <w:p>
            <w:pPr>
              <w:spacing w:after="0"/>
            </w:pPr>
            <w:r>
              <w:rPr>
                <w:sz w:val="13"/>
              </w:rPr>
              <w:t>Bernard Arnault</w:t>
            </w:r>
          </w:p>
        </w:tc>
        <w:tc>
          <w:tcPr>
            <w:tcW w:type="dxa" w:w="3360"/>
            <w:vAlign w:val="center"/>
          </w:tcPr>
          <w:p>
            <w:pPr>
              <w:spacing w:after="0"/>
            </w:pPr>
            <w:r>
              <w:rPr>
                <w:sz w:val="13"/>
              </w:rPr>
              <w:t>$190B</w:t>
            </w:r>
          </w:p>
        </w:tc>
      </w:tr>
      <w:tr>
        <w:tc>
          <w:tcPr>
            <w:tcW w:type="dxa" w:w="3360"/>
            <w:shd w:fill="F6F7F8"/>
            <w:vAlign w:val="center"/>
          </w:tcPr>
          <w:p>
            <w:pPr>
              <w:spacing w:after="0"/>
            </w:pPr>
            <w:r>
              <w:rPr>
                <w:sz w:val="13"/>
              </w:rPr>
              <w:t>15</w:t>
            </w:r>
          </w:p>
        </w:tc>
        <w:tc>
          <w:tcPr>
            <w:tcW w:type="dxa" w:w="3360"/>
            <w:shd w:fill="F6F7F8"/>
            <w:vAlign w:val="center"/>
          </w:tcPr>
          <w:p>
            <w:pPr>
              <w:spacing w:after="0"/>
            </w:pPr>
            <w:r>
              <w:rPr>
                <w:sz w:val="13"/>
              </w:rPr>
              <w:t>Warren Buffett</w:t>
            </w:r>
          </w:p>
        </w:tc>
        <w:tc>
          <w:tcPr>
            <w:tcW w:type="dxa" w:w="3360"/>
            <w:shd w:fill="F6F7F8"/>
            <w:vAlign w:val="center"/>
          </w:tcPr>
          <w:p>
            <w:pPr>
              <w:spacing w:after="0"/>
            </w:pPr>
            <w:r>
              <w:rPr>
                <w:sz w:val="13"/>
              </w:rPr>
              <w:t>$185B</w:t>
            </w:r>
          </w:p>
        </w:tc>
      </w:tr>
      <w:tr>
        <w:tc>
          <w:tcPr>
            <w:tcW w:type="dxa" w:w="3360"/>
            <w:vAlign w:val="center"/>
          </w:tcPr>
          <w:p>
            <w:pPr>
              <w:spacing w:after="0"/>
            </w:pPr>
            <w:r>
              <w:rPr>
                <w:sz w:val="13"/>
              </w:rPr>
              <w:t>16</w:t>
            </w:r>
          </w:p>
        </w:tc>
        <w:tc>
          <w:tcPr>
            <w:tcW w:type="dxa" w:w="3360"/>
            <w:vAlign w:val="center"/>
          </w:tcPr>
          <w:p>
            <w:pPr>
              <w:spacing w:after="0"/>
            </w:pPr>
            <w:r>
              <w:rPr>
                <w:sz w:val="13"/>
              </w:rPr>
              <w:t>Rob Walton family</w:t>
            </w:r>
          </w:p>
        </w:tc>
        <w:tc>
          <w:tcPr>
            <w:tcW w:type="dxa" w:w="3360"/>
            <w:vAlign w:val="center"/>
          </w:tcPr>
          <w:p>
            <w:pPr>
              <w:spacing w:after="0"/>
            </w:pPr>
            <w:r>
              <w:rPr>
                <w:sz w:val="13"/>
              </w:rPr>
              <w:t>$170B</w:t>
            </w:r>
          </w:p>
        </w:tc>
      </w:tr>
      <w:tr>
        <w:tc>
          <w:tcPr>
            <w:tcW w:type="dxa" w:w="3360"/>
            <w:shd w:fill="F6F7F8"/>
            <w:vAlign w:val="center"/>
          </w:tcPr>
          <w:p>
            <w:pPr>
              <w:spacing w:after="0"/>
            </w:pPr>
            <w:r>
              <w:rPr>
                <w:sz w:val="13"/>
              </w:rPr>
              <w:t>17</w:t>
            </w:r>
          </w:p>
        </w:tc>
        <w:tc>
          <w:tcPr>
            <w:tcW w:type="dxa" w:w="3360"/>
            <w:shd w:fill="F6F7F8"/>
            <w:vAlign w:val="center"/>
          </w:tcPr>
          <w:p>
            <w:pPr>
              <w:spacing w:after="0"/>
            </w:pPr>
            <w:r>
              <w:rPr>
                <w:sz w:val="13"/>
              </w:rPr>
              <w:t>Alice Walton</w:t>
            </w:r>
          </w:p>
        </w:tc>
        <w:tc>
          <w:tcPr>
            <w:tcW w:type="dxa" w:w="3360"/>
            <w:shd w:fill="F6F7F8"/>
            <w:vAlign w:val="center"/>
          </w:tcPr>
          <w:p>
            <w:pPr>
              <w:spacing w:after="0"/>
            </w:pPr>
            <w:r>
              <w:rPr>
                <w:sz w:val="13"/>
              </w:rPr>
              <w:t>$165B</w:t>
            </w:r>
          </w:p>
        </w:tc>
      </w:tr>
      <w:tr>
        <w:tc>
          <w:tcPr>
            <w:tcW w:type="dxa" w:w="3360"/>
            <w:vAlign w:val="center"/>
          </w:tcPr>
          <w:p>
            <w:pPr>
              <w:spacing w:after="0"/>
            </w:pPr>
            <w:r>
              <w:rPr>
                <w:sz w:val="13"/>
              </w:rPr>
              <w:t>18</w:t>
            </w:r>
          </w:p>
        </w:tc>
        <w:tc>
          <w:tcPr>
            <w:tcW w:type="dxa" w:w="3360"/>
            <w:vAlign w:val="center"/>
          </w:tcPr>
          <w:p>
            <w:pPr>
              <w:spacing w:after="0"/>
            </w:pPr>
            <w:r>
              <w:rPr>
                <w:sz w:val="13"/>
              </w:rPr>
              <w:t>Jim Walton family</w:t>
            </w:r>
          </w:p>
        </w:tc>
        <w:tc>
          <w:tcPr>
            <w:tcW w:type="dxa" w:w="3360"/>
            <w:vAlign w:val="center"/>
          </w:tcPr>
          <w:p>
            <w:pPr>
              <w:spacing w:after="0"/>
            </w:pPr>
            <w:r>
              <w:rPr>
                <w:sz w:val="13"/>
              </w:rPr>
              <w:t>$160B</w:t>
            </w:r>
          </w:p>
        </w:tc>
      </w:tr>
      <w:tr>
        <w:tc>
          <w:tcPr>
            <w:tcW w:type="dxa" w:w="3360"/>
            <w:shd w:fill="F6F7F8"/>
            <w:vAlign w:val="center"/>
          </w:tcPr>
          <w:p>
            <w:pPr>
              <w:spacing w:after="0"/>
            </w:pPr>
            <w:r>
              <w:rPr>
                <w:sz w:val="13"/>
              </w:rPr>
              <w:t>19</w:t>
            </w:r>
          </w:p>
        </w:tc>
        <w:tc>
          <w:tcPr>
            <w:tcW w:type="dxa" w:w="3360"/>
            <w:shd w:fill="F6F7F8"/>
            <w:vAlign w:val="center"/>
          </w:tcPr>
          <w:p>
            <w:pPr>
              <w:spacing w:after="0"/>
            </w:pPr>
            <w:r>
              <w:rPr>
                <w:sz w:val="13"/>
              </w:rPr>
              <w:t>Thomas Peterffy</w:t>
            </w:r>
          </w:p>
        </w:tc>
        <w:tc>
          <w:tcPr>
            <w:tcW w:type="dxa" w:w="3360"/>
            <w:shd w:fill="F6F7F8"/>
            <w:vAlign w:val="center"/>
          </w:tcPr>
          <w:p>
            <w:pPr>
              <w:spacing w:after="0"/>
            </w:pPr>
            <w:r>
              <w:rPr>
                <w:sz w:val="13"/>
              </w:rPr>
              <w:t>$155B</w:t>
            </w:r>
          </w:p>
        </w:tc>
      </w:tr>
      <w:tr>
        <w:tc>
          <w:tcPr>
            <w:tcW w:type="dxa" w:w="3360"/>
            <w:vAlign w:val="center"/>
          </w:tcPr>
          <w:p>
            <w:pPr>
              <w:spacing w:after="0"/>
            </w:pPr>
            <w:r>
              <w:rPr>
                <w:sz w:val="13"/>
              </w:rPr>
              <w:t>20</w:t>
            </w:r>
          </w:p>
        </w:tc>
        <w:tc>
          <w:tcPr>
            <w:tcW w:type="dxa" w:w="3360"/>
            <w:vAlign w:val="center"/>
          </w:tcPr>
          <w:p>
            <w:pPr>
              <w:spacing w:after="0"/>
            </w:pPr>
            <w:r>
              <w:rPr>
                <w:sz w:val="13"/>
              </w:rPr>
              <w:t>Michael Bloomberg</w:t>
            </w:r>
          </w:p>
        </w:tc>
        <w:tc>
          <w:tcPr>
            <w:tcW w:type="dxa" w:w="3360"/>
            <w:vAlign w:val="center"/>
          </w:tcPr>
          <w:p>
            <w:pPr>
              <w:spacing w:after="0"/>
            </w:pPr>
            <w:r>
              <w:rPr>
                <w:sz w:val="13"/>
              </w:rPr>
              <w:t>$150B</w:t>
            </w:r>
          </w:p>
        </w:tc>
      </w:tr>
      <w:tr>
        <w:tc>
          <w:tcPr>
            <w:tcW w:type="dxa" w:w="3360"/>
            <w:shd w:fill="F6F7F8"/>
            <w:vAlign w:val="center"/>
          </w:tcPr>
          <w:p>
            <w:pPr>
              <w:spacing w:after="0"/>
            </w:pPr>
            <w:r>
              <w:rPr>
                <w:sz w:val="13"/>
              </w:rPr>
              <w:t>21</w:t>
            </w:r>
          </w:p>
        </w:tc>
        <w:tc>
          <w:tcPr>
            <w:tcW w:type="dxa" w:w="3360"/>
            <w:shd w:fill="F6F7F8"/>
            <w:vAlign w:val="center"/>
          </w:tcPr>
          <w:p>
            <w:pPr>
              <w:spacing w:after="0"/>
            </w:pPr>
            <w:r>
              <w:rPr>
                <w:sz w:val="13"/>
              </w:rPr>
              <w:t>Mukesh Ambani</w:t>
            </w:r>
          </w:p>
        </w:tc>
        <w:tc>
          <w:tcPr>
            <w:tcW w:type="dxa" w:w="3360"/>
            <w:shd w:fill="F6F7F8"/>
            <w:vAlign w:val="center"/>
          </w:tcPr>
          <w:p>
            <w:pPr>
              <w:spacing w:after="0"/>
            </w:pPr>
            <w:r>
              <w:rPr>
                <w:sz w:val="13"/>
              </w:rPr>
              <w:t>$145B</w:t>
            </w:r>
          </w:p>
        </w:tc>
      </w:tr>
      <w:tr>
        <w:tc>
          <w:tcPr>
            <w:tcW w:type="dxa" w:w="3360"/>
            <w:vAlign w:val="center"/>
          </w:tcPr>
          <w:p>
            <w:pPr>
              <w:spacing w:after="0"/>
            </w:pPr>
            <w:r>
              <w:rPr>
                <w:sz w:val="13"/>
              </w:rPr>
              <w:t>22</w:t>
            </w:r>
          </w:p>
        </w:tc>
        <w:tc>
          <w:tcPr>
            <w:tcW w:type="dxa" w:w="3360"/>
            <w:vAlign w:val="center"/>
          </w:tcPr>
          <w:p>
            <w:pPr>
              <w:spacing w:after="0"/>
            </w:pPr>
            <w:r>
              <w:rPr>
                <w:sz w:val="13"/>
              </w:rPr>
              <w:t>Gautam Adani</w:t>
            </w:r>
          </w:p>
        </w:tc>
        <w:tc>
          <w:tcPr>
            <w:tcW w:type="dxa" w:w="3360"/>
            <w:vAlign w:val="center"/>
          </w:tcPr>
          <w:p>
            <w:pPr>
              <w:spacing w:after="0"/>
            </w:pPr>
            <w:r>
              <w:rPr>
                <w:sz w:val="13"/>
              </w:rPr>
              <w:t>$140B</w:t>
            </w:r>
          </w:p>
        </w:tc>
      </w:tr>
      <w:tr>
        <w:tc>
          <w:tcPr>
            <w:tcW w:type="dxa" w:w="3360"/>
            <w:shd w:fill="F6F7F8"/>
            <w:vAlign w:val="center"/>
          </w:tcPr>
          <w:p>
            <w:pPr>
              <w:spacing w:after="0"/>
            </w:pPr>
            <w:r>
              <w:rPr>
                <w:sz w:val="13"/>
              </w:rPr>
              <w:t>23</w:t>
            </w:r>
          </w:p>
        </w:tc>
        <w:tc>
          <w:tcPr>
            <w:tcW w:type="dxa" w:w="3360"/>
            <w:shd w:fill="F6F7F8"/>
            <w:vAlign w:val="center"/>
          </w:tcPr>
          <w:p>
            <w:pPr>
              <w:spacing w:after="0"/>
            </w:pPr>
            <w:r>
              <w:rPr>
                <w:sz w:val="13"/>
              </w:rPr>
              <w:t>Ma Huateng</w:t>
            </w:r>
          </w:p>
        </w:tc>
        <w:tc>
          <w:tcPr>
            <w:tcW w:type="dxa" w:w="3360"/>
            <w:shd w:fill="F6F7F8"/>
            <w:vAlign w:val="center"/>
          </w:tcPr>
          <w:p>
            <w:pPr>
              <w:spacing w:after="0"/>
            </w:pPr>
            <w:r>
              <w:rPr>
                <w:sz w:val="13"/>
              </w:rPr>
              <w:t>$135B</w:t>
            </w:r>
          </w:p>
        </w:tc>
      </w:tr>
      <w:tr>
        <w:tc>
          <w:tcPr>
            <w:tcW w:type="dxa" w:w="3360"/>
            <w:vAlign w:val="center"/>
          </w:tcPr>
          <w:p>
            <w:pPr>
              <w:spacing w:after="0"/>
            </w:pPr>
            <w:r>
              <w:rPr>
                <w:sz w:val="13"/>
              </w:rPr>
              <w:t>24</w:t>
            </w:r>
          </w:p>
        </w:tc>
        <w:tc>
          <w:tcPr>
            <w:tcW w:type="dxa" w:w="3360"/>
            <w:vAlign w:val="center"/>
          </w:tcPr>
          <w:p>
            <w:pPr>
              <w:spacing w:after="0"/>
            </w:pPr>
            <w:r>
              <w:rPr>
                <w:sz w:val="13"/>
              </w:rPr>
              <w:t>Zhang Yiming</w:t>
            </w:r>
          </w:p>
        </w:tc>
        <w:tc>
          <w:tcPr>
            <w:tcW w:type="dxa" w:w="3360"/>
            <w:vAlign w:val="center"/>
          </w:tcPr>
          <w:p>
            <w:pPr>
              <w:spacing w:after="0"/>
            </w:pPr>
            <w:r>
              <w:rPr>
                <w:sz w:val="13"/>
              </w:rPr>
              <w:t>$130B</w:t>
            </w:r>
          </w:p>
        </w:tc>
      </w:tr>
      <w:tr>
        <w:tc>
          <w:tcPr>
            <w:tcW w:type="dxa" w:w="3360"/>
            <w:shd w:fill="F6F7F8"/>
            <w:vAlign w:val="center"/>
          </w:tcPr>
          <w:p>
            <w:pPr>
              <w:spacing w:after="0"/>
            </w:pPr>
            <w:r>
              <w:rPr>
                <w:sz w:val="13"/>
              </w:rPr>
              <w:t>25</w:t>
            </w:r>
          </w:p>
        </w:tc>
        <w:tc>
          <w:tcPr>
            <w:tcW w:type="dxa" w:w="3360"/>
            <w:shd w:fill="F6F7F8"/>
            <w:vAlign w:val="center"/>
          </w:tcPr>
          <w:p>
            <w:pPr>
              <w:spacing w:after="0"/>
            </w:pPr>
            <w:r>
              <w:rPr>
                <w:sz w:val="13"/>
              </w:rPr>
              <w:t>Eric Schmidt</w:t>
            </w:r>
          </w:p>
        </w:tc>
        <w:tc>
          <w:tcPr>
            <w:tcW w:type="dxa" w:w="3360"/>
            <w:shd w:fill="F6F7F8"/>
            <w:vAlign w:val="center"/>
          </w:tcPr>
          <w:p>
            <w:pPr>
              <w:spacing w:after="0"/>
            </w:pPr>
            <w:r>
              <w:rPr>
                <w:sz w:val="13"/>
              </w:rPr>
              <w:t>$128B</w:t>
            </w:r>
          </w:p>
        </w:tc>
      </w:tr>
      <w:tr>
        <w:tc>
          <w:tcPr>
            <w:tcW w:type="dxa" w:w="3360"/>
            <w:vAlign w:val="center"/>
          </w:tcPr>
          <w:p>
            <w:pPr>
              <w:spacing w:after="0"/>
            </w:pPr>
            <w:r>
              <w:rPr>
                <w:sz w:val="13"/>
              </w:rPr>
              <w:t>26</w:t>
            </w:r>
          </w:p>
        </w:tc>
        <w:tc>
          <w:tcPr>
            <w:tcW w:type="dxa" w:w="3360"/>
            <w:vAlign w:val="center"/>
          </w:tcPr>
          <w:p>
            <w:pPr>
              <w:spacing w:after="0"/>
            </w:pPr>
            <w:r>
              <w:rPr>
                <w:sz w:val="13"/>
              </w:rPr>
              <w:t>Laurene Powell Jobs</w:t>
            </w:r>
          </w:p>
        </w:tc>
        <w:tc>
          <w:tcPr>
            <w:tcW w:type="dxa" w:w="3360"/>
            <w:vAlign w:val="center"/>
          </w:tcPr>
          <w:p>
            <w:pPr>
              <w:spacing w:after="0"/>
            </w:pPr>
            <w:r>
              <w:rPr>
                <w:sz w:val="13"/>
              </w:rPr>
              <w:t>$124B</w:t>
            </w:r>
          </w:p>
        </w:tc>
      </w:tr>
      <w:tr>
        <w:tc>
          <w:tcPr>
            <w:tcW w:type="dxa" w:w="3360"/>
            <w:shd w:fill="F6F7F8"/>
            <w:vAlign w:val="center"/>
          </w:tcPr>
          <w:p>
            <w:pPr>
              <w:spacing w:after="0"/>
            </w:pPr>
            <w:r>
              <w:rPr>
                <w:sz w:val="13"/>
              </w:rPr>
              <w:t>27</w:t>
            </w:r>
          </w:p>
        </w:tc>
        <w:tc>
          <w:tcPr>
            <w:tcW w:type="dxa" w:w="3360"/>
            <w:shd w:fill="F6F7F8"/>
            <w:vAlign w:val="center"/>
          </w:tcPr>
          <w:p>
            <w:pPr>
              <w:spacing w:after="0"/>
            </w:pPr>
            <w:r>
              <w:rPr>
                <w:sz w:val="13"/>
              </w:rPr>
              <w:t>MacKenzie Scott</w:t>
            </w:r>
          </w:p>
        </w:tc>
        <w:tc>
          <w:tcPr>
            <w:tcW w:type="dxa" w:w="3360"/>
            <w:shd w:fill="F6F7F8"/>
            <w:vAlign w:val="center"/>
          </w:tcPr>
          <w:p>
            <w:pPr>
              <w:spacing w:after="0"/>
            </w:pPr>
            <w:r>
              <w:rPr>
                <w:sz w:val="13"/>
              </w:rPr>
              <w:t>$120B</w:t>
            </w:r>
          </w:p>
        </w:tc>
      </w:tr>
      <w:tr>
        <w:tc>
          <w:tcPr>
            <w:tcW w:type="dxa" w:w="3360"/>
            <w:vAlign w:val="center"/>
          </w:tcPr>
          <w:p>
            <w:pPr>
              <w:spacing w:after="0"/>
            </w:pPr>
            <w:r>
              <w:rPr>
                <w:sz w:val="13"/>
              </w:rPr>
              <w:t>28</w:t>
            </w:r>
          </w:p>
        </w:tc>
        <w:tc>
          <w:tcPr>
            <w:tcW w:type="dxa" w:w="3360"/>
            <w:vAlign w:val="center"/>
          </w:tcPr>
          <w:p>
            <w:pPr>
              <w:spacing w:after="0"/>
            </w:pPr>
            <w:r>
              <w:rPr>
                <w:sz w:val="13"/>
              </w:rPr>
              <w:t>Julia Koch family</w:t>
            </w:r>
          </w:p>
        </w:tc>
        <w:tc>
          <w:tcPr>
            <w:tcW w:type="dxa" w:w="3360"/>
            <w:vAlign w:val="center"/>
          </w:tcPr>
          <w:p>
            <w:pPr>
              <w:spacing w:after="0"/>
            </w:pPr>
            <w:r>
              <w:rPr>
                <w:sz w:val="13"/>
              </w:rPr>
              <w:t>$118B</w:t>
            </w:r>
          </w:p>
        </w:tc>
      </w:tr>
      <w:tr>
        <w:tc>
          <w:tcPr>
            <w:tcW w:type="dxa" w:w="3360"/>
            <w:shd w:fill="F6F7F8"/>
            <w:vAlign w:val="center"/>
          </w:tcPr>
          <w:p>
            <w:pPr>
              <w:spacing w:after="0"/>
            </w:pPr>
            <w:r>
              <w:rPr>
                <w:sz w:val="13"/>
              </w:rPr>
              <w:t>29</w:t>
            </w:r>
          </w:p>
        </w:tc>
        <w:tc>
          <w:tcPr>
            <w:tcW w:type="dxa" w:w="3360"/>
            <w:shd w:fill="F6F7F8"/>
            <w:vAlign w:val="center"/>
          </w:tcPr>
          <w:p>
            <w:pPr>
              <w:spacing w:after="0"/>
            </w:pPr>
            <w:r>
              <w:rPr>
                <w:sz w:val="13"/>
              </w:rPr>
              <w:t>Phil Knight family</w:t>
            </w:r>
          </w:p>
        </w:tc>
        <w:tc>
          <w:tcPr>
            <w:tcW w:type="dxa" w:w="3360"/>
            <w:shd w:fill="F6F7F8"/>
            <w:vAlign w:val="center"/>
          </w:tcPr>
          <w:p>
            <w:pPr>
              <w:spacing w:after="0"/>
            </w:pPr>
            <w:r>
              <w:rPr>
                <w:sz w:val="13"/>
              </w:rPr>
              <w:t>$112B</w:t>
            </w:r>
          </w:p>
        </w:tc>
      </w:tr>
      <w:tr>
        <w:tc>
          <w:tcPr>
            <w:tcW w:type="dxa" w:w="3360"/>
            <w:vAlign w:val="center"/>
          </w:tcPr>
          <w:p>
            <w:pPr>
              <w:spacing w:after="0"/>
            </w:pPr>
            <w:r>
              <w:rPr>
                <w:sz w:val="13"/>
              </w:rPr>
              <w:t>30</w:t>
            </w:r>
          </w:p>
        </w:tc>
        <w:tc>
          <w:tcPr>
            <w:tcW w:type="dxa" w:w="3360"/>
            <w:vAlign w:val="center"/>
          </w:tcPr>
          <w:p>
            <w:pPr>
              <w:spacing w:after="0"/>
            </w:pPr>
            <w:r>
              <w:rPr>
                <w:sz w:val="13"/>
              </w:rPr>
              <w:t>Stephen Schwarzman</w:t>
            </w:r>
          </w:p>
        </w:tc>
        <w:tc>
          <w:tcPr>
            <w:tcW w:type="dxa" w:w="3360"/>
            <w:vAlign w:val="center"/>
          </w:tcPr>
          <w:p>
            <w:pPr>
              <w:spacing w:after="0"/>
            </w:pPr>
            <w:r>
              <w:rPr>
                <w:sz w:val="13"/>
              </w:rPr>
              <w:t>$108B</w:t>
            </w:r>
          </w:p>
        </w:tc>
      </w:tr>
      <w:tr>
        <w:tc>
          <w:tcPr>
            <w:tcW w:type="dxa" w:w="3360"/>
            <w:shd w:fill="F6F7F8"/>
            <w:vAlign w:val="center"/>
          </w:tcPr>
          <w:p>
            <w:pPr>
              <w:spacing w:after="0"/>
            </w:pPr>
            <w:r>
              <w:rPr>
                <w:sz w:val="13"/>
              </w:rPr>
              <w:t>31</w:t>
            </w:r>
          </w:p>
        </w:tc>
        <w:tc>
          <w:tcPr>
            <w:tcW w:type="dxa" w:w="3360"/>
            <w:shd w:fill="F6F7F8"/>
            <w:vAlign w:val="center"/>
          </w:tcPr>
          <w:p>
            <w:pPr>
              <w:spacing w:after="0"/>
            </w:pPr>
            <w:r>
              <w:rPr>
                <w:sz w:val="13"/>
              </w:rPr>
              <w:t>Shiv Nadar</w:t>
            </w:r>
          </w:p>
        </w:tc>
        <w:tc>
          <w:tcPr>
            <w:tcW w:type="dxa" w:w="3360"/>
            <w:shd w:fill="F6F7F8"/>
            <w:vAlign w:val="center"/>
          </w:tcPr>
          <w:p>
            <w:pPr>
              <w:spacing w:after="0"/>
            </w:pPr>
            <w:r>
              <w:rPr>
                <w:sz w:val="13"/>
              </w:rPr>
              <w:t>$105B</w:t>
            </w:r>
          </w:p>
        </w:tc>
      </w:tr>
      <w:tr>
        <w:tc>
          <w:tcPr>
            <w:tcW w:type="dxa" w:w="3360"/>
            <w:vAlign w:val="center"/>
          </w:tcPr>
          <w:p>
            <w:pPr>
              <w:spacing w:after="0"/>
            </w:pPr>
            <w:r>
              <w:rPr>
                <w:sz w:val="13"/>
              </w:rPr>
              <w:t>32</w:t>
            </w:r>
          </w:p>
        </w:tc>
        <w:tc>
          <w:tcPr>
            <w:tcW w:type="dxa" w:w="3360"/>
            <w:vAlign w:val="center"/>
          </w:tcPr>
          <w:p>
            <w:pPr>
              <w:spacing w:after="0"/>
            </w:pPr>
            <w:r>
              <w:rPr>
                <w:sz w:val="13"/>
              </w:rPr>
              <w:t>François Pinault family</w:t>
            </w:r>
          </w:p>
        </w:tc>
        <w:tc>
          <w:tcPr>
            <w:tcW w:type="dxa" w:w="3360"/>
            <w:vAlign w:val="center"/>
          </w:tcPr>
          <w:p>
            <w:pPr>
              <w:spacing w:after="0"/>
            </w:pPr>
            <w:r>
              <w:rPr>
                <w:sz w:val="13"/>
              </w:rPr>
              <w:t>$102B</w:t>
            </w:r>
          </w:p>
        </w:tc>
      </w:tr>
      <w:tr>
        <w:tc>
          <w:tcPr>
            <w:tcW w:type="dxa" w:w="3360"/>
            <w:shd w:fill="F6F7F8"/>
            <w:vAlign w:val="center"/>
          </w:tcPr>
          <w:p>
            <w:pPr>
              <w:spacing w:after="0"/>
            </w:pPr>
            <w:r>
              <w:rPr>
                <w:sz w:val="13"/>
              </w:rPr>
              <w:t>33</w:t>
            </w:r>
          </w:p>
        </w:tc>
        <w:tc>
          <w:tcPr>
            <w:tcW w:type="dxa" w:w="3360"/>
            <w:shd w:fill="F6F7F8"/>
            <w:vAlign w:val="center"/>
          </w:tcPr>
          <w:p>
            <w:pPr>
              <w:spacing w:after="0"/>
            </w:pPr>
            <w:r>
              <w:rPr>
                <w:sz w:val="13"/>
              </w:rPr>
              <w:t>He Xiangjian family</w:t>
            </w:r>
          </w:p>
        </w:tc>
        <w:tc>
          <w:tcPr>
            <w:tcW w:type="dxa" w:w="3360"/>
            <w:shd w:fill="F6F7F8"/>
            <w:vAlign w:val="center"/>
          </w:tcPr>
          <w:p>
            <w:pPr>
              <w:spacing w:after="0"/>
            </w:pPr>
            <w:r>
              <w:rPr>
                <w:sz w:val="13"/>
              </w:rPr>
              <w:t>$100B</w:t>
            </w:r>
          </w:p>
        </w:tc>
      </w:tr>
      <w:tr>
        <w:tc>
          <w:tcPr>
            <w:tcW w:type="dxa" w:w="3360"/>
            <w:vAlign w:val="center"/>
          </w:tcPr>
          <w:p>
            <w:pPr>
              <w:spacing w:after="0"/>
            </w:pPr>
            <w:r>
              <w:rPr>
                <w:sz w:val="13"/>
              </w:rPr>
              <w:t>34</w:t>
            </w:r>
          </w:p>
        </w:tc>
        <w:tc>
          <w:tcPr>
            <w:tcW w:type="dxa" w:w="3360"/>
            <w:vAlign w:val="center"/>
          </w:tcPr>
          <w:p>
            <w:pPr>
              <w:spacing w:after="0"/>
            </w:pPr>
            <w:r>
              <w:rPr>
                <w:sz w:val="13"/>
              </w:rPr>
              <w:t>Gina Rinehart</w:t>
            </w:r>
          </w:p>
        </w:tc>
        <w:tc>
          <w:tcPr>
            <w:tcW w:type="dxa" w:w="3360"/>
            <w:vAlign w:val="center"/>
          </w:tcPr>
          <w:p>
            <w:pPr>
              <w:spacing w:after="0"/>
            </w:pPr>
            <w:r>
              <w:rPr>
                <w:sz w:val="13"/>
              </w:rPr>
              <w:t>$96B</w:t>
            </w:r>
          </w:p>
        </w:tc>
      </w:tr>
      <w:tr>
        <w:tc>
          <w:tcPr>
            <w:tcW w:type="dxa" w:w="3360"/>
            <w:shd w:fill="F6F7F8"/>
            <w:vAlign w:val="center"/>
          </w:tcPr>
          <w:p>
            <w:pPr>
              <w:spacing w:after="0"/>
            </w:pPr>
            <w:r>
              <w:rPr>
                <w:sz w:val="13"/>
              </w:rPr>
              <w:t>35</w:t>
            </w:r>
          </w:p>
        </w:tc>
        <w:tc>
          <w:tcPr>
            <w:tcW w:type="dxa" w:w="3360"/>
            <w:shd w:fill="F6F7F8"/>
            <w:vAlign w:val="center"/>
          </w:tcPr>
          <w:p>
            <w:pPr>
              <w:spacing w:after="0"/>
            </w:pPr>
            <w:r>
              <w:rPr>
                <w:sz w:val="13"/>
              </w:rPr>
              <w:t>Tadashi Yanai</w:t>
            </w:r>
          </w:p>
        </w:tc>
        <w:tc>
          <w:tcPr>
            <w:tcW w:type="dxa" w:w="3360"/>
            <w:shd w:fill="F6F7F8"/>
            <w:vAlign w:val="center"/>
          </w:tcPr>
          <w:p>
            <w:pPr>
              <w:spacing w:after="0"/>
            </w:pPr>
            <w:r>
              <w:rPr>
                <w:sz w:val="13"/>
              </w:rPr>
              <w:t>$94B</w:t>
            </w:r>
          </w:p>
        </w:tc>
      </w:tr>
      <w:tr>
        <w:tc>
          <w:tcPr>
            <w:tcW w:type="dxa" w:w="3360"/>
            <w:vAlign w:val="center"/>
          </w:tcPr>
          <w:p>
            <w:pPr>
              <w:spacing w:after="0"/>
            </w:pPr>
            <w:r>
              <w:rPr>
                <w:sz w:val="13"/>
              </w:rPr>
              <w:t>36</w:t>
            </w:r>
          </w:p>
        </w:tc>
        <w:tc>
          <w:tcPr>
            <w:tcW w:type="dxa" w:w="3360"/>
            <w:vAlign w:val="center"/>
          </w:tcPr>
          <w:p>
            <w:pPr>
              <w:spacing w:after="0"/>
            </w:pPr>
            <w:r>
              <w:rPr>
                <w:sz w:val="13"/>
              </w:rPr>
              <w:t>Dieter Schwarz</w:t>
            </w:r>
          </w:p>
        </w:tc>
        <w:tc>
          <w:tcPr>
            <w:tcW w:type="dxa" w:w="3360"/>
            <w:vAlign w:val="center"/>
          </w:tcPr>
          <w:p>
            <w:pPr>
              <w:spacing w:after="0"/>
            </w:pPr>
            <w:r>
              <w:rPr>
                <w:sz w:val="13"/>
              </w:rPr>
              <w:t>$92B</w:t>
            </w:r>
          </w:p>
        </w:tc>
      </w:tr>
      <w:tr>
        <w:tc>
          <w:tcPr>
            <w:tcW w:type="dxa" w:w="3360"/>
            <w:shd w:fill="F6F7F8"/>
            <w:vAlign w:val="center"/>
          </w:tcPr>
          <w:p>
            <w:pPr>
              <w:spacing w:after="0"/>
            </w:pPr>
            <w:r>
              <w:rPr>
                <w:sz w:val="13"/>
              </w:rPr>
              <w:t>37</w:t>
            </w:r>
          </w:p>
        </w:tc>
        <w:tc>
          <w:tcPr>
            <w:tcW w:type="dxa" w:w="3360"/>
            <w:shd w:fill="F6F7F8"/>
            <w:vAlign w:val="center"/>
          </w:tcPr>
          <w:p>
            <w:pPr>
              <w:spacing w:after="0"/>
            </w:pPr>
            <w:r>
              <w:rPr>
                <w:sz w:val="13"/>
              </w:rPr>
              <w:t>Ken Griffin</w:t>
            </w:r>
          </w:p>
        </w:tc>
        <w:tc>
          <w:tcPr>
            <w:tcW w:type="dxa" w:w="3360"/>
            <w:shd w:fill="F6F7F8"/>
            <w:vAlign w:val="center"/>
          </w:tcPr>
          <w:p>
            <w:pPr>
              <w:spacing w:after="0"/>
            </w:pPr>
            <w:r>
              <w:rPr>
                <w:sz w:val="13"/>
              </w:rPr>
              <w:t>$90B</w:t>
            </w:r>
          </w:p>
        </w:tc>
      </w:tr>
      <w:tr>
        <w:tc>
          <w:tcPr>
            <w:tcW w:type="dxa" w:w="3360"/>
            <w:vAlign w:val="center"/>
          </w:tcPr>
          <w:p>
            <w:pPr>
              <w:spacing w:after="0"/>
            </w:pPr>
            <w:r>
              <w:rPr>
                <w:sz w:val="13"/>
              </w:rPr>
              <w:t>38</w:t>
            </w:r>
          </w:p>
        </w:tc>
        <w:tc>
          <w:tcPr>
            <w:tcW w:type="dxa" w:w="3360"/>
            <w:vAlign w:val="center"/>
          </w:tcPr>
          <w:p>
            <w:pPr>
              <w:spacing w:after="0"/>
            </w:pPr>
            <w:r>
              <w:rPr>
                <w:sz w:val="13"/>
              </w:rPr>
              <w:t>Reinhold Würth family</w:t>
            </w:r>
          </w:p>
        </w:tc>
        <w:tc>
          <w:tcPr>
            <w:tcW w:type="dxa" w:w="3360"/>
            <w:vAlign w:val="center"/>
          </w:tcPr>
          <w:p>
            <w:pPr>
              <w:spacing w:after="0"/>
            </w:pPr>
            <w:r>
              <w:rPr>
                <w:sz w:val="13"/>
              </w:rPr>
              <w:t>$87B</w:t>
            </w:r>
          </w:p>
        </w:tc>
      </w:tr>
      <w:tr>
        <w:tc>
          <w:tcPr>
            <w:tcW w:type="dxa" w:w="3360"/>
            <w:shd w:fill="F6F7F8"/>
            <w:vAlign w:val="center"/>
          </w:tcPr>
          <w:p>
            <w:pPr>
              <w:spacing w:after="0"/>
            </w:pPr>
            <w:r>
              <w:rPr>
                <w:sz w:val="13"/>
              </w:rPr>
              <w:t>39</w:t>
            </w:r>
          </w:p>
        </w:tc>
        <w:tc>
          <w:tcPr>
            <w:tcW w:type="dxa" w:w="3360"/>
            <w:shd w:fill="F6F7F8"/>
            <w:vAlign w:val="center"/>
          </w:tcPr>
          <w:p>
            <w:pPr>
              <w:spacing w:after="0"/>
            </w:pPr>
            <w:r>
              <w:rPr>
                <w:sz w:val="13"/>
              </w:rPr>
              <w:t>Len Blavatnik</w:t>
            </w:r>
          </w:p>
        </w:tc>
        <w:tc>
          <w:tcPr>
            <w:tcW w:type="dxa" w:w="3360"/>
            <w:shd w:fill="F6F7F8"/>
            <w:vAlign w:val="center"/>
          </w:tcPr>
          <w:p>
            <w:pPr>
              <w:spacing w:after="0"/>
            </w:pPr>
            <w:r>
              <w:rPr>
                <w:sz w:val="13"/>
              </w:rPr>
              <w:t>$85B</w:t>
            </w:r>
          </w:p>
        </w:tc>
      </w:tr>
      <w:tr>
        <w:tc>
          <w:tcPr>
            <w:tcW w:type="dxa" w:w="3360"/>
            <w:vAlign w:val="center"/>
          </w:tcPr>
          <w:p>
            <w:pPr>
              <w:spacing w:after="0"/>
            </w:pPr>
            <w:r>
              <w:rPr>
                <w:sz w:val="13"/>
              </w:rPr>
              <w:t>40</w:t>
            </w:r>
          </w:p>
        </w:tc>
        <w:tc>
          <w:tcPr>
            <w:tcW w:type="dxa" w:w="3360"/>
            <w:vAlign w:val="center"/>
          </w:tcPr>
          <w:p>
            <w:pPr>
              <w:spacing w:after="0"/>
            </w:pPr>
            <w:r>
              <w:rPr>
                <w:sz w:val="13"/>
              </w:rPr>
              <w:t>Prajogo Pangestu</w:t>
            </w:r>
          </w:p>
        </w:tc>
        <w:tc>
          <w:tcPr>
            <w:tcW w:type="dxa" w:w="3360"/>
            <w:vAlign w:val="center"/>
          </w:tcPr>
          <w:p>
            <w:pPr>
              <w:spacing w:after="0"/>
            </w:pPr>
            <w:r>
              <w:rPr>
                <w:sz w:val="13"/>
              </w:rPr>
              <w:t>$83B</w:t>
            </w:r>
          </w:p>
        </w:tc>
      </w:tr>
      <w:tr>
        <w:tc>
          <w:tcPr>
            <w:tcW w:type="dxa" w:w="3360"/>
            <w:shd w:fill="F6F7F8"/>
            <w:vAlign w:val="center"/>
          </w:tcPr>
          <w:p>
            <w:pPr>
              <w:spacing w:after="0"/>
            </w:pPr>
            <w:r>
              <w:rPr>
                <w:sz w:val="13"/>
              </w:rPr>
              <w:t>41</w:t>
            </w:r>
          </w:p>
        </w:tc>
        <w:tc>
          <w:tcPr>
            <w:tcW w:type="dxa" w:w="3360"/>
            <w:shd w:fill="F6F7F8"/>
            <w:vAlign w:val="center"/>
          </w:tcPr>
          <w:p>
            <w:pPr>
              <w:spacing w:after="0"/>
            </w:pPr>
            <w:r>
              <w:rPr>
                <w:sz w:val="13"/>
              </w:rPr>
              <w:t>Wang Chuan-Fu</w:t>
            </w:r>
          </w:p>
        </w:tc>
        <w:tc>
          <w:tcPr>
            <w:tcW w:type="dxa" w:w="3360"/>
            <w:shd w:fill="F6F7F8"/>
            <w:vAlign w:val="center"/>
          </w:tcPr>
          <w:p>
            <w:pPr>
              <w:spacing w:after="0"/>
            </w:pPr>
            <w:r>
              <w:rPr>
                <w:sz w:val="13"/>
              </w:rPr>
              <w:t>$81B</w:t>
            </w:r>
          </w:p>
        </w:tc>
      </w:tr>
      <w:tr>
        <w:tc>
          <w:tcPr>
            <w:tcW w:type="dxa" w:w="3360"/>
            <w:vAlign w:val="center"/>
          </w:tcPr>
          <w:p>
            <w:pPr>
              <w:spacing w:after="0"/>
            </w:pPr>
            <w:r>
              <w:rPr>
                <w:sz w:val="13"/>
              </w:rPr>
              <w:t>42</w:t>
            </w:r>
          </w:p>
        </w:tc>
        <w:tc>
          <w:tcPr>
            <w:tcW w:type="dxa" w:w="3360"/>
            <w:vAlign w:val="center"/>
          </w:tcPr>
          <w:p>
            <w:pPr>
              <w:spacing w:after="0"/>
            </w:pPr>
            <w:r>
              <w:rPr>
                <w:sz w:val="13"/>
              </w:rPr>
              <w:t>Eduardo Saverin</w:t>
            </w:r>
          </w:p>
        </w:tc>
        <w:tc>
          <w:tcPr>
            <w:tcW w:type="dxa" w:w="3360"/>
            <w:vAlign w:val="center"/>
          </w:tcPr>
          <w:p>
            <w:pPr>
              <w:spacing w:after="0"/>
            </w:pPr>
            <w:r>
              <w:rPr>
                <w:sz w:val="13"/>
              </w:rPr>
              <w:t>$79B</w:t>
            </w:r>
          </w:p>
        </w:tc>
      </w:tr>
      <w:tr>
        <w:tc>
          <w:tcPr>
            <w:tcW w:type="dxa" w:w="3360"/>
            <w:shd w:fill="F6F7F8"/>
            <w:vAlign w:val="center"/>
          </w:tcPr>
          <w:p>
            <w:pPr>
              <w:spacing w:after="0"/>
            </w:pPr>
            <w:r>
              <w:rPr>
                <w:sz w:val="13"/>
              </w:rPr>
              <w:t>43</w:t>
            </w:r>
          </w:p>
        </w:tc>
        <w:tc>
          <w:tcPr>
            <w:tcW w:type="dxa" w:w="3360"/>
            <w:shd w:fill="F6F7F8"/>
            <w:vAlign w:val="center"/>
          </w:tcPr>
          <w:p>
            <w:pPr>
              <w:spacing w:after="0"/>
            </w:pPr>
            <w:r>
              <w:rPr>
                <w:sz w:val="13"/>
              </w:rPr>
              <w:t>Huang Shilin</w:t>
            </w:r>
          </w:p>
        </w:tc>
        <w:tc>
          <w:tcPr>
            <w:tcW w:type="dxa" w:w="3360"/>
            <w:shd w:fill="F6F7F8"/>
            <w:vAlign w:val="center"/>
          </w:tcPr>
          <w:p>
            <w:pPr>
              <w:spacing w:after="0"/>
            </w:pPr>
            <w:r>
              <w:rPr>
                <w:sz w:val="13"/>
              </w:rPr>
              <w:t>$77B</w:t>
            </w:r>
          </w:p>
        </w:tc>
      </w:tr>
      <w:tr>
        <w:tc>
          <w:tcPr>
            <w:tcW w:type="dxa" w:w="3360"/>
            <w:vAlign w:val="center"/>
          </w:tcPr>
          <w:p>
            <w:pPr>
              <w:spacing w:after="0"/>
            </w:pPr>
            <w:r>
              <w:rPr>
                <w:sz w:val="13"/>
              </w:rPr>
              <w:t>44</w:t>
            </w:r>
          </w:p>
        </w:tc>
        <w:tc>
          <w:tcPr>
            <w:tcW w:type="dxa" w:w="3360"/>
            <w:vAlign w:val="center"/>
          </w:tcPr>
          <w:p>
            <w:pPr>
              <w:spacing w:after="0"/>
            </w:pPr>
            <w:r>
              <w:rPr>
                <w:sz w:val="13"/>
              </w:rPr>
              <w:t>Rodolphe Saadé family</w:t>
            </w:r>
          </w:p>
        </w:tc>
        <w:tc>
          <w:tcPr>
            <w:tcW w:type="dxa" w:w="3360"/>
            <w:vAlign w:val="center"/>
          </w:tcPr>
          <w:p>
            <w:pPr>
              <w:spacing w:after="0"/>
            </w:pPr>
            <w:r>
              <w:rPr>
                <w:sz w:val="13"/>
              </w:rPr>
              <w:t>$75B</w:t>
            </w:r>
          </w:p>
        </w:tc>
      </w:tr>
      <w:tr>
        <w:tc>
          <w:tcPr>
            <w:tcW w:type="dxa" w:w="3360"/>
            <w:shd w:fill="F6F7F8"/>
            <w:vAlign w:val="center"/>
          </w:tcPr>
          <w:p>
            <w:pPr>
              <w:spacing w:after="0"/>
            </w:pPr>
            <w:r>
              <w:rPr>
                <w:sz w:val="13"/>
              </w:rPr>
              <w:t>45</w:t>
            </w:r>
          </w:p>
        </w:tc>
        <w:tc>
          <w:tcPr>
            <w:tcW w:type="dxa" w:w="3360"/>
            <w:shd w:fill="F6F7F8"/>
            <w:vAlign w:val="center"/>
          </w:tcPr>
          <w:p>
            <w:pPr>
              <w:spacing w:after="0"/>
            </w:pPr>
            <w:r>
              <w:rPr>
                <w:sz w:val="13"/>
              </w:rPr>
              <w:t>Zhang Xin / Pan Shiyi family</w:t>
            </w:r>
          </w:p>
        </w:tc>
        <w:tc>
          <w:tcPr>
            <w:tcW w:type="dxa" w:w="3360"/>
            <w:shd w:fill="F6F7F8"/>
            <w:vAlign w:val="center"/>
          </w:tcPr>
          <w:p>
            <w:pPr>
              <w:spacing w:after="0"/>
            </w:pPr>
            <w:r>
              <w:rPr>
                <w:sz w:val="13"/>
              </w:rPr>
              <w:t>$72B</w:t>
            </w:r>
          </w:p>
        </w:tc>
      </w:tr>
      <w:tr>
        <w:tc>
          <w:tcPr>
            <w:tcW w:type="dxa" w:w="3360"/>
            <w:vAlign w:val="center"/>
          </w:tcPr>
          <w:p>
            <w:pPr>
              <w:spacing w:after="0"/>
            </w:pPr>
            <w:r>
              <w:rPr>
                <w:sz w:val="13"/>
              </w:rPr>
              <w:t>46</w:t>
            </w:r>
          </w:p>
        </w:tc>
        <w:tc>
          <w:tcPr>
            <w:tcW w:type="dxa" w:w="3360"/>
            <w:vAlign w:val="center"/>
          </w:tcPr>
          <w:p>
            <w:pPr>
              <w:spacing w:after="0"/>
            </w:pPr>
            <w:r>
              <w:rPr>
                <w:sz w:val="13"/>
              </w:rPr>
              <w:t>David Tepper</w:t>
            </w:r>
          </w:p>
        </w:tc>
        <w:tc>
          <w:tcPr>
            <w:tcW w:type="dxa" w:w="3360"/>
            <w:vAlign w:val="center"/>
          </w:tcPr>
          <w:p>
            <w:pPr>
              <w:spacing w:after="0"/>
            </w:pPr>
            <w:r>
              <w:rPr>
                <w:sz w:val="13"/>
              </w:rPr>
              <w:t>$71B</w:t>
            </w:r>
          </w:p>
        </w:tc>
      </w:tr>
      <w:tr>
        <w:tc>
          <w:tcPr>
            <w:tcW w:type="dxa" w:w="3360"/>
            <w:shd w:fill="F6F7F8"/>
            <w:vAlign w:val="center"/>
          </w:tcPr>
          <w:p>
            <w:pPr>
              <w:spacing w:after="0"/>
            </w:pPr>
            <w:r>
              <w:rPr>
                <w:sz w:val="13"/>
              </w:rPr>
              <w:t>47</w:t>
            </w:r>
          </w:p>
        </w:tc>
        <w:tc>
          <w:tcPr>
            <w:tcW w:type="dxa" w:w="3360"/>
            <w:shd w:fill="F6F7F8"/>
            <w:vAlign w:val="center"/>
          </w:tcPr>
          <w:p>
            <w:pPr>
              <w:spacing w:after="0"/>
            </w:pPr>
            <w:r>
              <w:rPr>
                <w:sz w:val="13"/>
              </w:rPr>
              <w:t>Miriam Adelson family</w:t>
            </w:r>
          </w:p>
        </w:tc>
        <w:tc>
          <w:tcPr>
            <w:tcW w:type="dxa" w:w="3360"/>
            <w:shd w:fill="F6F7F8"/>
            <w:vAlign w:val="center"/>
          </w:tcPr>
          <w:p>
            <w:pPr>
              <w:spacing w:after="0"/>
            </w:pPr>
            <w:r>
              <w:rPr>
                <w:sz w:val="13"/>
              </w:rPr>
              <w:t>$69B</w:t>
            </w:r>
          </w:p>
        </w:tc>
      </w:tr>
      <w:tr>
        <w:tc>
          <w:tcPr>
            <w:tcW w:type="dxa" w:w="3360"/>
            <w:vAlign w:val="center"/>
          </w:tcPr>
          <w:p>
            <w:pPr>
              <w:spacing w:after="0"/>
            </w:pPr>
            <w:r>
              <w:rPr>
                <w:sz w:val="13"/>
              </w:rPr>
              <w:t>48</w:t>
            </w:r>
          </w:p>
        </w:tc>
        <w:tc>
          <w:tcPr>
            <w:tcW w:type="dxa" w:w="3360"/>
            <w:vAlign w:val="center"/>
          </w:tcPr>
          <w:p>
            <w:pPr>
              <w:spacing w:after="0"/>
            </w:pPr>
            <w:r>
              <w:rPr>
                <w:sz w:val="13"/>
              </w:rPr>
              <w:t>James Dyson</w:t>
            </w:r>
          </w:p>
        </w:tc>
        <w:tc>
          <w:tcPr>
            <w:tcW w:type="dxa" w:w="3360"/>
            <w:vAlign w:val="center"/>
          </w:tcPr>
          <w:p>
            <w:pPr>
              <w:spacing w:after="0"/>
            </w:pPr>
            <w:r>
              <w:rPr>
                <w:sz w:val="13"/>
              </w:rPr>
              <w:t>$67B</w:t>
            </w:r>
          </w:p>
        </w:tc>
      </w:tr>
      <w:tr>
        <w:tc>
          <w:tcPr>
            <w:tcW w:type="dxa" w:w="3360"/>
            <w:shd w:fill="F6F7F8"/>
            <w:vAlign w:val="center"/>
          </w:tcPr>
          <w:p>
            <w:pPr>
              <w:spacing w:after="0"/>
            </w:pPr>
            <w:r>
              <w:rPr>
                <w:sz w:val="13"/>
              </w:rPr>
              <w:t>49</w:t>
            </w:r>
          </w:p>
        </w:tc>
        <w:tc>
          <w:tcPr>
            <w:tcW w:type="dxa" w:w="3360"/>
            <w:shd w:fill="F6F7F8"/>
            <w:vAlign w:val="center"/>
          </w:tcPr>
          <w:p>
            <w:pPr>
              <w:spacing w:after="0"/>
            </w:pPr>
            <w:r>
              <w:rPr>
                <w:sz w:val="13"/>
              </w:rPr>
              <w:t>Jorge Paulo Lemann family</w:t>
            </w:r>
          </w:p>
        </w:tc>
        <w:tc>
          <w:tcPr>
            <w:tcW w:type="dxa" w:w="3360"/>
            <w:shd w:fill="F6F7F8"/>
            <w:vAlign w:val="center"/>
          </w:tcPr>
          <w:p>
            <w:pPr>
              <w:spacing w:after="0"/>
            </w:pPr>
            <w:r>
              <w:rPr>
                <w:sz w:val="13"/>
              </w:rPr>
              <w:t>$65B</w:t>
            </w:r>
          </w:p>
        </w:tc>
      </w:tr>
      <w:tr>
        <w:tc>
          <w:tcPr>
            <w:tcW w:type="dxa" w:w="3360"/>
            <w:vAlign w:val="center"/>
          </w:tcPr>
          <w:p>
            <w:pPr>
              <w:spacing w:after="0"/>
            </w:pPr>
            <w:r>
              <w:rPr>
                <w:sz w:val="13"/>
              </w:rPr>
              <w:t>50</w:t>
            </w:r>
          </w:p>
        </w:tc>
        <w:tc>
          <w:tcPr>
            <w:tcW w:type="dxa" w:w="3360"/>
            <w:vAlign w:val="center"/>
          </w:tcPr>
          <w:p>
            <w:pPr>
              <w:spacing w:after="0"/>
            </w:pPr>
            <w:r>
              <w:rPr>
                <w:sz w:val="13"/>
              </w:rPr>
              <w:t>Michael Platt</w:t>
            </w:r>
          </w:p>
        </w:tc>
        <w:tc>
          <w:tcPr>
            <w:tcW w:type="dxa" w:w="3360"/>
            <w:vAlign w:val="center"/>
          </w:tcPr>
          <w:p>
            <w:pPr>
              <w:spacing w:after="0"/>
            </w:pPr>
            <w:r>
              <w:rPr>
                <w:sz w:val="13"/>
              </w:rPr>
              <w:t>$63B</w:t>
            </w:r>
          </w:p>
        </w:tc>
      </w:tr>
    </w:tbl>
    <w:p>
      <w:pPr>
        <w:spacing w:after="40"/>
      </w:pPr>
    </w:p>
    <w:p>
      <w:pPr>
        <w:pStyle w:val="Heading1"/>
      </w:pPr>
      <w:r>
        <w:t>14. Major event chronology 2027–2030</w:t>
      </w:r>
    </w:p>
    <w:p>
      <w:pPr>
        <w:pStyle w:val="Heading2"/>
      </w:pPr>
      <w:r>
        <w:t>2027</w:t>
      </w:r>
    </w:p>
    <w:p>
      <w:pPr>
        <w:spacing w:after="80" w:line="252" w:lineRule="auto"/>
      </w:pPr>
      <w:r>
        <w:t>Q1 · Macro normalization: Energy risk premium declines, global capex reaccelerates; inflation falls but services remain sticky.</w:t>
      </w:r>
    </w:p>
    <w:p>
      <w:pPr>
        <w:spacing w:after="80" w:line="252" w:lineRule="auto"/>
      </w:pPr>
      <w:r>
        <w:t>Q1 · RPIL industrialization: RAS turns experimental failure/recovery loop into a controlled product program.</w:t>
      </w:r>
    </w:p>
    <w:p>
      <w:pPr>
        <w:spacing w:after="80" w:line="252" w:lineRule="auto"/>
      </w:pPr>
      <w:r>
        <w:t>Q2 · RAS industrial near-miss: No human injury; equipment damage triggers €0.4M-class remediation, deterministic safety layer and tighter commissioning.</w:t>
      </w:r>
    </w:p>
    <w:p>
      <w:pPr>
        <w:spacing w:after="80" w:line="252" w:lineRule="auto"/>
      </w:pPr>
      <w:r>
        <w:t>Q2 · Semiconductor expansion: Advanced-node/HBM investment remains a global capex driver; power and packaging are the bottlenecks.</w:t>
      </w:r>
    </w:p>
    <w:p>
      <w:pPr>
        <w:spacing w:after="80" w:line="252" w:lineRule="auto"/>
      </w:pPr>
      <w:r>
        <w:t>Q3 · Artemis III anchor window: NASA’s scheduled 2027 demonstration mission becomes a high-profile robotics/automation signal; exact real outcome is simulated.</w:t>
      </w:r>
    </w:p>
    <w:p>
      <w:pPr>
        <w:spacing w:after="80" w:line="252" w:lineRule="auto"/>
      </w:pPr>
      <w:r>
        <w:t>Q3 · European expansion: RAS establishes Munich and Eindhoven operating nodes.</w:t>
      </w:r>
    </w:p>
    <w:p>
      <w:pPr>
        <w:spacing w:after="80" w:line="252" w:lineRule="auto"/>
      </w:pPr>
      <w:r>
        <w:t>Q4 · Enterprise Physical AI: Clients begin buying reliability, auditability and recovery rather than demos alone.</w:t>
      </w:r>
    </w:p>
    <w:p>
      <w:pPr>
        <w:spacing w:after="80" w:line="252" w:lineRule="auto"/>
      </w:pPr>
      <w:r>
        <w:t>Q4 · Capital discipline: RAS remains private and avoids premature fundraising; hiring becomes capacity-driven.</w:t>
      </w:r>
    </w:p>
    <w:p>
      <w:pPr>
        <w:pStyle w:val="Heading2"/>
      </w:pPr>
      <w:r>
        <w:t>2028</w:t>
      </w:r>
    </w:p>
    <w:p>
      <w:pPr>
        <w:spacing w:after="80" w:line="252" w:lineRule="auto"/>
      </w:pPr>
      <w:r>
        <w:t>Q1 · Series B: €24M primary round; S.A. conversion; Founder F share class created to preserve strategic control.</w:t>
      </w:r>
    </w:p>
    <w:p>
      <w:pPr>
        <w:spacing w:after="80" w:line="252" w:lineRule="auto"/>
      </w:pPr>
      <w:r>
        <w:t>Q2 · US expansion: Pittsburgh and Detroit nodes begin full operations; RAS becomes transatlantic.</w:t>
      </w:r>
    </w:p>
    <w:p>
      <w:pPr>
        <w:spacing w:after="80" w:line="252" w:lineRule="auto"/>
      </w:pPr>
      <w:r>
        <w:t>Q2 · AI governance: EU compliance becomes a procurement differentiator, not just legal overhead.</w:t>
      </w:r>
    </w:p>
    <w:p>
      <w:pPr>
        <w:spacing w:after="80" w:line="252" w:lineRule="auto"/>
      </w:pPr>
      <w:r>
        <w:t>Q3 · LA28: The Olympic cycle acts as a global automation/infrastructure showcase; enterprise demand moves further from demos toward operational reliability.</w:t>
      </w:r>
    </w:p>
    <w:p>
      <w:pPr>
        <w:spacing w:after="80" w:line="252" w:lineRule="auto"/>
      </w:pPr>
      <w:r>
        <w:t>Q3 · Artemis IV anchor window: Commercial lunar-lander ecosystem attracts further robotics, navigation and autonomy investment.</w:t>
      </w:r>
    </w:p>
    <w:p>
      <w:pPr>
        <w:spacing w:after="80" w:line="252" w:lineRule="auto"/>
      </w:pPr>
      <w:r>
        <w:t>Q4 · Data rights standardization: RAS contractual telemetry rights become standardized for generalized learning.</w:t>
      </w:r>
    </w:p>
    <w:p>
      <w:pPr>
        <w:pStyle w:val="Heading2"/>
      </w:pPr>
      <w:r>
        <w:t>2029</w:t>
      </w:r>
    </w:p>
    <w:p>
      <w:pPr>
        <w:spacing w:after="80" w:line="252" w:lineRule="auto"/>
      </w:pPr>
      <w:r>
        <w:t>Q1 · EU institutional reset: Post-election industrial policy shifts toward semiconductor capacity, grid, robotics and defense procurement.</w:t>
      </w:r>
    </w:p>
    <w:p>
      <w:pPr>
        <w:spacing w:after="80" w:line="252" w:lineRule="auto"/>
      </w:pPr>
      <w:r>
        <w:t>Q2 · Series C: €78.75M growth financing funds U.S./APAC scale and acquisition capacity.</w:t>
      </w:r>
    </w:p>
    <w:p>
      <w:pPr>
        <w:spacing w:after="80" w:line="252" w:lineRule="auto"/>
      </w:pPr>
      <w:r>
        <w:t>Q2 · Kernwerk acquisition: €12.5M cash purchase + up to €4M earn-out; force-control and calibration capabilities brought inside RAS.</w:t>
      </w:r>
    </w:p>
    <w:p>
      <w:pPr>
        <w:spacing w:after="80" w:line="252" w:lineRule="auto"/>
      </w:pPr>
      <w:r>
        <w:t>Q3 · Supply-chain episode: Taiwan Strait shipping risk raises insurance and lead times temporarily without escalating to war.</w:t>
      </w:r>
    </w:p>
    <w:p>
      <w:pPr>
        <w:spacing w:after="80" w:line="252" w:lineRule="auto"/>
      </w:pPr>
      <w:r>
        <w:t>Q3 · Physical AI consolidation: Market begins separating operational data moats from model-demo companies.</w:t>
      </w:r>
    </w:p>
    <w:p>
      <w:pPr>
        <w:spacing w:after="80" w:line="252" w:lineRule="auto"/>
      </w:pPr>
      <w:r>
        <w:t>Q4 · Platform economics: Recurring revenue and fleet-learning economics become central to RAS valuation.</w:t>
      </w:r>
    </w:p>
    <w:p>
      <w:pPr>
        <w:pStyle w:val="Heading2"/>
      </w:pPr>
      <w:r>
        <w:t>2030</w:t>
      </w:r>
    </w:p>
    <w:p>
      <w:pPr>
        <w:spacing w:after="80" w:line="252" w:lineRule="auto"/>
      </w:pPr>
      <w:r>
        <w:t>Q1 · AI valuation correction: Public AI multiples compress; RAS shifts valuation conversation toward recurring revenue, retention and EBITDA.</w:t>
      </w:r>
    </w:p>
    <w:p>
      <w:pPr>
        <w:spacing w:after="80" w:line="252" w:lineRule="auto"/>
      </w:pPr>
      <w:r>
        <w:t>Q2 · RPIL v4.0: Validated industrial autonomy reaches ~94% task completion and ~96.5% recovery success on defined benchmark classes.</w:t>
      </w:r>
    </w:p>
    <w:p>
      <w:pPr>
        <w:spacing w:after="80" w:line="252" w:lineRule="auto"/>
      </w:pPr>
      <w:r>
        <w:t>Q2 · Global footprint: RAS reaches 15 countries via hubs and channel partners rather than one-office-per-country strategy.</w:t>
      </w:r>
    </w:p>
    <w:p>
      <w:pPr>
        <w:spacing w:after="80" w:line="252" w:lineRule="auto"/>
      </w:pPr>
      <w:r>
        <w:t>Q3 · Luxembourg campus: 6,200 m² financed/owned campus becomes European validation and Physical AI center.</w:t>
      </w:r>
    </w:p>
    <w:p>
      <w:pPr>
        <w:spacing w:after="80" w:line="252" w:lineRule="auto"/>
      </w:pPr>
      <w:r>
        <w:t>Q3 · Extreme-environment pilot: RAS enters orbital/extreme-environment autonomy with a small pilot; no conversion into a space company.</w:t>
      </w:r>
    </w:p>
    <w:p>
      <w:pPr>
        <w:spacing w:after="80" w:line="252" w:lineRule="auto"/>
      </w:pPr>
      <w:r>
        <w:t>Q4 · Founder secondary: Lucien sells 400k shares at €82/share for €32.8M to diversify personal wealth.</w:t>
      </w:r>
    </w:p>
    <w:p>
      <w:pPr>
        <w:spacing w:after="80" w:line="252" w:lineRule="auto"/>
      </w:pPr>
      <w:r>
        <w:t>Q4 · 2030 state lock: RAS: €186M revenue, €28.5M EBITDA, €79M cash, €1.148B equity mark; Lucien retains strategic voting control.</w:t>
      </w:r>
    </w:p>
    <w:p>
      <w:pPr>
        <w:pStyle w:val="Heading1"/>
      </w:pPr>
      <w:r>
        <w:t>15. Interpretation of the 2030 world</w:t>
      </w:r>
    </w:p>
    <w:p>
      <w:pPr>
        <w:spacing w:after="80" w:line="252" w:lineRule="auto"/>
      </w:pPr>
      <w:r>
        <w:t>The central economic fact of 2030 is not that AI has replaced labor or that robots have become universal. It is that AI has become a new layer of capital infrastructure. The world is investing simultaneously in compute, power, semiconductor capacity, networks, industrial automation and physical infrastructure. RAS occupies one small but strategically coherent position inside that stack: the operational intelligence layer that makes existing physical machines more adaptable and auditable.</w:t>
      </w:r>
    </w:p>
    <w:p>
      <w:r>
        <w:br w:type="page"/>
      </w:r>
    </w:p>
    <w:p>
      <w:pPr>
        <w:pStyle w:val="Heading1"/>
      </w:pPr>
      <w:r>
        <w:t>Appendix A — 2030 regional photographs</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shd w:fill="252A30"/>
          </w:tcPr>
          <w:p>
            <w:r>
              <w:rPr>
                <w:b/>
                <w:color w:val="FFFFFF"/>
                <w:sz w:val="13"/>
              </w:rPr>
              <w:t>Region</w:t>
            </w:r>
          </w:p>
        </w:tc>
        <w:tc>
          <w:tcPr>
            <w:tcW w:type="dxa" w:w="2520"/>
            <w:shd w:fill="252A30"/>
          </w:tcPr>
          <w:p>
            <w:r>
              <w:rPr>
                <w:b/>
                <w:color w:val="FFFFFF"/>
                <w:sz w:val="13"/>
              </w:rPr>
              <w:t>Primary engines</w:t>
            </w:r>
          </w:p>
        </w:tc>
        <w:tc>
          <w:tcPr>
            <w:tcW w:type="dxa" w:w="2520"/>
            <w:shd w:fill="252A30"/>
          </w:tcPr>
          <w:p>
            <w:r>
              <w:rPr>
                <w:b/>
                <w:color w:val="FFFFFF"/>
                <w:sz w:val="13"/>
              </w:rPr>
              <w:t>Constraints</w:t>
            </w:r>
          </w:p>
        </w:tc>
        <w:tc>
          <w:tcPr>
            <w:tcW w:type="dxa" w:w="2520"/>
            <w:shd w:fill="252A30"/>
          </w:tcPr>
          <w:p>
            <w:r>
              <w:rPr>
                <w:b/>
                <w:color w:val="FFFFFF"/>
                <w:sz w:val="13"/>
              </w:rPr>
              <w:t>RAS relevance</w:t>
            </w:r>
          </w:p>
        </w:tc>
      </w:tr>
      <w:tr>
        <w:tc>
          <w:tcPr>
            <w:tcW w:type="dxa" w:w="2520"/>
          </w:tcPr>
          <w:p>
            <w:pPr>
              <w:spacing w:after="0"/>
            </w:pPr>
            <w:r>
              <w:rPr>
                <w:sz w:val="13"/>
              </w:rPr>
              <w:t>United States</w:t>
            </w:r>
          </w:p>
        </w:tc>
        <w:tc>
          <w:tcPr>
            <w:tcW w:type="dxa" w:w="2520"/>
          </w:tcPr>
          <w:p>
            <w:pPr>
              <w:spacing w:after="0"/>
            </w:pPr>
            <w:r>
              <w:rPr>
                <w:sz w:val="13"/>
              </w:rPr>
              <w:t>AI, defense, energy infrastructure, semiconductor reshoring</w:t>
            </w:r>
          </w:p>
        </w:tc>
        <w:tc>
          <w:tcPr>
            <w:tcW w:type="dxa" w:w="2520"/>
          </w:tcPr>
          <w:p>
            <w:pPr>
              <w:spacing w:after="0"/>
            </w:pPr>
            <w:r>
              <w:rPr>
                <w:sz w:val="13"/>
              </w:rPr>
              <w:t>Strong capital formation; grid and labor bottlenecks</w:t>
            </w:r>
          </w:p>
        </w:tc>
        <w:tc>
          <w:tcPr>
            <w:tcW w:type="dxa" w:w="2520"/>
          </w:tcPr>
          <w:p>
            <w:pPr>
              <w:spacing w:after="0"/>
            </w:pPr>
            <w:r>
              <w:rPr>
                <w:sz w:val="13"/>
              </w:rPr>
              <w:t>RAS demand + US delivery base</w:t>
            </w:r>
          </w:p>
        </w:tc>
      </w:tr>
      <w:tr>
        <w:tc>
          <w:tcPr>
            <w:tcW w:type="dxa" w:w="2520"/>
          </w:tcPr>
          <w:p>
            <w:pPr>
              <w:spacing w:after="0"/>
            </w:pPr>
            <w:r>
              <w:rPr>
                <w:sz w:val="13"/>
              </w:rPr>
              <w:t>European Union</w:t>
            </w:r>
          </w:p>
        </w:tc>
        <w:tc>
          <w:tcPr>
            <w:tcW w:type="dxa" w:w="2520"/>
          </w:tcPr>
          <w:p>
            <w:pPr>
              <w:spacing w:after="0"/>
            </w:pPr>
            <w:r>
              <w:rPr>
                <w:sz w:val="13"/>
              </w:rPr>
              <w:t>Industrial automation, defense, power, semis</w:t>
            </w:r>
          </w:p>
        </w:tc>
        <w:tc>
          <w:tcPr>
            <w:tcW w:type="dxa" w:w="2520"/>
          </w:tcPr>
          <w:p>
            <w:pPr>
              <w:spacing w:after="0"/>
            </w:pPr>
            <w:r>
              <w:rPr>
                <w:sz w:val="13"/>
              </w:rPr>
              <w:t>Slow productivity and fragmented capital</w:t>
            </w:r>
          </w:p>
        </w:tc>
        <w:tc>
          <w:tcPr>
            <w:tcW w:type="dxa" w:w="2520"/>
          </w:tcPr>
          <w:p>
            <w:pPr>
              <w:spacing w:after="0"/>
            </w:pPr>
            <w:r>
              <w:rPr>
                <w:sz w:val="13"/>
              </w:rPr>
              <w:t>RAS home market and regulatory advantage</w:t>
            </w:r>
          </w:p>
        </w:tc>
      </w:tr>
      <w:tr>
        <w:tc>
          <w:tcPr>
            <w:tcW w:type="dxa" w:w="2520"/>
          </w:tcPr>
          <w:p>
            <w:pPr>
              <w:spacing w:after="0"/>
            </w:pPr>
            <w:r>
              <w:rPr>
                <w:sz w:val="13"/>
              </w:rPr>
              <w:t>China</w:t>
            </w:r>
          </w:p>
        </w:tc>
        <w:tc>
          <w:tcPr>
            <w:tcW w:type="dxa" w:w="2520"/>
          </w:tcPr>
          <w:p>
            <w:pPr>
              <w:spacing w:after="0"/>
            </w:pPr>
            <w:r>
              <w:rPr>
                <w:sz w:val="13"/>
              </w:rPr>
              <w:t>Manufacturing, EVs, domestic AI stack, robotics</w:t>
            </w:r>
          </w:p>
        </w:tc>
        <w:tc>
          <w:tcPr>
            <w:tcW w:type="dxa" w:w="2520"/>
          </w:tcPr>
          <w:p>
            <w:pPr>
              <w:spacing w:after="0"/>
            </w:pPr>
            <w:r>
              <w:rPr>
                <w:sz w:val="13"/>
              </w:rPr>
              <w:t>Property and demographics</w:t>
            </w:r>
          </w:p>
        </w:tc>
        <w:tc>
          <w:tcPr>
            <w:tcW w:type="dxa" w:w="2520"/>
          </w:tcPr>
          <w:p>
            <w:pPr>
              <w:spacing w:after="0"/>
            </w:pPr>
            <w:r>
              <w:rPr>
                <w:sz w:val="13"/>
              </w:rPr>
              <w:t>Customer competition + supply-chain dependency</w:t>
            </w:r>
          </w:p>
        </w:tc>
      </w:tr>
      <w:tr>
        <w:tc>
          <w:tcPr>
            <w:tcW w:type="dxa" w:w="2520"/>
          </w:tcPr>
          <w:p>
            <w:pPr>
              <w:spacing w:after="0"/>
            </w:pPr>
            <w:r>
              <w:rPr>
                <w:sz w:val="13"/>
              </w:rPr>
              <w:t>India</w:t>
            </w:r>
          </w:p>
        </w:tc>
        <w:tc>
          <w:tcPr>
            <w:tcW w:type="dxa" w:w="2520"/>
          </w:tcPr>
          <w:p>
            <w:pPr>
              <w:spacing w:after="0"/>
            </w:pPr>
            <w:r>
              <w:rPr>
                <w:sz w:val="13"/>
              </w:rPr>
              <w:t>Digital infrastructure, services, manufacturing</w:t>
            </w:r>
          </w:p>
        </w:tc>
        <w:tc>
          <w:tcPr>
            <w:tcW w:type="dxa" w:w="2520"/>
          </w:tcPr>
          <w:p>
            <w:pPr>
              <w:spacing w:after="0"/>
            </w:pPr>
            <w:r>
              <w:rPr>
                <w:sz w:val="13"/>
              </w:rPr>
              <w:t>Power, transport, skills</w:t>
            </w:r>
          </w:p>
        </w:tc>
        <w:tc>
          <w:tcPr>
            <w:tcW w:type="dxa" w:w="2520"/>
          </w:tcPr>
          <w:p>
            <w:pPr>
              <w:spacing w:after="0"/>
            </w:pPr>
            <w:r>
              <w:rPr>
                <w:sz w:val="13"/>
              </w:rPr>
              <w:t>Future RAS expansion market</w:t>
            </w:r>
          </w:p>
        </w:tc>
      </w:tr>
      <w:tr>
        <w:tc>
          <w:tcPr>
            <w:tcW w:type="dxa" w:w="2520"/>
          </w:tcPr>
          <w:p>
            <w:pPr>
              <w:spacing w:after="0"/>
            </w:pPr>
            <w:r>
              <w:rPr>
                <w:sz w:val="13"/>
              </w:rPr>
              <w:t>Japan</w:t>
            </w:r>
          </w:p>
        </w:tc>
        <w:tc>
          <w:tcPr>
            <w:tcW w:type="dxa" w:w="2520"/>
          </w:tcPr>
          <w:p>
            <w:pPr>
              <w:spacing w:after="0"/>
            </w:pPr>
            <w:r>
              <w:rPr>
                <w:sz w:val="13"/>
              </w:rPr>
              <w:t>Precision manufacturing, robotics, semiconductors</w:t>
            </w:r>
          </w:p>
        </w:tc>
        <w:tc>
          <w:tcPr>
            <w:tcW w:type="dxa" w:w="2520"/>
          </w:tcPr>
          <w:p>
            <w:pPr>
              <w:spacing w:after="0"/>
            </w:pPr>
            <w:r>
              <w:rPr>
                <w:sz w:val="13"/>
              </w:rPr>
              <w:t>Demographics</w:t>
            </w:r>
          </w:p>
        </w:tc>
        <w:tc>
          <w:tcPr>
            <w:tcW w:type="dxa" w:w="2520"/>
          </w:tcPr>
          <w:p>
            <w:pPr>
              <w:spacing w:after="0"/>
            </w:pPr>
            <w:r>
              <w:rPr>
                <w:sz w:val="13"/>
              </w:rPr>
              <w:t>APAC partner/customer base</w:t>
            </w:r>
          </w:p>
        </w:tc>
      </w:tr>
      <w:tr>
        <w:tc>
          <w:tcPr>
            <w:tcW w:type="dxa" w:w="2520"/>
          </w:tcPr>
          <w:p>
            <w:pPr>
              <w:spacing w:after="0"/>
            </w:pPr>
            <w:r>
              <w:rPr>
                <w:sz w:val="13"/>
              </w:rPr>
              <w:t>Taiwan</w:t>
            </w:r>
          </w:p>
        </w:tc>
        <w:tc>
          <w:tcPr>
            <w:tcW w:type="dxa" w:w="2520"/>
          </w:tcPr>
          <w:p>
            <w:pPr>
              <w:spacing w:after="0"/>
            </w:pPr>
            <w:r>
              <w:rPr>
                <w:sz w:val="13"/>
              </w:rPr>
              <w:t>Leading-edge semiconductors, packaging</w:t>
            </w:r>
          </w:p>
        </w:tc>
        <w:tc>
          <w:tcPr>
            <w:tcW w:type="dxa" w:w="2520"/>
          </w:tcPr>
          <w:p>
            <w:pPr>
              <w:spacing w:after="0"/>
            </w:pPr>
            <w:r>
              <w:rPr>
                <w:sz w:val="13"/>
              </w:rPr>
              <w:t>Security concentration</w:t>
            </w:r>
          </w:p>
        </w:tc>
        <w:tc>
          <w:tcPr>
            <w:tcW w:type="dxa" w:w="2520"/>
          </w:tcPr>
          <w:p>
            <w:pPr>
              <w:spacing w:after="0"/>
            </w:pPr>
            <w:r>
              <w:rPr>
                <w:sz w:val="13"/>
              </w:rPr>
              <w:t>Critical supply-chain node</w:t>
            </w:r>
          </w:p>
        </w:tc>
      </w:tr>
      <w:tr>
        <w:tc>
          <w:tcPr>
            <w:tcW w:type="dxa" w:w="2520"/>
          </w:tcPr>
          <w:p>
            <w:pPr>
              <w:spacing w:after="0"/>
            </w:pPr>
            <w:r>
              <w:rPr>
                <w:sz w:val="13"/>
              </w:rPr>
              <w:t>South Korea</w:t>
            </w:r>
          </w:p>
        </w:tc>
        <w:tc>
          <w:tcPr>
            <w:tcW w:type="dxa" w:w="2520"/>
          </w:tcPr>
          <w:p>
            <w:pPr>
              <w:spacing w:after="0"/>
            </w:pPr>
            <w:r>
              <w:rPr>
                <w:sz w:val="13"/>
              </w:rPr>
              <w:t>Memory, displays, manufacturing</w:t>
            </w:r>
          </w:p>
        </w:tc>
        <w:tc>
          <w:tcPr>
            <w:tcW w:type="dxa" w:w="2520"/>
          </w:tcPr>
          <w:p>
            <w:pPr>
              <w:spacing w:after="0"/>
            </w:pPr>
            <w:r>
              <w:rPr>
                <w:sz w:val="13"/>
              </w:rPr>
              <w:t>Demographics</w:t>
            </w:r>
          </w:p>
        </w:tc>
        <w:tc>
          <w:tcPr>
            <w:tcW w:type="dxa" w:w="2520"/>
          </w:tcPr>
          <w:p>
            <w:pPr>
              <w:spacing w:after="0"/>
            </w:pPr>
            <w:r>
              <w:rPr>
                <w:sz w:val="13"/>
              </w:rPr>
              <w:t>HBM / robotics ecosystem</w:t>
            </w:r>
          </w:p>
        </w:tc>
      </w:tr>
      <w:tr>
        <w:tc>
          <w:tcPr>
            <w:tcW w:type="dxa" w:w="2520"/>
          </w:tcPr>
          <w:p>
            <w:pPr>
              <w:spacing w:after="0"/>
            </w:pPr>
            <w:r>
              <w:rPr>
                <w:sz w:val="13"/>
              </w:rPr>
              <w:t>Middle East</w:t>
            </w:r>
          </w:p>
        </w:tc>
        <w:tc>
          <w:tcPr>
            <w:tcW w:type="dxa" w:w="2520"/>
          </w:tcPr>
          <w:p>
            <w:pPr>
              <w:spacing w:after="0"/>
            </w:pPr>
            <w:r>
              <w:rPr>
                <w:sz w:val="13"/>
              </w:rPr>
              <w:t>Energy, sovereign capital, logistics, data centers</w:t>
            </w:r>
          </w:p>
        </w:tc>
        <w:tc>
          <w:tcPr>
            <w:tcW w:type="dxa" w:w="2520"/>
          </w:tcPr>
          <w:p>
            <w:pPr>
              <w:spacing w:after="0"/>
            </w:pPr>
            <w:r>
              <w:rPr>
                <w:sz w:val="13"/>
              </w:rPr>
              <w:t>Security risk</w:t>
            </w:r>
          </w:p>
        </w:tc>
        <w:tc>
          <w:tcPr>
            <w:tcW w:type="dxa" w:w="2520"/>
          </w:tcPr>
          <w:p>
            <w:pPr>
              <w:spacing w:after="0"/>
            </w:pPr>
            <w:r>
              <w:rPr>
                <w:sz w:val="13"/>
              </w:rPr>
              <w:t>Infrastructure finance / customers</w:t>
            </w:r>
          </w:p>
        </w:tc>
      </w:tr>
      <w:tr>
        <w:tc>
          <w:tcPr>
            <w:tcW w:type="dxa" w:w="2520"/>
          </w:tcPr>
          <w:p>
            <w:pPr>
              <w:spacing w:after="0"/>
            </w:pPr>
            <w:r>
              <w:rPr>
                <w:sz w:val="13"/>
              </w:rPr>
              <w:t>Southeast Asia</w:t>
            </w:r>
          </w:p>
        </w:tc>
        <w:tc>
          <w:tcPr>
            <w:tcW w:type="dxa" w:w="2520"/>
          </w:tcPr>
          <w:p>
            <w:pPr>
              <w:spacing w:after="0"/>
            </w:pPr>
            <w:r>
              <w:rPr>
                <w:sz w:val="13"/>
              </w:rPr>
              <w:t>Electronics, manufacturing relocation</w:t>
            </w:r>
          </w:p>
        </w:tc>
        <w:tc>
          <w:tcPr>
            <w:tcW w:type="dxa" w:w="2520"/>
          </w:tcPr>
          <w:p>
            <w:pPr>
              <w:spacing w:after="0"/>
            </w:pPr>
            <w:r>
              <w:rPr>
                <w:sz w:val="13"/>
              </w:rPr>
              <w:t>Infrastructure differences</w:t>
            </w:r>
          </w:p>
        </w:tc>
        <w:tc>
          <w:tcPr>
            <w:tcW w:type="dxa" w:w="2520"/>
          </w:tcPr>
          <w:p>
            <w:pPr>
              <w:spacing w:after="0"/>
            </w:pPr>
            <w:r>
              <w:rPr>
                <w:sz w:val="13"/>
              </w:rPr>
              <w:t>New industrial sites</w:t>
            </w:r>
          </w:p>
        </w:tc>
      </w:tr>
      <w:tr>
        <w:tc>
          <w:tcPr>
            <w:tcW w:type="dxa" w:w="2520"/>
          </w:tcPr>
          <w:p>
            <w:pPr>
              <w:spacing w:after="0"/>
            </w:pPr>
            <w:r>
              <w:rPr>
                <w:sz w:val="13"/>
              </w:rPr>
              <w:t>Latin America</w:t>
            </w:r>
          </w:p>
        </w:tc>
        <w:tc>
          <w:tcPr>
            <w:tcW w:type="dxa" w:w="2520"/>
          </w:tcPr>
          <w:p>
            <w:pPr>
              <w:spacing w:after="0"/>
            </w:pPr>
            <w:r>
              <w:rPr>
                <w:sz w:val="13"/>
              </w:rPr>
              <w:t>Commodities, nearshoring, energy</w:t>
            </w:r>
          </w:p>
        </w:tc>
        <w:tc>
          <w:tcPr>
            <w:tcW w:type="dxa" w:w="2520"/>
          </w:tcPr>
          <w:p>
            <w:pPr>
              <w:spacing w:after="0"/>
            </w:pPr>
            <w:r>
              <w:rPr>
                <w:sz w:val="13"/>
              </w:rPr>
              <w:t>Political/fiscal variability</w:t>
            </w:r>
          </w:p>
        </w:tc>
        <w:tc>
          <w:tcPr>
            <w:tcW w:type="dxa" w:w="2520"/>
          </w:tcPr>
          <w:p>
            <w:pPr>
              <w:spacing w:after="0"/>
            </w:pPr>
            <w:r>
              <w:rPr>
                <w:sz w:val="13"/>
              </w:rPr>
              <w:t>Selective deployment opportunity</w:t>
            </w:r>
          </w:p>
        </w:tc>
      </w:tr>
    </w:tbl>
    <w:p>
      <w:pPr>
        <w:pStyle w:val="Heading1"/>
      </w:pPr>
      <w:r>
        <w:t>Appendix B — Technology maturity matrix</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252A30"/>
          </w:tcPr>
          <w:p>
            <w:r>
              <w:rPr>
                <w:b/>
                <w:color w:val="FFFFFF"/>
                <w:sz w:val="13"/>
              </w:rPr>
              <w:t>Technology</w:t>
            </w:r>
          </w:p>
        </w:tc>
        <w:tc>
          <w:tcPr>
            <w:tcW w:type="dxa" w:w="3360"/>
            <w:shd w:fill="252A30"/>
          </w:tcPr>
          <w:p>
            <w:r>
              <w:rPr>
                <w:b/>
                <w:color w:val="FFFFFF"/>
                <w:sz w:val="13"/>
              </w:rPr>
              <w:t>2030 maturity (sim)</w:t>
            </w:r>
          </w:p>
        </w:tc>
        <w:tc>
          <w:tcPr>
            <w:tcW w:type="dxa" w:w="3360"/>
            <w:shd w:fill="252A30"/>
          </w:tcPr>
          <w:p>
            <w:r>
              <w:rPr>
                <w:b/>
                <w:color w:val="FFFFFF"/>
                <w:sz w:val="13"/>
              </w:rPr>
              <w:t>Boundary</w:t>
            </w:r>
          </w:p>
        </w:tc>
      </w:tr>
      <w:tr>
        <w:tc>
          <w:tcPr>
            <w:tcW w:type="dxa" w:w="3360"/>
          </w:tcPr>
          <w:p>
            <w:pPr>
              <w:spacing w:after="0"/>
            </w:pPr>
            <w:r>
              <w:rPr>
                <w:sz w:val="13"/>
              </w:rPr>
              <w:t>Frontier AI</w:t>
            </w:r>
          </w:p>
        </w:tc>
        <w:tc>
          <w:tcPr>
            <w:tcW w:type="dxa" w:w="3360"/>
          </w:tcPr>
          <w:p>
            <w:pPr>
              <w:spacing w:after="0"/>
            </w:pPr>
            <w:r>
              <w:rPr>
                <w:sz w:val="13"/>
              </w:rPr>
              <w:t>8.5/10</w:t>
            </w:r>
          </w:p>
        </w:tc>
        <w:tc>
          <w:tcPr>
            <w:tcW w:type="dxa" w:w="3360"/>
          </w:tcPr>
          <w:p>
            <w:pPr>
              <w:spacing w:after="0"/>
            </w:pPr>
            <w:r>
              <w:rPr>
                <w:sz w:val="13"/>
              </w:rPr>
              <w:t>High capability; reliability/energy constraints</w:t>
            </w:r>
          </w:p>
        </w:tc>
      </w:tr>
      <w:tr>
        <w:tc>
          <w:tcPr>
            <w:tcW w:type="dxa" w:w="3360"/>
          </w:tcPr>
          <w:p>
            <w:pPr>
              <w:spacing w:after="0"/>
            </w:pPr>
            <w:r>
              <w:rPr>
                <w:sz w:val="13"/>
              </w:rPr>
              <w:t>Agentic software</w:t>
            </w:r>
          </w:p>
        </w:tc>
        <w:tc>
          <w:tcPr>
            <w:tcW w:type="dxa" w:w="3360"/>
          </w:tcPr>
          <w:p>
            <w:pPr>
              <w:spacing w:after="0"/>
            </w:pPr>
            <w:r>
              <w:rPr>
                <w:sz w:val="13"/>
              </w:rPr>
              <w:t>8/10</w:t>
            </w:r>
          </w:p>
        </w:tc>
        <w:tc>
          <w:tcPr>
            <w:tcW w:type="dxa" w:w="3360"/>
          </w:tcPr>
          <w:p>
            <w:pPr>
              <w:spacing w:after="0"/>
            </w:pPr>
            <w:r>
              <w:rPr>
                <w:sz w:val="13"/>
              </w:rPr>
              <w:t>Widely deployed in bounded enterprise workflows</w:t>
            </w:r>
          </w:p>
        </w:tc>
      </w:tr>
      <w:tr>
        <w:tc>
          <w:tcPr>
            <w:tcW w:type="dxa" w:w="3360"/>
          </w:tcPr>
          <w:p>
            <w:pPr>
              <w:spacing w:after="0"/>
            </w:pPr>
            <w:r>
              <w:rPr>
                <w:sz w:val="13"/>
              </w:rPr>
              <w:t>Industrial perception</w:t>
            </w:r>
          </w:p>
        </w:tc>
        <w:tc>
          <w:tcPr>
            <w:tcW w:type="dxa" w:w="3360"/>
          </w:tcPr>
          <w:p>
            <w:pPr>
              <w:spacing w:after="0"/>
            </w:pPr>
            <w:r>
              <w:rPr>
                <w:sz w:val="13"/>
              </w:rPr>
              <w:t>9/10</w:t>
            </w:r>
          </w:p>
        </w:tc>
        <w:tc>
          <w:tcPr>
            <w:tcW w:type="dxa" w:w="3360"/>
          </w:tcPr>
          <w:p>
            <w:pPr>
              <w:spacing w:after="0"/>
            </w:pPr>
            <w:r>
              <w:rPr>
                <w:sz w:val="13"/>
              </w:rPr>
              <w:t>High maturity in structured environments</w:t>
            </w:r>
          </w:p>
        </w:tc>
      </w:tr>
      <w:tr>
        <w:tc>
          <w:tcPr>
            <w:tcW w:type="dxa" w:w="3360"/>
          </w:tcPr>
          <w:p>
            <w:pPr>
              <w:spacing w:after="0"/>
            </w:pPr>
            <w:r>
              <w:rPr>
                <w:sz w:val="13"/>
              </w:rPr>
              <w:t>Physical AI recovery</w:t>
            </w:r>
          </w:p>
        </w:tc>
        <w:tc>
          <w:tcPr>
            <w:tcW w:type="dxa" w:w="3360"/>
          </w:tcPr>
          <w:p>
            <w:pPr>
              <w:spacing w:after="0"/>
            </w:pPr>
            <w:r>
              <w:rPr>
                <w:sz w:val="13"/>
              </w:rPr>
              <w:t>8/10</w:t>
            </w:r>
          </w:p>
        </w:tc>
        <w:tc>
          <w:tcPr>
            <w:tcW w:type="dxa" w:w="3360"/>
          </w:tcPr>
          <w:p>
            <w:pPr>
              <w:spacing w:after="0"/>
            </w:pPr>
            <w:r>
              <w:rPr>
                <w:sz w:val="13"/>
              </w:rPr>
              <w:t>Commercial value on defined tasks</w:t>
            </w:r>
          </w:p>
        </w:tc>
      </w:tr>
      <w:tr>
        <w:tc>
          <w:tcPr>
            <w:tcW w:type="dxa" w:w="3360"/>
          </w:tcPr>
          <w:p>
            <w:pPr>
              <w:spacing w:after="0"/>
            </w:pPr>
            <w:r>
              <w:rPr>
                <w:sz w:val="13"/>
              </w:rPr>
              <w:t>Humanoid robotics</w:t>
            </w:r>
          </w:p>
        </w:tc>
        <w:tc>
          <w:tcPr>
            <w:tcW w:type="dxa" w:w="3360"/>
          </w:tcPr>
          <w:p>
            <w:pPr>
              <w:spacing w:after="0"/>
            </w:pPr>
            <w:r>
              <w:rPr>
                <w:sz w:val="13"/>
              </w:rPr>
              <w:t>6/10</w:t>
            </w:r>
          </w:p>
        </w:tc>
        <w:tc>
          <w:tcPr>
            <w:tcW w:type="dxa" w:w="3360"/>
          </w:tcPr>
          <w:p>
            <w:pPr>
              <w:spacing w:after="0"/>
            </w:pPr>
            <w:r>
              <w:rPr>
                <w:sz w:val="13"/>
              </w:rPr>
              <w:t>Useful in selected tasks, not universal</w:t>
            </w:r>
          </w:p>
        </w:tc>
      </w:tr>
      <w:tr>
        <w:tc>
          <w:tcPr>
            <w:tcW w:type="dxa" w:w="3360"/>
          </w:tcPr>
          <w:p>
            <w:pPr>
              <w:spacing w:after="0"/>
            </w:pPr>
            <w:r>
              <w:rPr>
                <w:sz w:val="13"/>
              </w:rPr>
              <w:t>Autonomous construction</w:t>
            </w:r>
          </w:p>
        </w:tc>
        <w:tc>
          <w:tcPr>
            <w:tcW w:type="dxa" w:w="3360"/>
          </w:tcPr>
          <w:p>
            <w:pPr>
              <w:spacing w:after="0"/>
            </w:pPr>
            <w:r>
              <w:rPr>
                <w:sz w:val="13"/>
              </w:rPr>
              <w:t>5.5/10</w:t>
            </w:r>
          </w:p>
        </w:tc>
        <w:tc>
          <w:tcPr>
            <w:tcW w:type="dxa" w:w="3360"/>
          </w:tcPr>
          <w:p>
            <w:pPr>
              <w:spacing w:after="0"/>
            </w:pPr>
            <w:r>
              <w:rPr>
                <w:sz w:val="13"/>
              </w:rPr>
              <w:t>High variability remains difficult</w:t>
            </w:r>
          </w:p>
        </w:tc>
      </w:tr>
      <w:tr>
        <w:tc>
          <w:tcPr>
            <w:tcW w:type="dxa" w:w="3360"/>
          </w:tcPr>
          <w:p>
            <w:pPr>
              <w:spacing w:after="0"/>
            </w:pPr>
            <w:r>
              <w:rPr>
                <w:sz w:val="13"/>
              </w:rPr>
              <w:t>Quantum computing</w:t>
            </w:r>
          </w:p>
        </w:tc>
        <w:tc>
          <w:tcPr>
            <w:tcW w:type="dxa" w:w="3360"/>
          </w:tcPr>
          <w:p>
            <w:pPr>
              <w:spacing w:after="0"/>
            </w:pPr>
            <w:r>
              <w:rPr>
                <w:sz w:val="13"/>
              </w:rPr>
              <w:t>5/10</w:t>
            </w:r>
          </w:p>
        </w:tc>
        <w:tc>
          <w:tcPr>
            <w:tcW w:type="dxa" w:w="3360"/>
          </w:tcPr>
          <w:p>
            <w:pPr>
              <w:spacing w:after="0"/>
            </w:pPr>
            <w:r>
              <w:rPr>
                <w:sz w:val="13"/>
              </w:rPr>
              <w:t>Narrow measured utility</w:t>
            </w:r>
          </w:p>
        </w:tc>
      </w:tr>
      <w:tr>
        <w:tc>
          <w:tcPr>
            <w:tcW w:type="dxa" w:w="3360"/>
          </w:tcPr>
          <w:p>
            <w:pPr>
              <w:spacing w:after="0"/>
            </w:pPr>
            <w:r>
              <w:rPr>
                <w:sz w:val="13"/>
              </w:rPr>
              <w:t>AI materials discovery</w:t>
            </w:r>
          </w:p>
        </w:tc>
        <w:tc>
          <w:tcPr>
            <w:tcW w:type="dxa" w:w="3360"/>
          </w:tcPr>
          <w:p>
            <w:pPr>
              <w:spacing w:after="0"/>
            </w:pPr>
            <w:r>
              <w:rPr>
                <w:sz w:val="13"/>
              </w:rPr>
              <w:t>7/10</w:t>
            </w:r>
          </w:p>
        </w:tc>
        <w:tc>
          <w:tcPr>
            <w:tcW w:type="dxa" w:w="3360"/>
          </w:tcPr>
          <w:p>
            <w:pPr>
              <w:spacing w:after="0"/>
            </w:pPr>
            <w:r>
              <w:rPr>
                <w:sz w:val="13"/>
              </w:rPr>
              <w:t>Discovery faster than qualification</w:t>
            </w:r>
          </w:p>
        </w:tc>
      </w:tr>
      <w:tr>
        <w:tc>
          <w:tcPr>
            <w:tcW w:type="dxa" w:w="3360"/>
          </w:tcPr>
          <w:p>
            <w:pPr>
              <w:spacing w:after="0"/>
            </w:pPr>
            <w:r>
              <w:rPr>
                <w:sz w:val="13"/>
              </w:rPr>
              <w:t>Advanced semiconductors</w:t>
            </w:r>
          </w:p>
        </w:tc>
        <w:tc>
          <w:tcPr>
            <w:tcW w:type="dxa" w:w="3360"/>
          </w:tcPr>
          <w:p>
            <w:pPr>
              <w:spacing w:after="0"/>
            </w:pPr>
            <w:r>
              <w:rPr>
                <w:sz w:val="13"/>
              </w:rPr>
              <w:t>9/10</w:t>
            </w:r>
          </w:p>
        </w:tc>
        <w:tc>
          <w:tcPr>
            <w:tcW w:type="dxa" w:w="3360"/>
          </w:tcPr>
          <w:p>
            <w:pPr>
              <w:spacing w:after="0"/>
            </w:pPr>
            <w:r>
              <w:rPr>
                <w:sz w:val="13"/>
              </w:rPr>
              <w:t>Manufacturing and packaging bottlenecks</w:t>
            </w:r>
          </w:p>
        </w:tc>
      </w:tr>
      <w:tr>
        <w:tc>
          <w:tcPr>
            <w:tcW w:type="dxa" w:w="3360"/>
          </w:tcPr>
          <w:p>
            <w:pPr>
              <w:spacing w:after="0"/>
            </w:pPr>
            <w:r>
              <w:rPr>
                <w:sz w:val="13"/>
              </w:rPr>
              <w:t>Commercial lunar logistics</w:t>
            </w:r>
          </w:p>
        </w:tc>
        <w:tc>
          <w:tcPr>
            <w:tcW w:type="dxa" w:w="3360"/>
          </w:tcPr>
          <w:p>
            <w:pPr>
              <w:spacing w:after="0"/>
            </w:pPr>
            <w:r>
              <w:rPr>
                <w:sz w:val="13"/>
              </w:rPr>
              <w:t>4.5/10</w:t>
            </w:r>
          </w:p>
        </w:tc>
        <w:tc>
          <w:tcPr>
            <w:tcW w:type="dxa" w:w="3360"/>
          </w:tcPr>
          <w:p>
            <w:pPr>
              <w:spacing w:after="0"/>
            </w:pPr>
            <w:r>
              <w:rPr>
                <w:sz w:val="13"/>
              </w:rPr>
              <w:t>Emerging infrastructure, still early</w:t>
            </w:r>
          </w:p>
        </w:tc>
      </w:tr>
      <w:tr>
        <w:tc>
          <w:tcPr>
            <w:tcW w:type="dxa" w:w="3360"/>
          </w:tcPr>
          <w:p>
            <w:pPr>
              <w:spacing w:after="0"/>
            </w:pPr>
            <w:r>
              <w:rPr>
                <w:sz w:val="13"/>
              </w:rPr>
              <w:t>Orbital servicing</w:t>
            </w:r>
          </w:p>
        </w:tc>
        <w:tc>
          <w:tcPr>
            <w:tcW w:type="dxa" w:w="3360"/>
          </w:tcPr>
          <w:p>
            <w:pPr>
              <w:spacing w:after="0"/>
            </w:pPr>
            <w:r>
              <w:rPr>
                <w:sz w:val="13"/>
              </w:rPr>
              <w:t>5.5/10</w:t>
            </w:r>
          </w:p>
        </w:tc>
        <w:tc>
          <w:tcPr>
            <w:tcW w:type="dxa" w:w="3360"/>
          </w:tcPr>
          <w:p>
            <w:pPr>
              <w:spacing w:after="0"/>
            </w:pPr>
            <w:r>
              <w:rPr>
                <w:sz w:val="13"/>
              </w:rPr>
              <w:t>Real niche market, limited scale</w:t>
            </w:r>
          </w:p>
        </w:tc>
      </w:tr>
      <w:tr>
        <w:tc>
          <w:tcPr>
            <w:tcW w:type="dxa" w:w="3360"/>
          </w:tcPr>
          <w:p>
            <w:pPr>
              <w:spacing w:after="0"/>
            </w:pPr>
            <w:r>
              <w:rPr>
                <w:sz w:val="13"/>
              </w:rPr>
              <w:t>Grid-scale storage</w:t>
            </w:r>
          </w:p>
        </w:tc>
        <w:tc>
          <w:tcPr>
            <w:tcW w:type="dxa" w:w="3360"/>
          </w:tcPr>
          <w:p>
            <w:pPr>
              <w:spacing w:after="0"/>
            </w:pPr>
            <w:r>
              <w:rPr>
                <w:sz w:val="13"/>
              </w:rPr>
              <w:t>8/10</w:t>
            </w:r>
          </w:p>
        </w:tc>
        <w:tc>
          <w:tcPr>
            <w:tcW w:type="dxa" w:w="3360"/>
          </w:tcPr>
          <w:p>
            <w:pPr>
              <w:spacing w:after="0"/>
            </w:pPr>
            <w:r>
              <w:rPr>
                <w:sz w:val="13"/>
              </w:rPr>
              <w:t>Economics improve; transmission remains hard</w:t>
            </w:r>
          </w:p>
        </w:tc>
      </w:tr>
    </w:tbl>
    <w:p>
      <w:pPr>
        <w:pStyle w:val="Heading1"/>
      </w:pPr>
      <w:r>
        <w:t>Appendix C — 2030 infrastructure bottlenecks</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252A30"/>
          </w:tcPr>
          <w:p>
            <w:r>
              <w:rPr>
                <w:b/>
                <w:color w:val="FFFFFF"/>
                <w:sz w:val="14"/>
              </w:rPr>
              <w:t>Bottleneck</w:t>
            </w:r>
          </w:p>
        </w:tc>
        <w:tc>
          <w:tcPr>
            <w:tcW w:type="dxa" w:w="3360"/>
            <w:shd w:fill="252A30"/>
          </w:tcPr>
          <w:p>
            <w:r>
              <w:rPr>
                <w:b/>
                <w:color w:val="FFFFFF"/>
                <w:sz w:val="14"/>
              </w:rPr>
              <w:t>Why it matters</w:t>
            </w:r>
          </w:p>
        </w:tc>
        <w:tc>
          <w:tcPr>
            <w:tcW w:type="dxa" w:w="3360"/>
            <w:shd w:fill="252A30"/>
          </w:tcPr>
          <w:p>
            <w:r>
              <w:rPr>
                <w:b/>
                <w:color w:val="FFFFFF"/>
                <w:sz w:val="14"/>
              </w:rPr>
              <w:t>How the world responds</w:t>
            </w:r>
          </w:p>
        </w:tc>
      </w:tr>
      <w:tr>
        <w:tc>
          <w:tcPr>
            <w:tcW w:type="dxa" w:w="3360"/>
          </w:tcPr>
          <w:p>
            <w:pPr>
              <w:spacing w:after="0"/>
            </w:pPr>
            <w:r>
              <w:rPr>
                <w:sz w:val="14"/>
              </w:rPr>
              <w:t>Electricity</w:t>
            </w:r>
          </w:p>
        </w:tc>
        <w:tc>
          <w:tcPr>
            <w:tcW w:type="dxa" w:w="3360"/>
          </w:tcPr>
          <w:p>
            <w:pPr>
              <w:spacing w:after="0"/>
            </w:pPr>
            <w:r>
              <w:rPr>
                <w:sz w:val="14"/>
              </w:rPr>
              <w:t>AI and factories compete for power</w:t>
            </w:r>
          </w:p>
        </w:tc>
        <w:tc>
          <w:tcPr>
            <w:tcW w:type="dxa" w:w="3360"/>
          </w:tcPr>
          <w:p>
            <w:pPr>
              <w:spacing w:after="0"/>
            </w:pPr>
            <w:r>
              <w:rPr>
                <w:sz w:val="14"/>
              </w:rPr>
              <w:t>Grid capex, nuclear, storage, renewables</w:t>
            </w:r>
          </w:p>
        </w:tc>
      </w:tr>
      <w:tr>
        <w:tc>
          <w:tcPr>
            <w:tcW w:type="dxa" w:w="3360"/>
          </w:tcPr>
          <w:p>
            <w:pPr>
              <w:spacing w:after="0"/>
            </w:pPr>
            <w:r>
              <w:rPr>
                <w:sz w:val="14"/>
              </w:rPr>
              <w:t>Transformers / switchgear</w:t>
            </w:r>
          </w:p>
        </w:tc>
        <w:tc>
          <w:tcPr>
            <w:tcW w:type="dxa" w:w="3360"/>
          </w:tcPr>
          <w:p>
            <w:pPr>
              <w:spacing w:after="0"/>
            </w:pPr>
            <w:r>
              <w:rPr>
                <w:sz w:val="14"/>
              </w:rPr>
              <w:t>Long lead time</w:t>
            </w:r>
          </w:p>
        </w:tc>
        <w:tc>
          <w:tcPr>
            <w:tcW w:type="dxa" w:w="3360"/>
          </w:tcPr>
          <w:p>
            <w:pPr>
              <w:spacing w:after="0"/>
            </w:pPr>
            <w:r>
              <w:rPr>
                <w:sz w:val="14"/>
              </w:rPr>
              <w:t>Industrial expansion and local manufacturing</w:t>
            </w:r>
          </w:p>
        </w:tc>
      </w:tr>
      <w:tr>
        <w:tc>
          <w:tcPr>
            <w:tcW w:type="dxa" w:w="3360"/>
          </w:tcPr>
          <w:p>
            <w:pPr>
              <w:spacing w:after="0"/>
            </w:pPr>
            <w:r>
              <w:rPr>
                <w:sz w:val="14"/>
              </w:rPr>
              <w:t>HBM</w:t>
            </w:r>
          </w:p>
        </w:tc>
        <w:tc>
          <w:tcPr>
            <w:tcW w:type="dxa" w:w="3360"/>
          </w:tcPr>
          <w:p>
            <w:pPr>
              <w:spacing w:after="0"/>
            </w:pPr>
            <w:r>
              <w:rPr>
                <w:sz w:val="14"/>
              </w:rPr>
              <w:t>AI memory demand</w:t>
            </w:r>
          </w:p>
        </w:tc>
        <w:tc>
          <w:tcPr>
            <w:tcW w:type="dxa" w:w="3360"/>
          </w:tcPr>
          <w:p>
            <w:pPr>
              <w:spacing w:after="0"/>
            </w:pPr>
            <w:r>
              <w:rPr>
                <w:sz w:val="14"/>
              </w:rPr>
              <w:t>New fabs and packaging</w:t>
            </w:r>
          </w:p>
        </w:tc>
      </w:tr>
      <w:tr>
        <w:tc>
          <w:tcPr>
            <w:tcW w:type="dxa" w:w="3360"/>
          </w:tcPr>
          <w:p>
            <w:pPr>
              <w:spacing w:after="0"/>
            </w:pPr>
            <w:r>
              <w:rPr>
                <w:sz w:val="14"/>
              </w:rPr>
              <w:t>Advanced packaging</w:t>
            </w:r>
          </w:p>
        </w:tc>
        <w:tc>
          <w:tcPr>
            <w:tcW w:type="dxa" w:w="3360"/>
          </w:tcPr>
          <w:p>
            <w:pPr>
              <w:spacing w:after="0"/>
            </w:pPr>
            <w:r>
              <w:rPr>
                <w:sz w:val="14"/>
              </w:rPr>
              <w:t>Limits accelerator scaling</w:t>
            </w:r>
          </w:p>
        </w:tc>
        <w:tc>
          <w:tcPr>
            <w:tcW w:type="dxa" w:w="3360"/>
          </w:tcPr>
          <w:p>
            <w:pPr>
              <w:spacing w:after="0"/>
            </w:pPr>
            <w:r>
              <w:rPr>
                <w:sz w:val="14"/>
              </w:rPr>
              <w:t>More capacity in Asia/US/EU</w:t>
            </w:r>
          </w:p>
        </w:tc>
      </w:tr>
      <w:tr>
        <w:tc>
          <w:tcPr>
            <w:tcW w:type="dxa" w:w="3360"/>
          </w:tcPr>
          <w:p>
            <w:pPr>
              <w:spacing w:after="0"/>
            </w:pPr>
            <w:r>
              <w:rPr>
                <w:sz w:val="14"/>
              </w:rPr>
              <w:t>Robotics integration talent</w:t>
            </w:r>
          </w:p>
        </w:tc>
        <w:tc>
          <w:tcPr>
            <w:tcW w:type="dxa" w:w="3360"/>
          </w:tcPr>
          <w:p>
            <w:pPr>
              <w:spacing w:after="0"/>
            </w:pPr>
            <w:r>
              <w:rPr>
                <w:sz w:val="14"/>
              </w:rPr>
              <w:t>Limits deployments</w:t>
            </w:r>
          </w:p>
        </w:tc>
        <w:tc>
          <w:tcPr>
            <w:tcW w:type="dxa" w:w="3360"/>
          </w:tcPr>
          <w:p>
            <w:pPr>
              <w:spacing w:after="0"/>
            </w:pPr>
            <w:r>
              <w:rPr>
                <w:sz w:val="14"/>
              </w:rPr>
              <w:t>Training + system integrators</w:t>
            </w:r>
          </w:p>
        </w:tc>
      </w:tr>
      <w:tr>
        <w:tc>
          <w:tcPr>
            <w:tcW w:type="dxa" w:w="3360"/>
          </w:tcPr>
          <w:p>
            <w:pPr>
              <w:spacing w:after="0"/>
            </w:pPr>
            <w:r>
              <w:rPr>
                <w:sz w:val="14"/>
              </w:rPr>
              <w:t>Data rights</w:t>
            </w:r>
          </w:p>
        </w:tc>
        <w:tc>
          <w:tcPr>
            <w:tcW w:type="dxa" w:w="3360"/>
          </w:tcPr>
          <w:p>
            <w:pPr>
              <w:spacing w:after="0"/>
            </w:pPr>
            <w:r>
              <w:rPr>
                <w:sz w:val="14"/>
              </w:rPr>
              <w:t>Limits fleet learning</w:t>
            </w:r>
          </w:p>
        </w:tc>
        <w:tc>
          <w:tcPr>
            <w:tcW w:type="dxa" w:w="3360"/>
          </w:tcPr>
          <w:p>
            <w:pPr>
              <w:spacing w:after="0"/>
            </w:pPr>
            <w:r>
              <w:rPr>
                <w:sz w:val="14"/>
              </w:rPr>
              <w:t>Standardized contractual telemetry rights</w:t>
            </w:r>
          </w:p>
        </w:tc>
      </w:tr>
      <w:tr>
        <w:tc>
          <w:tcPr>
            <w:tcW w:type="dxa" w:w="3360"/>
          </w:tcPr>
          <w:p>
            <w:pPr>
              <w:spacing w:after="0"/>
            </w:pPr>
            <w:r>
              <w:rPr>
                <w:sz w:val="14"/>
              </w:rPr>
              <w:t>Insurance / liability</w:t>
            </w:r>
          </w:p>
        </w:tc>
        <w:tc>
          <w:tcPr>
            <w:tcW w:type="dxa" w:w="3360"/>
          </w:tcPr>
          <w:p>
            <w:pPr>
              <w:spacing w:after="0"/>
            </w:pPr>
            <w:r>
              <w:rPr>
                <w:sz w:val="14"/>
              </w:rPr>
              <w:t>Physical AI failure cost</w:t>
            </w:r>
          </w:p>
        </w:tc>
        <w:tc>
          <w:tcPr>
            <w:tcW w:type="dxa" w:w="3360"/>
          </w:tcPr>
          <w:p>
            <w:pPr>
              <w:spacing w:after="0"/>
            </w:pPr>
            <w:r>
              <w:rPr>
                <w:sz w:val="14"/>
              </w:rPr>
              <w:t>Assurance, deterministic safety layers</w:t>
            </w:r>
          </w:p>
        </w:tc>
      </w:tr>
      <w:tr>
        <w:tc>
          <w:tcPr>
            <w:tcW w:type="dxa" w:w="3360"/>
          </w:tcPr>
          <w:p>
            <w:pPr>
              <w:spacing w:after="0"/>
            </w:pPr>
            <w:r>
              <w:rPr>
                <w:sz w:val="14"/>
              </w:rPr>
              <w:t>Critical minerals</w:t>
            </w:r>
          </w:p>
        </w:tc>
        <w:tc>
          <w:tcPr>
            <w:tcW w:type="dxa" w:w="3360"/>
          </w:tcPr>
          <w:p>
            <w:pPr>
              <w:spacing w:after="0"/>
            </w:pPr>
            <w:r>
              <w:rPr>
                <w:sz w:val="14"/>
              </w:rPr>
              <w:t>Manufacturing security</w:t>
            </w:r>
          </w:p>
        </w:tc>
        <w:tc>
          <w:tcPr>
            <w:tcW w:type="dxa" w:w="3360"/>
          </w:tcPr>
          <w:p>
            <w:pPr>
              <w:spacing w:after="0"/>
            </w:pPr>
            <w:r>
              <w:rPr>
                <w:sz w:val="14"/>
              </w:rPr>
              <w:t>Strategic inventories and diversification</w:t>
            </w:r>
          </w:p>
        </w:tc>
      </w:tr>
    </w:tbl>
    <w:p>
      <w:pPr>
        <w:pStyle w:val="Heading1"/>
      </w:pPr>
      <w:r>
        <w:t>Appendix D — Market structure in 2030</w:t>
      </w:r>
    </w:p>
    <w:p>
      <w:pPr>
        <w:spacing w:after="80" w:line="252" w:lineRule="auto"/>
      </w:pPr>
      <w:r>
        <w:t>The most valuable technology companies now sit at different layers: compute, cloud, model intelligence, industrial equipment, semiconductors, energy systems and application infrastructure. No single layer fully controls Physical AI. This fragmentation creates room for specialized infrastructure companies such as RAS, but it also means RAS remains dependent on upstream platform suppliers and customer hardware.</w:t>
      </w:r>
    </w:p>
    <w:p>
      <w:pPr>
        <w:pStyle w:val="Heading1"/>
      </w:pPr>
      <w:r>
        <w:t>Appendix E — Counterfactuals and tail risks</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252A30"/>
          </w:tcPr>
          <w:p>
            <w:r>
              <w:rPr>
                <w:b/>
                <w:color w:val="FFFFFF"/>
                <w:sz w:val="14"/>
              </w:rPr>
              <w:t>Scenario</w:t>
            </w:r>
          </w:p>
        </w:tc>
        <w:tc>
          <w:tcPr>
            <w:tcW w:type="dxa" w:w="3360"/>
            <w:shd w:fill="252A30"/>
          </w:tcPr>
          <w:p>
            <w:r>
              <w:rPr>
                <w:b/>
                <w:color w:val="FFFFFF"/>
                <w:sz w:val="14"/>
              </w:rPr>
              <w:t>Did it occur?</w:t>
            </w:r>
          </w:p>
        </w:tc>
        <w:tc>
          <w:tcPr>
            <w:tcW w:type="dxa" w:w="3360"/>
            <w:shd w:fill="252A30"/>
          </w:tcPr>
          <w:p>
            <w:r>
              <w:rPr>
                <w:b/>
                <w:color w:val="FFFFFF"/>
                <w:sz w:val="14"/>
              </w:rPr>
              <w:t>Effect on RAS</w:t>
            </w:r>
          </w:p>
        </w:tc>
      </w:tr>
      <w:tr>
        <w:tc>
          <w:tcPr>
            <w:tcW w:type="dxa" w:w="3360"/>
          </w:tcPr>
          <w:p>
            <w:pPr>
              <w:spacing w:after="0"/>
            </w:pPr>
            <w:r>
              <w:rPr>
                <w:sz w:val="14"/>
              </w:rPr>
              <w:t>Major Taiwan conflict</w:t>
            </w:r>
          </w:p>
        </w:tc>
        <w:tc>
          <w:tcPr>
            <w:tcW w:type="dxa" w:w="3360"/>
          </w:tcPr>
          <w:p>
            <w:pPr>
              <w:spacing w:after="0"/>
            </w:pPr>
            <w:r>
              <w:rPr>
                <w:sz w:val="14"/>
              </w:rPr>
              <w:t>No</w:t>
            </w:r>
          </w:p>
        </w:tc>
        <w:tc>
          <w:tcPr>
            <w:tcW w:type="dxa" w:w="3360"/>
          </w:tcPr>
          <w:p>
            <w:pPr>
              <w:spacing w:after="0"/>
            </w:pPr>
            <w:r>
              <w:rPr>
                <w:sz w:val="14"/>
              </w:rPr>
              <w:t>Supply-chain risk episode only; dual sourcing pays off</w:t>
            </w:r>
          </w:p>
        </w:tc>
      </w:tr>
      <w:tr>
        <w:tc>
          <w:tcPr>
            <w:tcW w:type="dxa" w:w="3360"/>
          </w:tcPr>
          <w:p>
            <w:pPr>
              <w:spacing w:after="0"/>
            </w:pPr>
            <w:r>
              <w:rPr>
                <w:sz w:val="14"/>
              </w:rPr>
              <w:t>Global financial crisis</w:t>
            </w:r>
          </w:p>
        </w:tc>
        <w:tc>
          <w:tcPr>
            <w:tcW w:type="dxa" w:w="3360"/>
          </w:tcPr>
          <w:p>
            <w:pPr>
              <w:spacing w:after="0"/>
            </w:pPr>
            <w:r>
              <w:rPr>
                <w:sz w:val="14"/>
              </w:rPr>
              <w:t>No</w:t>
            </w:r>
          </w:p>
        </w:tc>
        <w:tc>
          <w:tcPr>
            <w:tcW w:type="dxa" w:w="3360"/>
          </w:tcPr>
          <w:p>
            <w:pPr>
              <w:spacing w:after="0"/>
            </w:pPr>
            <w:r>
              <w:rPr>
                <w:sz w:val="14"/>
              </w:rPr>
              <w:t>AI valuation correction only</w:t>
            </w:r>
          </w:p>
        </w:tc>
      </w:tr>
      <w:tr>
        <w:tc>
          <w:tcPr>
            <w:tcW w:type="dxa" w:w="3360"/>
          </w:tcPr>
          <w:p>
            <w:pPr>
              <w:spacing w:after="0"/>
            </w:pPr>
            <w:r>
              <w:rPr>
                <w:sz w:val="14"/>
              </w:rPr>
              <w:t>Universal humanoid breakthrough</w:t>
            </w:r>
          </w:p>
        </w:tc>
        <w:tc>
          <w:tcPr>
            <w:tcW w:type="dxa" w:w="3360"/>
          </w:tcPr>
          <w:p>
            <w:pPr>
              <w:spacing w:after="0"/>
            </w:pPr>
            <w:r>
              <w:rPr>
                <w:sz w:val="14"/>
              </w:rPr>
              <w:t>No</w:t>
            </w:r>
          </w:p>
        </w:tc>
        <w:tc>
          <w:tcPr>
            <w:tcW w:type="dxa" w:w="3360"/>
          </w:tcPr>
          <w:p>
            <w:pPr>
              <w:spacing w:after="0"/>
            </w:pPr>
            <w:r>
              <w:rPr>
                <w:sz w:val="14"/>
              </w:rPr>
              <w:t>Specialized robots remain dominant</w:t>
            </w:r>
          </w:p>
        </w:tc>
      </w:tr>
      <w:tr>
        <w:tc>
          <w:tcPr>
            <w:tcW w:type="dxa" w:w="3360"/>
          </w:tcPr>
          <w:p>
            <w:pPr>
              <w:spacing w:after="0"/>
            </w:pPr>
            <w:r>
              <w:rPr>
                <w:sz w:val="14"/>
              </w:rPr>
              <w:t>Universal fault-tolerant quantum breakthrough</w:t>
            </w:r>
          </w:p>
        </w:tc>
        <w:tc>
          <w:tcPr>
            <w:tcW w:type="dxa" w:w="3360"/>
          </w:tcPr>
          <w:p>
            <w:pPr>
              <w:spacing w:after="0"/>
            </w:pPr>
            <w:r>
              <w:rPr>
                <w:sz w:val="14"/>
              </w:rPr>
              <w:t>No</w:t>
            </w:r>
          </w:p>
        </w:tc>
        <w:tc>
          <w:tcPr>
            <w:tcW w:type="dxa" w:w="3360"/>
          </w:tcPr>
          <w:p>
            <w:pPr>
              <w:spacing w:after="0"/>
            </w:pPr>
            <w:r>
              <w:rPr>
                <w:sz w:val="14"/>
              </w:rPr>
              <w:t>Quantum stays niche</w:t>
            </w:r>
          </w:p>
        </w:tc>
      </w:tr>
      <w:tr>
        <w:tc>
          <w:tcPr>
            <w:tcW w:type="dxa" w:w="3360"/>
          </w:tcPr>
          <w:p>
            <w:pPr>
              <w:spacing w:after="0"/>
            </w:pPr>
            <w:r>
              <w:rPr>
                <w:sz w:val="14"/>
              </w:rPr>
              <w:t>Energy shock returns to 2026 peak</w:t>
            </w:r>
          </w:p>
        </w:tc>
        <w:tc>
          <w:tcPr>
            <w:tcW w:type="dxa" w:w="3360"/>
          </w:tcPr>
          <w:p>
            <w:pPr>
              <w:spacing w:after="0"/>
            </w:pPr>
            <w:r>
              <w:rPr>
                <w:sz w:val="14"/>
              </w:rPr>
              <w:t>No</w:t>
            </w:r>
          </w:p>
        </w:tc>
        <w:tc>
          <w:tcPr>
            <w:tcW w:type="dxa" w:w="3360"/>
          </w:tcPr>
          <w:p>
            <w:pPr>
              <w:spacing w:after="0"/>
            </w:pPr>
            <w:r>
              <w:rPr>
                <w:sz w:val="14"/>
              </w:rPr>
              <w:t>Energy risk remains elevated but manageable</w:t>
            </w:r>
          </w:p>
        </w:tc>
      </w:tr>
      <w:tr>
        <w:tc>
          <w:tcPr>
            <w:tcW w:type="dxa" w:w="3360"/>
          </w:tcPr>
          <w:p>
            <w:pPr>
              <w:spacing w:after="0"/>
            </w:pPr>
            <w:r>
              <w:rPr>
                <w:sz w:val="14"/>
              </w:rPr>
              <w:t>RAS catastrophic safety event</w:t>
            </w:r>
          </w:p>
        </w:tc>
        <w:tc>
          <w:tcPr>
            <w:tcW w:type="dxa" w:w="3360"/>
          </w:tcPr>
          <w:p>
            <w:pPr>
              <w:spacing w:after="0"/>
            </w:pPr>
            <w:r>
              <w:rPr>
                <w:sz w:val="14"/>
              </w:rPr>
              <w:t>No</w:t>
            </w:r>
          </w:p>
        </w:tc>
        <w:tc>
          <w:tcPr>
            <w:tcW w:type="dxa" w:w="3360"/>
          </w:tcPr>
          <w:p>
            <w:pPr>
              <w:spacing w:after="0"/>
            </w:pPr>
            <w:r>
              <w:rPr>
                <w:sz w:val="14"/>
              </w:rPr>
              <w:t>Near-miss remains largest incident</w:t>
            </w:r>
          </w:p>
        </w:tc>
      </w:tr>
      <w:tr>
        <w:tc>
          <w:tcPr>
            <w:tcW w:type="dxa" w:w="3360"/>
          </w:tcPr>
          <w:p>
            <w:pPr>
              <w:spacing w:after="0"/>
            </w:pPr>
            <w:r>
              <w:rPr>
                <w:sz w:val="14"/>
              </w:rPr>
              <w:t>Strategic acquisition of RAS</w:t>
            </w:r>
          </w:p>
        </w:tc>
        <w:tc>
          <w:tcPr>
            <w:tcW w:type="dxa" w:w="3360"/>
          </w:tcPr>
          <w:p>
            <w:pPr>
              <w:spacing w:after="0"/>
            </w:pPr>
            <w:r>
              <w:rPr>
                <w:sz w:val="14"/>
              </w:rPr>
              <w:t>No</w:t>
            </w:r>
          </w:p>
        </w:tc>
        <w:tc>
          <w:tcPr>
            <w:tcW w:type="dxa" w:w="3360"/>
          </w:tcPr>
          <w:p>
            <w:pPr>
              <w:spacing w:after="0"/>
            </w:pPr>
            <w:r>
              <w:rPr>
                <w:sz w:val="14"/>
              </w:rPr>
              <w:t>Founder retains independent company</w:t>
            </w:r>
          </w:p>
        </w:tc>
      </w:tr>
      <w:tr>
        <w:tc>
          <w:tcPr>
            <w:tcW w:type="dxa" w:w="3360"/>
          </w:tcPr>
          <w:p>
            <w:pPr>
              <w:spacing w:after="0"/>
            </w:pPr>
            <w:r>
              <w:rPr>
                <w:sz w:val="14"/>
              </w:rPr>
              <w:t>RAS IPO by 2030</w:t>
            </w:r>
          </w:p>
        </w:tc>
        <w:tc>
          <w:tcPr>
            <w:tcW w:type="dxa" w:w="3360"/>
          </w:tcPr>
          <w:p>
            <w:pPr>
              <w:spacing w:after="0"/>
            </w:pPr>
            <w:r>
              <w:rPr>
                <w:sz w:val="14"/>
              </w:rPr>
              <w:t>No</w:t>
            </w:r>
          </w:p>
        </w:tc>
        <w:tc>
          <w:tcPr>
            <w:tcW w:type="dxa" w:w="3360"/>
          </w:tcPr>
          <w:p>
            <w:pPr>
              <w:spacing w:after="0"/>
            </w:pPr>
            <w:r>
              <w:rPr>
                <w:sz w:val="14"/>
              </w:rPr>
              <w:t>Private status preserved</w:t>
            </w:r>
          </w:p>
        </w:tc>
      </w:tr>
    </w:tbl>
    <w:p>
      <w:pPr>
        <w:pStyle w:val="Heading1"/>
      </w:pPr>
      <w:r>
        <w:t>Appendix F — World-state audit notes</w:t>
      </w:r>
    </w:p>
    <w:p>
      <w:pPr>
        <w:spacing w:after="120" w:line="252" w:lineRule="auto"/>
      </w:pPr>
      <w:r>
        <w:t>The 2030 endpoint intentionally contains no single technological discontinuity that solves every bottleneck. Productivity gains arise from accumulation: better models, cheaper inference, improved sensors, larger fleets, stronger data rights, more reliable power infrastructure and better regulatory practice.</w:t>
      </w:r>
    </w:p>
    <w:p>
      <w:pPr>
        <w:spacing w:after="120" w:line="252" w:lineRule="auto"/>
      </w:pPr>
      <w:r>
        <w:t>The geopolitical system remains fragmented but functional. The simulation avoids a world war because the strategic behavior of the major powers continues to include strong incentives to preserve trade in high-value components even while restricting selected technologies. The Taiwan Strait episode therefore becomes a supply-chain stress test rather than an extinction event.</w:t>
      </w:r>
    </w:p>
    <w:p>
      <w:pPr>
        <w:spacing w:after="120" w:line="252" w:lineRule="auto"/>
      </w:pPr>
      <w:r>
        <w:t>Energy is modeled as an enabling input to AI and industrial automation. The cost of electricity alone does not determine company success; connection timing, transformer availability, transmission, cooling, permitting and reliability all matter.</w:t>
      </w:r>
    </w:p>
    <w:p>
      <w:pPr>
        <w:spacing w:after="120" w:line="252" w:lineRule="auto"/>
      </w:pPr>
      <w:r>
        <w:t>Physical AI does not become a purely software market. Hardware design, calibration, gripper geometry, force sensing, maintenance and safety certification remain part of the economic stack. This is one reason RAS acquires Kernwerk rather than trying to remain software-only.</w:t>
      </w:r>
    </w:p>
    <w:p>
      <w:pPr>
        <w:spacing w:after="120" w:line="252" w:lineRule="auto"/>
      </w:pPr>
      <w:r>
        <w:t>The wealth ranking is a market snapshot, not a measure of personal income or quality. Private-company values are inherently less observable than public market capitalization, so the world ledger explicitly labels private valuations and founder wealth estimates as simulated.</w:t>
      </w:r>
    </w:p>
    <w:p>
      <w:pPr>
        <w:spacing w:after="120" w:line="252" w:lineRule="auto"/>
      </w:pPr>
      <w:r>
        <w:t>The world-state is now ready to serve as the immutable starting environment for subsequent simulation. Any event after 31 December 2030 must be causally linked to this endpoint rather than back-propagated into the 2027–2030 history.</w:t>
      </w:r>
    </w:p>
    <w:sectPr w:rsidR="00FC693F" w:rsidRPr="0006063C" w:rsidSect="00034616">
      <w:headerReference w:type="default" r:id="rId9"/>
      <w:footerReference w:type="default" r:id="rId10"/>
      <w:pgSz w:w="12240" w:h="15840"/>
      <w:pgMar w:top="1037" w:right="1037"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9198"/>
        <w:sz w:val="15"/>
      </w:rPr>
      <w:t xml:space="preserve">ROSENFELD · CONFIDENTIAL SIMULATION STATE · </w:t>
    </w:r>
    <w:r>
      <w:fldChar w:fldCharType="begin"/>
      <w:instrText xml:space="preserve"> PAGE </w:instrText>
      <w:fldChar w:fldCharType="end"/>
    </w:r>
    <w:r>
      <w:rPr>
        <w:color w:val="8C9198"/>
        <w:sz w:val="15"/>
      </w:rPr>
      <w:t xml:space="preserve"> · 31 DEC 2030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234440" cy="203519"/>
          <wp:docPr id="1" name="Picture 1"/>
          <wp:cNvGraphicFramePr>
            <a:graphicFrameLocks noChangeAspect="1"/>
          </wp:cNvGraphicFramePr>
          <a:graphic>
            <a:graphicData uri="http://schemas.openxmlformats.org/drawingml/2006/picture">
              <pic:pic>
                <pic:nvPicPr>
                  <pic:cNvPr id="0" name="ROSENFELD_Official_Logo_Primary_Transparent.png"/>
                  <pic:cNvPicPr/>
                </pic:nvPicPr>
                <pic:blipFill>
                  <a:blip r:embed="rId1"/>
                  <a:stretch>
                    <a:fillRect/>
                  </a:stretch>
                </pic:blipFill>
                <pic:spPr>
                  <a:xfrm>
                    <a:off x="0" y="0"/>
                    <a:ext cx="1234440" cy="20351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2A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B0D10"/>
      <w:sz w:val="3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55CFF"/>
      <w:sz w:val="26"/>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Display" w:hAnsi="Aptos Display"/>
      <w:b/>
      <w:bCs/>
      <w:color w:val="252A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40"/>
      <w:contextualSpacing/>
    </w:pPr>
    <w:rPr>
      <w:rFonts w:asciiTheme="majorHAnsi" w:eastAsiaTheme="majorEastAsia" w:hAnsiTheme="majorHAnsi" w:cstheme="majorBidi" w:ascii="Aptos Display" w:hAnsi="Aptos Display"/>
      <w:b/>
      <w:color w:val="0B0D1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80"/>
    </w:pPr>
    <w:rPr>
      <w:rFonts w:asciiTheme="majorHAnsi" w:eastAsiaTheme="majorEastAsia" w:hAnsiTheme="majorHAnsi" w:cstheme="majorBidi" w:ascii="Aptos Display" w:hAnsi="Aptos Display"/>
      <w:b w:val="0"/>
      <w:i/>
      <w:iCs/>
      <w:color w:val="8C919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8C919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