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103120" cy="346736"/>
            <wp:docPr id="1" name="Picture 1"/>
            <wp:cNvGraphicFramePr>
              <a:graphicFrameLocks noChangeAspect="1"/>
            </wp:cNvGraphicFramePr>
            <a:graphic>
              <a:graphicData uri="http://schemas.openxmlformats.org/drawingml/2006/picture">
                <pic:pic>
                  <pic:nvPicPr>
                    <pic:cNvPr id="0" name="ROSENFELD_Official_Logo_Primary_Transparent.png"/>
                    <pic:cNvPicPr/>
                  </pic:nvPicPr>
                  <pic:blipFill>
                    <a:blip r:embed="rId11"/>
                    <a:stretch>
                      <a:fillRect/>
                    </a:stretch>
                  </pic:blipFill>
                  <pic:spPr>
                    <a:xfrm>
                      <a:off x="0" y="0"/>
                      <a:ext cx="2103120" cy="346736"/>
                    </a:xfrm>
                    <a:prstGeom prst="rect"/>
                  </pic:spPr>
                </pic:pic>
              </a:graphicData>
            </a:graphic>
          </wp:inline>
        </w:drawing>
      </w:r>
    </w:p>
    <w:p>
      <w:pPr>
        <w:pStyle w:val="Title"/>
      </w:pPr>
      <w:r>
        <w:t>PRODUCT &amp; SERVICE CATALOG</w:t>
      </w:r>
    </w:p>
    <w:p>
      <w:r>
        <w:rPr>
          <w:b/>
          <w:color w:val="252A30"/>
          <w:sz w:val="28"/>
        </w:rPr>
        <w:t>Rosenfeld Autonomous Systems S.à r.l.</w:t>
      </w:r>
    </w:p>
    <w:p>
      <w:r>
        <w:rPr>
          <w:sz w:val="22"/>
        </w:rPr>
        <w:t>Canonical commercial and operating model · 23 September 2026</w:t>
      </w:r>
    </w:p>
    <w:p>
      <w:r>
        <w:rPr>
          <w:sz w:val="20"/>
        </w:rPr>
        <w:t>Purpose: define exactly what RAS builds, sells, deploys, supports and licenses; who buys it; how it is priced; how it is delivered; and what it costs the company to deliver it.</w:t>
      </w:r>
    </w:p>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0B0D10"/>
          </w:tcPr>
          <w:p>
            <w:pPr>
              <w:spacing w:after="0"/>
            </w:pPr>
            <w:r/>
            <w:r>
              <w:rPr>
                <w:rFonts w:ascii="Aptos" w:hAnsi="Aptos"/>
                <w:b/>
                <w:color w:val="FFFFFF"/>
                <w:sz w:val="16"/>
              </w:rPr>
              <w:t>Status</w:t>
            </w:r>
          </w:p>
        </w:tc>
        <w:tc>
          <w:tcPr>
            <w:tcW w:type="dxa" w:w="3744"/>
            <w:vAlign w:val="center"/>
            <w:shd w:fill="0B0D10"/>
          </w:tcPr>
          <w:p>
            <w:pPr>
              <w:spacing w:after="0"/>
            </w:pPr>
            <w:r/>
            <w:r>
              <w:rPr>
                <w:rFonts w:ascii="Aptos" w:hAnsi="Aptos"/>
                <w:b/>
                <w:color w:val="FFFFFF"/>
                <w:sz w:val="16"/>
              </w:rPr>
              <w:t>Authority</w:t>
            </w:r>
          </w:p>
        </w:tc>
        <w:tc>
          <w:tcPr>
            <w:tcW w:type="dxa" w:w="3456"/>
            <w:vAlign w:val="center"/>
            <w:shd w:fill="0B0D10"/>
          </w:tcPr>
          <w:p>
            <w:pPr>
              <w:spacing w:after="0"/>
            </w:pPr>
            <w:r/>
            <w:r>
              <w:rPr>
                <w:rFonts w:ascii="Aptos" w:hAnsi="Aptos"/>
                <w:b/>
                <w:color w:val="FFFFFF"/>
                <w:sz w:val="16"/>
              </w:rPr>
              <w:t>Reality class</w:t>
            </w:r>
          </w:p>
        </w:tc>
      </w:tr>
      <w:tr>
        <w:tc>
          <w:tcPr>
            <w:tcW w:type="dxa" w:w="1872"/>
            <w:vAlign w:val="center"/>
          </w:tcPr>
          <w:p>
            <w:pPr>
              <w:spacing w:after="0"/>
            </w:pPr>
            <w:r/>
            <w:r>
              <w:rPr>
                <w:rFonts w:ascii="Aptos" w:hAnsi="Aptos"/>
                <w:b w:val="0"/>
                <w:sz w:val="16"/>
              </w:rPr>
              <w:t>CANONICAL v1.0</w:t>
            </w:r>
          </w:p>
        </w:tc>
        <w:tc>
          <w:tcPr>
            <w:tcW w:type="dxa" w:w="3744"/>
            <w:vAlign w:val="center"/>
          </w:tcPr>
          <w:p>
            <w:pPr>
              <w:spacing w:after="0"/>
            </w:pPr>
            <w:r/>
            <w:r>
              <w:rPr>
                <w:rFonts w:ascii="Aptos" w:hAnsi="Aptos"/>
                <w:b w:val="0"/>
                <w:sz w:val="16"/>
              </w:rPr>
              <w:t>Extends the v3.0 forensic world-state and Launch Baseline</w:t>
            </w:r>
          </w:p>
        </w:tc>
        <w:tc>
          <w:tcPr>
            <w:tcW w:type="dxa" w:w="3456"/>
            <w:vAlign w:val="center"/>
          </w:tcPr>
          <w:p>
            <w:pPr>
              <w:spacing w:after="0"/>
            </w:pPr>
            <w:r/>
            <w:r>
              <w:rPr>
                <w:rFonts w:ascii="Aptos" w:hAnsi="Aptos"/>
                <w:b w:val="0"/>
                <w:sz w:val="16"/>
              </w:rPr>
              <w:t>All new catalog assumptions are [SIM] unless marked [REAL]/[DERIVED]</w:t>
            </w:r>
          </w:p>
        </w:tc>
      </w:tr>
    </w:tbl>
    <w:p>
      <w:pPr>
        <w:spacing w:after="40"/>
      </w:pPr>
    </w:p>
    <w:p>
      <w:pPr>
        <w:spacing w:before="60" w:after="80"/>
      </w:pPr>
      <w:r>
        <w:rPr>
          <w:i/>
          <w:color w:val="8C9198"/>
          <w:sz w:val="16"/>
        </w:rPr>
        <w:t>Important: this catalog does not replace the corporate financial ledger. Where a later contract-level detail was not previously frozen, this document creates a canonical commercial sub-ledger that must reconcile to the already frozen €7,943,600 2026 YTD revenue.)</w:t>
      </w:r>
    </w:p>
    <w:p>
      <w:r>
        <w:br w:type="page"/>
      </w:r>
    </w:p>
    <w:p>
      <w:pPr>
        <w:pStyle w:val="Heading1"/>
      </w:pPr>
      <w:r>
        <w:t>1. What RAS actually is</w:t>
      </w:r>
    </w:p>
    <w:p>
      <w:r>
        <w:t>Rosenfeld Autonomous Systems is a European Physical AI company that sells the intelligence and engineering layer required to make existing industrial machines behave more autonomously in real environments. RAS is not, in 2026, a mass-market robot manufacturer. It is a software + data + controls + integration company that sits between advanced AI and physical production.</w:t>
      </w:r>
    </w:p>
    <w:p>
      <w:r>
        <w:t>The economic proposition is simple: customers already own factories, robots, sensors, PLCs, machines and industrial processes. RAS makes those assets perceive, decide, execute, recover and learn better, without requiring the customer to replace the entire physical stack.</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0B0D10"/>
          </w:tcPr>
          <w:p>
            <w:pPr>
              <w:spacing w:after="0"/>
            </w:pPr>
            <w:r/>
            <w:r>
              <w:rPr>
                <w:rFonts w:ascii="Aptos" w:hAnsi="Aptos"/>
                <w:b/>
                <w:color w:val="FFFFFF"/>
                <w:sz w:val="16"/>
              </w:rPr>
              <w:t>RAS layer</w:t>
            </w:r>
          </w:p>
        </w:tc>
        <w:tc>
          <w:tcPr>
            <w:tcW w:type="dxa" w:w="3888"/>
            <w:vAlign w:val="center"/>
            <w:shd w:fill="0B0D10"/>
          </w:tcPr>
          <w:p>
            <w:pPr>
              <w:spacing w:after="0"/>
            </w:pPr>
            <w:r/>
            <w:r>
              <w:rPr>
                <w:rFonts w:ascii="Aptos" w:hAnsi="Aptos"/>
                <w:b/>
                <w:color w:val="FFFFFF"/>
                <w:sz w:val="16"/>
              </w:rPr>
              <w:t>What it does</w:t>
            </w:r>
          </w:p>
        </w:tc>
        <w:tc>
          <w:tcPr>
            <w:tcW w:type="dxa" w:w="3312"/>
            <w:vAlign w:val="center"/>
            <w:shd w:fill="0B0D10"/>
          </w:tcPr>
          <w:p>
            <w:pPr>
              <w:spacing w:after="0"/>
            </w:pPr>
            <w:r/>
            <w:r>
              <w:rPr>
                <w:rFonts w:ascii="Aptos" w:hAnsi="Aptos"/>
                <w:b/>
                <w:color w:val="FFFFFF"/>
                <w:sz w:val="16"/>
              </w:rPr>
              <w:t>Customer outcome</w:t>
            </w:r>
          </w:p>
        </w:tc>
      </w:tr>
      <w:tr>
        <w:tc>
          <w:tcPr>
            <w:tcW w:type="dxa" w:w="1728"/>
            <w:vAlign w:val="center"/>
          </w:tcPr>
          <w:p>
            <w:pPr>
              <w:spacing w:after="0"/>
            </w:pPr>
            <w:r/>
            <w:r>
              <w:rPr>
                <w:rFonts w:ascii="Aptos" w:hAnsi="Aptos"/>
                <w:b w:val="0"/>
                <w:sz w:val="16"/>
              </w:rPr>
              <w:t>Perception</w:t>
            </w:r>
          </w:p>
        </w:tc>
        <w:tc>
          <w:tcPr>
            <w:tcW w:type="dxa" w:w="3888"/>
            <w:vAlign w:val="center"/>
          </w:tcPr>
          <w:p>
            <w:pPr>
              <w:spacing w:after="0"/>
            </w:pPr>
            <w:r/>
            <w:r>
              <w:rPr>
                <w:rFonts w:ascii="Aptos" w:hAnsi="Aptos"/>
                <w:b w:val="0"/>
                <w:sz w:val="16"/>
              </w:rPr>
              <w:t>Converts raw sensors into structured environmental state</w:t>
            </w:r>
          </w:p>
        </w:tc>
        <w:tc>
          <w:tcPr>
            <w:tcW w:type="dxa" w:w="3312"/>
            <w:vAlign w:val="center"/>
          </w:tcPr>
          <w:p>
            <w:pPr>
              <w:spacing w:after="0"/>
            </w:pPr>
            <w:r/>
            <w:r>
              <w:rPr>
                <w:rFonts w:ascii="Aptos" w:hAnsi="Aptos"/>
                <w:b w:val="0"/>
                <w:sz w:val="16"/>
              </w:rPr>
              <w:t>Better inspection, localization and machine awareness</w:t>
            </w:r>
          </w:p>
        </w:tc>
      </w:tr>
      <w:tr>
        <w:tc>
          <w:tcPr>
            <w:tcW w:type="dxa" w:w="1728"/>
            <w:vAlign w:val="center"/>
          </w:tcPr>
          <w:p>
            <w:pPr>
              <w:spacing w:after="0"/>
            </w:pPr>
            <w:r/>
            <w:r>
              <w:rPr>
                <w:rFonts w:ascii="Aptos" w:hAnsi="Aptos"/>
                <w:b w:val="0"/>
                <w:sz w:val="16"/>
              </w:rPr>
              <w:t>Motion &amp; control</w:t>
            </w:r>
          </w:p>
        </w:tc>
        <w:tc>
          <w:tcPr>
            <w:tcW w:type="dxa" w:w="3888"/>
            <w:vAlign w:val="center"/>
          </w:tcPr>
          <w:p>
            <w:pPr>
              <w:spacing w:after="0"/>
            </w:pPr>
            <w:r/>
            <w:r>
              <w:rPr>
                <w:rFonts w:ascii="Aptos" w:hAnsi="Aptos"/>
                <w:b w:val="0"/>
                <w:sz w:val="16"/>
              </w:rPr>
              <w:t>Turns intent into safe physical actions</w:t>
            </w:r>
          </w:p>
        </w:tc>
        <w:tc>
          <w:tcPr>
            <w:tcW w:type="dxa" w:w="3312"/>
            <w:vAlign w:val="center"/>
          </w:tcPr>
          <w:p>
            <w:pPr>
              <w:spacing w:after="0"/>
            </w:pPr>
            <w:r/>
            <w:r>
              <w:rPr>
                <w:rFonts w:ascii="Aptos" w:hAnsi="Aptos"/>
                <w:b w:val="0"/>
                <w:sz w:val="16"/>
              </w:rPr>
              <w:t>Higher automation and lower manual intervention</w:t>
            </w:r>
          </w:p>
        </w:tc>
      </w:tr>
      <w:tr>
        <w:tc>
          <w:tcPr>
            <w:tcW w:type="dxa" w:w="1728"/>
            <w:vAlign w:val="center"/>
          </w:tcPr>
          <w:p>
            <w:pPr>
              <w:spacing w:after="0"/>
            </w:pPr>
            <w:r/>
            <w:r>
              <w:rPr>
                <w:rFonts w:ascii="Aptos" w:hAnsi="Aptos"/>
                <w:b w:val="0"/>
                <w:sz w:val="16"/>
              </w:rPr>
              <w:t>Fleet intelligence</w:t>
            </w:r>
          </w:p>
        </w:tc>
        <w:tc>
          <w:tcPr>
            <w:tcW w:type="dxa" w:w="3888"/>
            <w:vAlign w:val="center"/>
          </w:tcPr>
          <w:p>
            <w:pPr>
              <w:spacing w:after="0"/>
            </w:pPr>
            <w:r/>
            <w:r>
              <w:rPr>
                <w:rFonts w:ascii="Aptos" w:hAnsi="Aptos"/>
                <w:b w:val="0"/>
                <w:sz w:val="16"/>
              </w:rPr>
              <w:t>Connects deployed machines into a learning fleet</w:t>
            </w:r>
          </w:p>
        </w:tc>
        <w:tc>
          <w:tcPr>
            <w:tcW w:type="dxa" w:w="3312"/>
            <w:vAlign w:val="center"/>
          </w:tcPr>
          <w:p>
            <w:pPr>
              <w:spacing w:after="0"/>
            </w:pPr>
            <w:r/>
            <w:r>
              <w:rPr>
                <w:rFonts w:ascii="Aptos" w:hAnsi="Aptos"/>
                <w:b w:val="0"/>
                <w:sz w:val="16"/>
              </w:rPr>
              <w:t>Higher uptime and faster recovery</w:t>
            </w:r>
          </w:p>
        </w:tc>
      </w:tr>
      <w:tr>
        <w:tc>
          <w:tcPr>
            <w:tcW w:type="dxa" w:w="1728"/>
            <w:vAlign w:val="center"/>
          </w:tcPr>
          <w:p>
            <w:pPr>
              <w:spacing w:after="0"/>
            </w:pPr>
            <w:r/>
            <w:r>
              <w:rPr>
                <w:rFonts w:ascii="Aptos" w:hAnsi="Aptos"/>
                <w:b w:val="0"/>
                <w:sz w:val="16"/>
              </w:rPr>
              <w:t>Simulation</w:t>
            </w:r>
          </w:p>
        </w:tc>
        <w:tc>
          <w:tcPr>
            <w:tcW w:type="dxa" w:w="3888"/>
            <w:vAlign w:val="center"/>
          </w:tcPr>
          <w:p>
            <w:pPr>
              <w:spacing w:after="0"/>
            </w:pPr>
            <w:r/>
            <w:r>
              <w:rPr>
                <w:rFonts w:ascii="Aptos" w:hAnsi="Aptos"/>
                <w:b w:val="0"/>
                <w:sz w:val="16"/>
              </w:rPr>
              <w:t>Tests before deployment</w:t>
            </w:r>
          </w:p>
        </w:tc>
        <w:tc>
          <w:tcPr>
            <w:tcW w:type="dxa" w:w="3312"/>
            <w:vAlign w:val="center"/>
          </w:tcPr>
          <w:p>
            <w:pPr>
              <w:spacing w:after="0"/>
            </w:pPr>
            <w:r/>
            <w:r>
              <w:rPr>
                <w:rFonts w:ascii="Aptos" w:hAnsi="Aptos"/>
                <w:b w:val="0"/>
                <w:sz w:val="16"/>
              </w:rPr>
              <w:t>Less commissioning risk and fewer escaped failures</w:t>
            </w:r>
          </w:p>
        </w:tc>
      </w:tr>
      <w:tr>
        <w:tc>
          <w:tcPr>
            <w:tcW w:type="dxa" w:w="1728"/>
            <w:vAlign w:val="center"/>
          </w:tcPr>
          <w:p>
            <w:pPr>
              <w:spacing w:after="0"/>
            </w:pPr>
            <w:r/>
            <w:r>
              <w:rPr>
                <w:rFonts w:ascii="Aptos" w:hAnsi="Aptos"/>
                <w:b w:val="0"/>
                <w:sz w:val="16"/>
              </w:rPr>
              <w:t>Engineering</w:t>
            </w:r>
          </w:p>
        </w:tc>
        <w:tc>
          <w:tcPr>
            <w:tcW w:type="dxa" w:w="3888"/>
            <w:vAlign w:val="center"/>
          </w:tcPr>
          <w:p>
            <w:pPr>
              <w:spacing w:after="0"/>
            </w:pPr>
            <w:r/>
            <w:r>
              <w:rPr>
                <w:rFonts w:ascii="Aptos" w:hAnsi="Aptos"/>
                <w:b w:val="0"/>
                <w:sz w:val="16"/>
              </w:rPr>
              <w:t>Makes the stack work inside real cells</w:t>
            </w:r>
          </w:p>
        </w:tc>
        <w:tc>
          <w:tcPr>
            <w:tcW w:type="dxa" w:w="3312"/>
            <w:vAlign w:val="center"/>
          </w:tcPr>
          <w:p>
            <w:pPr>
              <w:spacing w:after="0"/>
            </w:pPr>
            <w:r/>
            <w:r>
              <w:rPr>
                <w:rFonts w:ascii="Aptos" w:hAnsi="Aptos"/>
                <w:b w:val="0"/>
                <w:sz w:val="16"/>
              </w:rPr>
              <w:t>Deployment instead of laboratory-only software</w:t>
            </w:r>
          </w:p>
        </w:tc>
      </w:tr>
      <w:tr>
        <w:tc>
          <w:tcPr>
            <w:tcW w:type="dxa" w:w="1728"/>
            <w:vAlign w:val="center"/>
          </w:tcPr>
          <w:p>
            <w:pPr>
              <w:spacing w:after="0"/>
            </w:pPr>
            <w:r/>
            <w:r>
              <w:rPr>
                <w:rFonts w:ascii="Aptos" w:hAnsi="Aptos"/>
                <w:b w:val="0"/>
                <w:sz w:val="16"/>
              </w:rPr>
              <w:t>IP licensing</w:t>
            </w:r>
          </w:p>
        </w:tc>
        <w:tc>
          <w:tcPr>
            <w:tcW w:type="dxa" w:w="3888"/>
            <w:vAlign w:val="center"/>
          </w:tcPr>
          <w:p>
            <w:pPr>
              <w:spacing w:after="0"/>
            </w:pPr>
            <w:r/>
            <w:r>
              <w:rPr>
                <w:rFonts w:ascii="Aptos" w:hAnsi="Aptos"/>
                <w:b w:val="0"/>
                <w:sz w:val="16"/>
              </w:rPr>
              <w:t>Lets OEMs embed RAS capabilities in their own products</w:t>
            </w:r>
          </w:p>
        </w:tc>
        <w:tc>
          <w:tcPr>
            <w:tcW w:type="dxa" w:w="3312"/>
            <w:vAlign w:val="center"/>
          </w:tcPr>
          <w:p>
            <w:pPr>
              <w:spacing w:after="0"/>
            </w:pPr>
            <w:r/>
            <w:r>
              <w:rPr>
                <w:rFonts w:ascii="Aptos" w:hAnsi="Aptos"/>
                <w:b w:val="0"/>
                <w:sz w:val="16"/>
              </w:rPr>
              <w:t>Royalty-based scale beyond direct deployment</w:t>
            </w:r>
          </w:p>
        </w:tc>
      </w:tr>
    </w:tbl>
    <w:p>
      <w:pPr>
        <w:spacing w:after="40"/>
      </w:pPr>
    </w:p>
    <w:p>
      <w:pPr>
        <w:pStyle w:val="Heading2"/>
      </w:pPr>
      <w:r>
        <w:t>1.1 What RAS does not sell in 2026</w:t>
      </w:r>
    </w:p>
    <w:p>
      <w:pPr>
        <w:pStyle w:val="ListBullet"/>
        <w:spacing w:after="40"/>
        <w:ind w:left="259"/>
      </w:pPr>
      <w:r>
        <w:t>General-purpose foundation models competing head-on with OpenAI, Anthropic or Google DeepMind.</w:t>
      </w:r>
    </w:p>
    <w:p>
      <w:pPr>
        <w:pStyle w:val="ListBullet"/>
        <w:spacing w:after="40"/>
        <w:ind w:left="259"/>
      </w:pPr>
      <w:r>
        <w:t>Commodity industrial robots competing on motor power, payload, repeatability or unit manufacturing scale.</w:t>
      </w:r>
    </w:p>
    <w:p>
      <w:pPr>
        <w:pStyle w:val="ListBullet"/>
        <w:spacing w:after="40"/>
        <w:ind w:left="259"/>
      </w:pPr>
      <w:r>
        <w:t>A consumer humanoid robot sold as a finished appliance.</w:t>
      </w:r>
    </w:p>
    <w:p>
      <w:pPr>
        <w:pStyle w:val="ListBullet"/>
        <w:spacing w:after="40"/>
        <w:ind w:left="259"/>
      </w:pPr>
      <w:r>
        <w:t>Pure consulting without reusable software or proprietary technical assets.</w:t>
      </w:r>
    </w:p>
    <w:p>
      <w:pPr>
        <w:pStyle w:val="ListBullet"/>
        <w:spacing w:after="40"/>
        <w:ind w:left="259"/>
      </w:pPr>
      <w:r>
        <w:t>A data-centre business. Compute is an enabling input, not the product.</w:t>
      </w:r>
    </w:p>
    <w:p>
      <w:pPr>
        <w:pStyle w:val="Heading2"/>
      </w:pPr>
      <w:r>
        <w:t>1.2 Core value chain</w:t>
      </w:r>
    </w:p>
    <w:p>
      <w:r>
        <w:t>Sensors → structured world state → task planning → motion/control → physical execution → telemetry → failure classification → correction → policy update → redeployment → more data. The loop is the moat; individual software modules are products, but the deployed loop is the strategic asset.</w:t>
      </w:r>
    </w:p>
    <w:p>
      <w:pPr>
        <w:pStyle w:val="Heading1"/>
      </w:pPr>
      <w:r>
        <w:t>2. Commercial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B0D10"/>
          </w:tcPr>
          <w:p>
            <w:pPr>
              <w:spacing w:after="0"/>
            </w:pPr>
            <w:r/>
            <w:r>
              <w:rPr>
                <w:rFonts w:ascii="Aptos" w:hAnsi="Aptos"/>
                <w:b/>
                <w:color w:val="FFFFFF"/>
                <w:sz w:val="16"/>
              </w:rPr>
              <w:t>Layer</w:t>
            </w:r>
          </w:p>
        </w:tc>
        <w:tc>
          <w:tcPr>
            <w:tcW w:type="dxa" w:w="3024"/>
            <w:vAlign w:val="center"/>
            <w:shd w:fill="0B0D10"/>
          </w:tcPr>
          <w:p>
            <w:pPr>
              <w:spacing w:after="0"/>
            </w:pPr>
            <w:r/>
            <w:r>
              <w:rPr>
                <w:rFonts w:ascii="Aptos" w:hAnsi="Aptos"/>
                <w:b/>
                <w:color w:val="FFFFFF"/>
                <w:sz w:val="16"/>
              </w:rPr>
              <w:t>Commercial object</w:t>
            </w:r>
          </w:p>
        </w:tc>
        <w:tc>
          <w:tcPr>
            <w:tcW w:type="dxa" w:w="4032"/>
            <w:vAlign w:val="center"/>
            <w:shd w:fill="0B0D10"/>
          </w:tcPr>
          <w:p>
            <w:pPr>
              <w:spacing w:after="0"/>
            </w:pPr>
            <w:r/>
            <w:r>
              <w:rPr>
                <w:rFonts w:ascii="Aptos" w:hAnsi="Aptos"/>
                <w:b/>
                <w:color w:val="FFFFFF"/>
                <w:sz w:val="16"/>
              </w:rPr>
              <w:t>2026 role</w:t>
            </w:r>
          </w:p>
        </w:tc>
      </w:tr>
      <w:tr>
        <w:tc>
          <w:tcPr>
            <w:tcW w:type="dxa" w:w="2016"/>
            <w:vAlign w:val="center"/>
          </w:tcPr>
          <w:p>
            <w:pPr>
              <w:spacing w:after="0"/>
            </w:pPr>
            <w:r/>
            <w:r>
              <w:rPr>
                <w:rFonts w:ascii="Aptos" w:hAnsi="Aptos"/>
                <w:b w:val="0"/>
                <w:sz w:val="16"/>
              </w:rPr>
              <w:t>Software products</w:t>
            </w:r>
          </w:p>
        </w:tc>
        <w:tc>
          <w:tcPr>
            <w:tcW w:type="dxa" w:w="3024"/>
            <w:vAlign w:val="center"/>
          </w:tcPr>
          <w:p>
            <w:pPr>
              <w:spacing w:after="0"/>
            </w:pPr>
            <w:r/>
            <w:r>
              <w:rPr>
                <w:rFonts w:ascii="Aptos" w:hAnsi="Aptos"/>
                <w:b w:val="0"/>
                <w:sz w:val="16"/>
              </w:rPr>
              <w:t>PROD-001..005</w:t>
            </w:r>
          </w:p>
        </w:tc>
        <w:tc>
          <w:tcPr>
            <w:tcW w:type="dxa" w:w="4032"/>
            <w:vAlign w:val="center"/>
          </w:tcPr>
          <w:p>
            <w:pPr>
              <w:spacing w:after="0"/>
            </w:pPr>
            <w:r/>
            <w:r>
              <w:rPr>
                <w:rFonts w:ascii="Aptos" w:hAnsi="Aptos"/>
                <w:b w:val="0"/>
                <w:sz w:val="16"/>
              </w:rPr>
              <w:t>Recurring licenses; low marginal cost; strategic anchor</w:t>
            </w:r>
          </w:p>
        </w:tc>
      </w:tr>
      <w:tr>
        <w:tc>
          <w:tcPr>
            <w:tcW w:type="dxa" w:w="2016"/>
            <w:vAlign w:val="center"/>
          </w:tcPr>
          <w:p>
            <w:pPr>
              <w:spacing w:after="0"/>
            </w:pPr>
            <w:r/>
            <w:r>
              <w:rPr>
                <w:rFonts w:ascii="Aptos" w:hAnsi="Aptos"/>
                <w:b w:val="0"/>
                <w:sz w:val="16"/>
              </w:rPr>
              <w:t>Implementation</w:t>
            </w:r>
          </w:p>
        </w:tc>
        <w:tc>
          <w:tcPr>
            <w:tcW w:type="dxa" w:w="3024"/>
            <w:vAlign w:val="center"/>
          </w:tcPr>
          <w:p>
            <w:pPr>
              <w:spacing w:after="0"/>
            </w:pPr>
            <w:r/>
            <w:r>
              <w:rPr>
                <w:rFonts w:ascii="Aptos" w:hAnsi="Aptos"/>
                <w:b w:val="0"/>
                <w:sz w:val="16"/>
              </w:rPr>
              <w:t>SRV-001..002</w:t>
            </w:r>
          </w:p>
        </w:tc>
        <w:tc>
          <w:tcPr>
            <w:tcW w:type="dxa" w:w="4032"/>
            <w:vAlign w:val="center"/>
          </w:tcPr>
          <w:p>
            <w:pPr>
              <w:spacing w:after="0"/>
            </w:pPr>
            <w:r/>
            <w:r>
              <w:rPr>
                <w:rFonts w:ascii="Aptos" w:hAnsi="Aptos"/>
                <w:b w:val="0"/>
                <w:sz w:val="16"/>
              </w:rPr>
              <w:t>Turns software into production deployments</w:t>
            </w:r>
          </w:p>
        </w:tc>
      </w:tr>
      <w:tr>
        <w:tc>
          <w:tcPr>
            <w:tcW w:type="dxa" w:w="2016"/>
            <w:vAlign w:val="center"/>
          </w:tcPr>
          <w:p>
            <w:pPr>
              <w:spacing w:after="0"/>
            </w:pPr>
            <w:r/>
            <w:r>
              <w:rPr>
                <w:rFonts w:ascii="Aptos" w:hAnsi="Aptos"/>
                <w:b w:val="0"/>
                <w:sz w:val="16"/>
              </w:rPr>
              <w:t>Engineering</w:t>
            </w:r>
          </w:p>
        </w:tc>
        <w:tc>
          <w:tcPr>
            <w:tcW w:type="dxa" w:w="3024"/>
            <w:vAlign w:val="center"/>
          </w:tcPr>
          <w:p>
            <w:pPr>
              <w:spacing w:after="0"/>
            </w:pPr>
            <w:r/>
            <w:r>
              <w:rPr>
                <w:rFonts w:ascii="Aptos" w:hAnsi="Aptos"/>
                <w:b w:val="0"/>
                <w:sz w:val="16"/>
              </w:rPr>
              <w:t>SRV-003</w:t>
            </w:r>
          </w:p>
        </w:tc>
        <w:tc>
          <w:tcPr>
            <w:tcW w:type="dxa" w:w="4032"/>
            <w:vAlign w:val="center"/>
          </w:tcPr>
          <w:p>
            <w:pPr>
              <w:spacing w:after="0"/>
            </w:pPr>
            <w:r/>
            <w:r>
              <w:rPr>
                <w:rFonts w:ascii="Aptos" w:hAnsi="Aptos"/>
                <w:b w:val="0"/>
                <w:sz w:val="16"/>
              </w:rPr>
              <w:t>Custom physical integration; lower-margin but data-rich</w:t>
            </w:r>
          </w:p>
        </w:tc>
      </w:tr>
      <w:tr>
        <w:tc>
          <w:tcPr>
            <w:tcW w:type="dxa" w:w="2016"/>
            <w:vAlign w:val="center"/>
          </w:tcPr>
          <w:p>
            <w:pPr>
              <w:spacing w:after="0"/>
            </w:pPr>
            <w:r/>
            <w:r>
              <w:rPr>
                <w:rFonts w:ascii="Aptos" w:hAnsi="Aptos"/>
                <w:b w:val="0"/>
                <w:sz w:val="16"/>
              </w:rPr>
              <w:t>Data / fleet operations</w:t>
            </w:r>
          </w:p>
        </w:tc>
        <w:tc>
          <w:tcPr>
            <w:tcW w:type="dxa" w:w="3024"/>
            <w:vAlign w:val="center"/>
          </w:tcPr>
          <w:p>
            <w:pPr>
              <w:spacing w:after="0"/>
            </w:pPr>
            <w:r/>
            <w:r>
              <w:rPr>
                <w:rFonts w:ascii="Aptos" w:hAnsi="Aptos"/>
                <w:b w:val="0"/>
                <w:sz w:val="16"/>
              </w:rPr>
              <w:t>SRV-004</w:t>
            </w:r>
          </w:p>
        </w:tc>
        <w:tc>
          <w:tcPr>
            <w:tcW w:type="dxa" w:w="4032"/>
            <w:vAlign w:val="center"/>
          </w:tcPr>
          <w:p>
            <w:pPr>
              <w:spacing w:after="0"/>
            </w:pPr>
            <w:r/>
            <w:r>
              <w:rPr>
                <w:rFonts w:ascii="Aptos" w:hAnsi="Aptos"/>
                <w:b w:val="0"/>
                <w:sz w:val="16"/>
              </w:rPr>
              <w:t>Recurring operational layer over deployments</w:t>
            </w:r>
          </w:p>
        </w:tc>
      </w:tr>
      <w:tr>
        <w:tc>
          <w:tcPr>
            <w:tcW w:type="dxa" w:w="2016"/>
            <w:vAlign w:val="center"/>
          </w:tcPr>
          <w:p>
            <w:pPr>
              <w:spacing w:after="0"/>
            </w:pPr>
            <w:r/>
            <w:r>
              <w:rPr>
                <w:rFonts w:ascii="Aptos" w:hAnsi="Aptos"/>
                <w:b w:val="0"/>
                <w:sz w:val="16"/>
              </w:rPr>
              <w:t>Support</w:t>
            </w:r>
          </w:p>
        </w:tc>
        <w:tc>
          <w:tcPr>
            <w:tcW w:type="dxa" w:w="3024"/>
            <w:vAlign w:val="center"/>
          </w:tcPr>
          <w:p>
            <w:pPr>
              <w:spacing w:after="0"/>
            </w:pPr>
            <w:r/>
            <w:r>
              <w:rPr>
                <w:rFonts w:ascii="Aptos" w:hAnsi="Aptos"/>
                <w:b w:val="0"/>
                <w:sz w:val="16"/>
              </w:rPr>
              <w:t>SRV-005</w:t>
            </w:r>
          </w:p>
        </w:tc>
        <w:tc>
          <w:tcPr>
            <w:tcW w:type="dxa" w:w="4032"/>
            <w:vAlign w:val="center"/>
          </w:tcPr>
          <w:p>
            <w:pPr>
              <w:spacing w:after="0"/>
            </w:pPr>
            <w:r/>
            <w:r>
              <w:rPr>
                <w:rFonts w:ascii="Aptos" w:hAnsi="Aptos"/>
                <w:b w:val="0"/>
                <w:sz w:val="16"/>
              </w:rPr>
              <w:t>Recurring lifecycle revenue and retention</w:t>
            </w:r>
          </w:p>
        </w:tc>
      </w:tr>
      <w:tr>
        <w:tc>
          <w:tcPr>
            <w:tcW w:type="dxa" w:w="2016"/>
            <w:vAlign w:val="center"/>
          </w:tcPr>
          <w:p>
            <w:pPr>
              <w:spacing w:after="0"/>
            </w:pPr>
            <w:r/>
            <w:r>
              <w:rPr>
                <w:rFonts w:ascii="Aptos" w:hAnsi="Aptos"/>
                <w:b w:val="0"/>
                <w:sz w:val="16"/>
              </w:rPr>
              <w:t>Licensing</w:t>
            </w:r>
          </w:p>
        </w:tc>
        <w:tc>
          <w:tcPr>
            <w:tcW w:type="dxa" w:w="3024"/>
            <w:vAlign w:val="center"/>
          </w:tcPr>
          <w:p>
            <w:pPr>
              <w:spacing w:after="0"/>
            </w:pPr>
            <w:r/>
            <w:r>
              <w:rPr>
                <w:rFonts w:ascii="Aptos" w:hAnsi="Aptos"/>
                <w:b w:val="0"/>
                <w:sz w:val="16"/>
              </w:rPr>
              <w:t>SRV-006</w:t>
            </w:r>
          </w:p>
        </w:tc>
        <w:tc>
          <w:tcPr>
            <w:tcW w:type="dxa" w:w="4032"/>
            <w:vAlign w:val="center"/>
          </w:tcPr>
          <w:p>
            <w:pPr>
              <w:spacing w:after="0"/>
            </w:pPr>
            <w:r/>
            <w:r>
              <w:rPr>
                <w:rFonts w:ascii="Aptos" w:hAnsi="Aptos"/>
                <w:b w:val="0"/>
                <w:sz w:val="16"/>
              </w:rPr>
              <w:t>High-margin scale channel through OEMs</w:t>
            </w:r>
          </w:p>
        </w:tc>
      </w:tr>
    </w:tbl>
    <w:p>
      <w:pPr>
        <w:spacing w:after="40"/>
      </w:pPr>
    </w:p>
    <w:p>
      <w:pPr>
        <w:pStyle w:val="Heading2"/>
      </w:pPr>
      <w:r>
        <w:t>2.1 Who actually pays</w:t>
      </w:r>
    </w:p>
    <w:p>
      <w:pPr>
        <w:pStyle w:val="ListBullet"/>
        <w:spacing w:after="40"/>
        <w:ind w:left="259"/>
      </w:pPr>
      <w:r>
        <w:t>Steel and heavy industry: inspection, quality, predictive maintenance, material handling.</w:t>
      </w:r>
    </w:p>
    <w:p>
      <w:pPr>
        <w:pStyle w:val="ListBullet"/>
        <w:spacing w:after="40"/>
        <w:ind w:left="259"/>
      </w:pPr>
      <w:r>
        <w:t>Tyre and discrete manufacturing: machine vision, quality control, process monitoring.</w:t>
      </w:r>
    </w:p>
    <w:p>
      <w:pPr>
        <w:pStyle w:val="ListBullet"/>
        <w:spacing w:after="40"/>
        <w:ind w:left="259"/>
      </w:pPr>
      <w:r>
        <w:t>Industrial machinery OEMs: robot inspection, process optimization and embedded autonomy.</w:t>
      </w:r>
    </w:p>
    <w:p>
      <w:pPr>
        <w:pStyle w:val="ListBullet"/>
        <w:spacing w:after="40"/>
        <w:ind w:left="259"/>
      </w:pPr>
      <w:r>
        <w:t>Precision manufacturing / tooling: inspection, handling and automation of repetitive operations.</w:t>
      </w:r>
    </w:p>
    <w:p>
      <w:pPr>
        <w:pStyle w:val="ListBullet"/>
        <w:spacing w:after="40"/>
        <w:ind w:left="259"/>
      </w:pPr>
      <w:r>
        <w:t>Air cargo / logistics: vision-assisted handling and autonomous cell workflows.</w:t>
      </w:r>
    </w:p>
    <w:p>
      <w:pPr>
        <w:pStyle w:val="ListBullet"/>
        <w:spacing w:after="40"/>
        <w:ind w:left="259"/>
      </w:pPr>
      <w:r>
        <w:t>Mid-market industrial companies: standardized perception, monitoring, fleet intelligence and support packages.</w:t>
      </w:r>
    </w:p>
    <w:p>
      <w:pPr>
        <w:pStyle w:val="Heading1"/>
      </w:pPr>
      <w:r>
        <w:t>3. Product master catalog</w:t>
      </w:r>
    </w:p>
    <w:p>
      <w:pPr>
        <w:pStyle w:val="Heading2"/>
      </w:pPr>
      <w:r>
        <w:t>PROD-001 · Rosenfeld Perception Engine 2.4</w:t>
      </w:r>
    </w:p>
    <w:p>
      <w:r>
        <w:t>Industrial perception and sensor-fusion layer that converts camera, depth, LiDAR, force and other sensor streams into a structured, machine-usable representation of the operating environment.</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0B0D10"/>
          </w:tcPr>
          <w:p>
            <w:pPr>
              <w:spacing w:after="0"/>
            </w:pPr>
            <w:r/>
            <w:r>
              <w:rPr>
                <w:rFonts w:ascii="Aptos" w:hAnsi="Aptos"/>
                <w:b/>
                <w:color w:val="FFFFFF"/>
                <w:sz w:val="16"/>
              </w:rPr>
              <w:t>Commercial field</w:t>
            </w:r>
          </w:p>
        </w:tc>
        <w:tc>
          <w:tcPr>
            <w:tcW w:type="dxa" w:w="7344"/>
            <w:vAlign w:val="center"/>
            <w:shd w:fill="0B0D10"/>
          </w:tcPr>
          <w:p>
            <w:pPr>
              <w:spacing w:after="0"/>
            </w:pPr>
            <w:r/>
            <w:r>
              <w:rPr>
                <w:rFonts w:ascii="Aptos" w:hAnsi="Aptos"/>
                <w:b/>
                <w:color w:val="FFFFFF"/>
                <w:sz w:val="16"/>
              </w:rPr>
              <w:t>Canonical value</w:t>
            </w:r>
          </w:p>
        </w:tc>
      </w:tr>
      <w:tr>
        <w:tc>
          <w:tcPr>
            <w:tcW w:type="dxa" w:w="2232"/>
            <w:vAlign w:val="center"/>
          </w:tcPr>
          <w:p>
            <w:pPr>
              <w:spacing w:after="0"/>
            </w:pPr>
            <w:r/>
            <w:r>
              <w:rPr>
                <w:rFonts w:ascii="Aptos" w:hAnsi="Aptos"/>
                <w:b w:val="0"/>
                <w:sz w:val="16"/>
              </w:rPr>
              <w:t>SKU / status</w:t>
            </w:r>
          </w:p>
        </w:tc>
        <w:tc>
          <w:tcPr>
            <w:tcW w:type="dxa" w:w="7344"/>
            <w:vAlign w:val="center"/>
          </w:tcPr>
          <w:p>
            <w:pPr>
              <w:spacing w:after="0"/>
            </w:pPr>
            <w:r/>
            <w:r>
              <w:rPr>
                <w:rFonts w:ascii="Aptos" w:hAnsi="Aptos"/>
                <w:b w:val="0"/>
                <w:sz w:val="16"/>
              </w:rPr>
              <w:t>ROS-PER-24 · Commercial</w:t>
            </w:r>
          </w:p>
        </w:tc>
      </w:tr>
      <w:tr>
        <w:tc>
          <w:tcPr>
            <w:tcW w:type="dxa" w:w="2232"/>
            <w:vAlign w:val="center"/>
          </w:tcPr>
          <w:p>
            <w:pPr>
              <w:spacing w:after="0"/>
            </w:pPr>
            <w:r/>
            <w:r>
              <w:rPr>
                <w:rFonts w:ascii="Aptos" w:hAnsi="Aptos"/>
                <w:b w:val="0"/>
                <w:sz w:val="16"/>
              </w:rPr>
              <w:t>Primary buyers</w:t>
            </w:r>
          </w:p>
        </w:tc>
        <w:tc>
          <w:tcPr>
            <w:tcW w:type="dxa" w:w="7344"/>
            <w:vAlign w:val="center"/>
          </w:tcPr>
          <w:p>
            <w:pPr>
              <w:spacing w:after="0"/>
            </w:pPr>
            <w:r/>
            <w:r>
              <w:rPr>
                <w:rFonts w:ascii="Aptos" w:hAnsi="Aptos"/>
                <w:b w:val="0"/>
                <w:sz w:val="16"/>
              </w:rPr>
              <w:t>Industrial manufacturers, process industries, logistics operators, machine builders, automated inspection teams.</w:t>
            </w:r>
          </w:p>
        </w:tc>
      </w:tr>
      <w:tr>
        <w:tc>
          <w:tcPr>
            <w:tcW w:type="dxa" w:w="2232"/>
            <w:vAlign w:val="center"/>
          </w:tcPr>
          <w:p>
            <w:pPr>
              <w:spacing w:after="0"/>
            </w:pPr>
            <w:r/>
            <w:r>
              <w:rPr>
                <w:rFonts w:ascii="Aptos" w:hAnsi="Aptos"/>
                <w:b w:val="0"/>
                <w:sz w:val="16"/>
              </w:rPr>
              <w:t>Standard price</w:t>
            </w:r>
          </w:p>
        </w:tc>
        <w:tc>
          <w:tcPr>
            <w:tcW w:type="dxa" w:w="7344"/>
            <w:vAlign w:val="center"/>
          </w:tcPr>
          <w:p>
            <w:pPr>
              <w:spacing w:after="0"/>
            </w:pPr>
            <w:r/>
            <w:r>
              <w:rPr>
                <w:rFonts w:ascii="Aptos" w:hAnsi="Aptos"/>
                <w:b w:val="0"/>
                <w:sz w:val="16"/>
              </w:rPr>
              <w:t>€150,000 / production site / year</w:t>
            </w:r>
          </w:p>
        </w:tc>
      </w:tr>
      <w:tr>
        <w:tc>
          <w:tcPr>
            <w:tcW w:type="dxa" w:w="2232"/>
            <w:vAlign w:val="center"/>
          </w:tcPr>
          <w:p>
            <w:pPr>
              <w:spacing w:after="0"/>
            </w:pPr>
            <w:r/>
            <w:r>
              <w:rPr>
                <w:rFonts w:ascii="Aptos" w:hAnsi="Aptos"/>
                <w:b w:val="0"/>
                <w:sz w:val="16"/>
              </w:rPr>
              <w:t>Implementation</w:t>
            </w:r>
          </w:p>
        </w:tc>
        <w:tc>
          <w:tcPr>
            <w:tcW w:type="dxa" w:w="7344"/>
            <w:vAlign w:val="center"/>
          </w:tcPr>
          <w:p>
            <w:pPr>
              <w:spacing w:after="0"/>
            </w:pPr>
            <w:r/>
            <w:r>
              <w:rPr>
                <w:rFonts w:ascii="Aptos" w:hAnsi="Aptos"/>
                <w:b w:val="0"/>
                <w:sz w:val="16"/>
              </w:rPr>
              <w:t>€35,000 onboarding / site</w:t>
            </w:r>
          </w:p>
        </w:tc>
      </w:tr>
      <w:tr>
        <w:tc>
          <w:tcPr>
            <w:tcW w:type="dxa" w:w="2232"/>
            <w:vAlign w:val="center"/>
          </w:tcPr>
          <w:p>
            <w:pPr>
              <w:spacing w:after="0"/>
            </w:pPr>
            <w:r/>
            <w:r>
              <w:rPr>
                <w:rFonts w:ascii="Aptos" w:hAnsi="Aptos"/>
                <w:b w:val="0"/>
                <w:sz w:val="16"/>
              </w:rPr>
              <w:t>Included scope</w:t>
            </w:r>
          </w:p>
        </w:tc>
        <w:tc>
          <w:tcPr>
            <w:tcW w:type="dxa" w:w="7344"/>
            <w:vAlign w:val="center"/>
          </w:tcPr>
          <w:p>
            <w:pPr>
              <w:spacing w:after="0"/>
            </w:pPr>
            <w:r/>
            <w:r>
              <w:rPr>
                <w:rFonts w:ascii="Aptos" w:hAnsi="Aptos"/>
                <w:b w:val="0"/>
                <w:sz w:val="16"/>
              </w:rPr>
              <w:t>Up to 12 production sensor streams, 2 edge compute nodes, 1 production line, 2 model families, standard API integration, quarterly model review.</w:t>
            </w:r>
          </w:p>
        </w:tc>
      </w:tr>
      <w:tr>
        <w:tc>
          <w:tcPr>
            <w:tcW w:type="dxa" w:w="2232"/>
            <w:vAlign w:val="center"/>
          </w:tcPr>
          <w:p>
            <w:pPr>
              <w:spacing w:after="0"/>
            </w:pPr>
            <w:r/>
            <w:r>
              <w:rPr>
                <w:rFonts w:ascii="Aptos" w:hAnsi="Aptos"/>
                <w:b w:val="0"/>
                <w:sz w:val="16"/>
              </w:rPr>
              <w:t>Direct delivery cost</w:t>
            </w:r>
          </w:p>
        </w:tc>
        <w:tc>
          <w:tcPr>
            <w:tcW w:type="dxa" w:w="7344"/>
            <w:vAlign w:val="center"/>
          </w:tcPr>
          <w:p>
            <w:pPr>
              <w:spacing w:after="0"/>
            </w:pPr>
            <w:r/>
            <w:r>
              <w:rPr>
                <w:rFonts w:ascii="Aptos" w:hAnsi="Aptos"/>
                <w:b w:val="0"/>
                <w:sz w:val="16"/>
              </w:rPr>
              <w:t>€28,000 / site / year standard recurring delivery COGS</w:t>
            </w:r>
          </w:p>
        </w:tc>
      </w:tr>
      <w:tr>
        <w:tc>
          <w:tcPr>
            <w:tcW w:type="dxa" w:w="2232"/>
            <w:vAlign w:val="center"/>
          </w:tcPr>
          <w:p>
            <w:pPr>
              <w:spacing w:after="0"/>
            </w:pPr>
            <w:r/>
            <w:r>
              <w:rPr>
                <w:rFonts w:ascii="Aptos" w:hAnsi="Aptos"/>
                <w:b w:val="0"/>
                <w:sz w:val="16"/>
              </w:rPr>
              <w:t>Gross margin logic</w:t>
            </w:r>
          </w:p>
        </w:tc>
        <w:tc>
          <w:tcPr>
            <w:tcW w:type="dxa" w:w="7344"/>
            <w:vAlign w:val="center"/>
          </w:tcPr>
          <w:p>
            <w:pPr>
              <w:spacing w:after="0"/>
            </w:pPr>
            <w:r/>
            <w:r>
              <w:rPr>
                <w:rFonts w:ascii="Aptos" w:hAnsi="Aptos"/>
                <w:b w:val="0"/>
                <w:sz w:val="16"/>
              </w:rPr>
              <w:t>81.3% before allocated corporate R&amp;D / G&amp;A</w:t>
            </w:r>
          </w:p>
        </w:tc>
      </w:tr>
      <w:tr>
        <w:tc>
          <w:tcPr>
            <w:tcW w:type="dxa" w:w="2232"/>
            <w:vAlign w:val="center"/>
          </w:tcPr>
          <w:p>
            <w:pPr>
              <w:spacing w:after="0"/>
            </w:pPr>
            <w:r/>
            <w:r>
              <w:rPr>
                <w:rFonts w:ascii="Aptos" w:hAnsi="Aptos"/>
                <w:b w:val="0"/>
                <w:sz w:val="16"/>
              </w:rPr>
              <w:t>Time to production</w:t>
            </w:r>
          </w:p>
        </w:tc>
        <w:tc>
          <w:tcPr>
            <w:tcW w:type="dxa" w:w="7344"/>
            <w:vAlign w:val="center"/>
          </w:tcPr>
          <w:p>
            <w:pPr>
              <w:spacing w:after="0"/>
            </w:pPr>
            <w:r/>
            <w:r>
              <w:rPr>
                <w:rFonts w:ascii="Aptos" w:hAnsi="Aptos"/>
                <w:b w:val="0"/>
                <w:sz w:val="16"/>
              </w:rPr>
              <w:t>6–10 weeks for first deployment; 2–4 weeks for additional standardized sites</w:t>
            </w:r>
          </w:p>
        </w:tc>
      </w:tr>
      <w:tr>
        <w:tc>
          <w:tcPr>
            <w:tcW w:type="dxa" w:w="2232"/>
            <w:vAlign w:val="center"/>
          </w:tcPr>
          <w:p>
            <w:pPr>
              <w:spacing w:after="0"/>
            </w:pPr>
            <w:r/>
            <w:r>
              <w:rPr>
                <w:rFonts w:ascii="Aptos" w:hAnsi="Aptos"/>
                <w:b w:val="0"/>
                <w:sz w:val="16"/>
              </w:rPr>
              <w:t>Success KPIs</w:t>
            </w:r>
          </w:p>
        </w:tc>
        <w:tc>
          <w:tcPr>
            <w:tcW w:type="dxa" w:w="7344"/>
            <w:vAlign w:val="center"/>
          </w:tcPr>
          <w:p>
            <w:pPr>
              <w:spacing w:after="0"/>
            </w:pPr>
            <w:r/>
            <w:r>
              <w:rPr>
                <w:rFonts w:ascii="Aptos" w:hAnsi="Aptos"/>
                <w:b w:val="0"/>
                <w:sz w:val="16"/>
              </w:rPr>
              <w:t>precision/recall, defect escape rate, latency, calibration drift, false-alert rate, uptime</w:t>
            </w:r>
          </w:p>
        </w:tc>
      </w:tr>
      <w:tr>
        <w:tc>
          <w:tcPr>
            <w:tcW w:type="dxa" w:w="2232"/>
            <w:vAlign w:val="center"/>
          </w:tcPr>
          <w:p>
            <w:pPr>
              <w:spacing w:after="0"/>
            </w:pPr>
            <w:r/>
            <w:r>
              <w:rPr>
                <w:rFonts w:ascii="Aptos" w:hAnsi="Aptos"/>
                <w:b w:val="0"/>
                <w:sz w:val="16"/>
              </w:rPr>
              <w:t>Strategic moat</w:t>
            </w:r>
          </w:p>
        </w:tc>
        <w:tc>
          <w:tcPr>
            <w:tcW w:type="dxa" w:w="7344"/>
            <w:vAlign w:val="center"/>
          </w:tcPr>
          <w:p>
            <w:pPr>
              <w:spacing w:after="0"/>
            </w:pPr>
            <w:r/>
            <w:r>
              <w:rPr>
                <w:rFonts w:ascii="Aptos" w:hAnsi="Aptos"/>
                <w:b w:val="0"/>
                <w:sz w:val="16"/>
              </w:rPr>
              <w:t>Industrial deployment data, calibration know-how, failure replay, integration library and customer-specific models.</w:t>
            </w:r>
          </w:p>
        </w:tc>
      </w:tr>
    </w:tbl>
    <w:p>
      <w:pPr>
        <w:spacing w:after="40"/>
      </w:pPr>
    </w:p>
    <w:p>
      <w:pPr>
        <w:pStyle w:val="Heading3"/>
      </w:pPr>
      <w:r>
        <w:t>Deliverables</w:t>
      </w:r>
    </w:p>
    <w:p>
      <w:pPr>
        <w:pStyle w:val="ListBullet"/>
        <w:spacing w:after="40"/>
        <w:ind w:left="259"/>
      </w:pPr>
      <w:r>
        <w:t>Edge perception runtime</w:t>
      </w:r>
    </w:p>
    <w:p>
      <w:pPr>
        <w:pStyle w:val="ListBullet"/>
        <w:spacing w:after="40"/>
        <w:ind w:left="259"/>
      </w:pPr>
      <w:r>
        <w:t>Calibration and sensor-fusion stack</w:t>
      </w:r>
    </w:p>
    <w:p>
      <w:pPr>
        <w:pStyle w:val="ListBullet"/>
        <w:spacing w:after="40"/>
        <w:ind w:left="259"/>
      </w:pPr>
      <w:r>
        <w:t>Object / defect / state models</w:t>
      </w:r>
    </w:p>
    <w:p>
      <w:pPr>
        <w:pStyle w:val="ListBullet"/>
        <w:spacing w:after="40"/>
        <w:ind w:left="259"/>
      </w:pPr>
      <w:r>
        <w:t>Event and anomaly feeds</w:t>
      </w:r>
    </w:p>
    <w:p>
      <w:pPr>
        <w:pStyle w:val="ListBullet"/>
        <w:spacing w:after="40"/>
        <w:ind w:left="259"/>
      </w:pPr>
      <w:r>
        <w:t>Monitoring dashboard integration</w:t>
      </w:r>
    </w:p>
    <w:p>
      <w:pPr>
        <w:pStyle w:val="ListBullet"/>
        <w:spacing w:after="40"/>
        <w:ind w:left="259"/>
      </w:pPr>
      <w:r>
        <w:t>Model update pipeline</w:t>
      </w:r>
    </w:p>
    <w:p>
      <w:pPr>
        <w:pStyle w:val="Heading3"/>
      </w:pPr>
      <w:r>
        <w:t>Standard add-ons</w:t>
      </w:r>
    </w:p>
    <w:p>
      <w:pPr>
        <w:pStyle w:val="ListBullet"/>
        <w:spacing w:after="40"/>
        <w:ind w:left="259"/>
      </w:pPr>
      <w:r>
        <w:t>Additional production line: €45,000/year</w:t>
      </w:r>
    </w:p>
    <w:p>
      <w:pPr>
        <w:pStyle w:val="ListBullet"/>
        <w:spacing w:after="40"/>
        <w:ind w:left="259"/>
      </w:pPr>
      <w:r>
        <w:t>Additional 10 sensor streams: €12,000/year</w:t>
      </w:r>
    </w:p>
    <w:p>
      <w:pPr>
        <w:pStyle w:val="ListBullet"/>
        <w:spacing w:after="40"/>
        <w:ind w:left="259"/>
      </w:pPr>
      <w:r>
        <w:t>Additional edge node: €18,000/year</w:t>
      </w:r>
    </w:p>
    <w:p>
      <w:pPr>
        <w:pStyle w:val="ListBullet"/>
        <w:spacing w:after="40"/>
        <w:ind w:left="259"/>
      </w:pPr>
      <w:r>
        <w:t>Custom model family: €40,000 setup + €18,000/year</w:t>
      </w:r>
    </w:p>
    <w:p>
      <w:pPr>
        <w:pStyle w:val="Heading3"/>
      </w:pPr>
      <w:r>
        <w:t>How the customer uses it</w:t>
      </w:r>
    </w:p>
    <w:p>
      <w:r>
        <w:t>Example: a steel plant sends camera and depth streams from a finishing line into the Perception Engine. RAS identifies surface defects, tracks process state and emits structured events to the plant’s existing control / analytics environment.</w:t>
      </w:r>
    </w:p>
    <w:p>
      <w:pPr>
        <w:pStyle w:val="Heading2"/>
      </w:pPr>
      <w:r>
        <w:t>PROD-002 · Rosenfeld Motion Stack 1.7</w:t>
      </w:r>
    </w:p>
    <w:p>
      <w:r>
        <w:t>Planning, task execution and hybrid learned/model-based control for robot cells and mobile manipulation systems.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0B0D10"/>
          </w:tcPr>
          <w:p>
            <w:pPr>
              <w:spacing w:after="0"/>
            </w:pPr>
            <w:r/>
            <w:r>
              <w:rPr>
                <w:rFonts w:ascii="Aptos" w:hAnsi="Aptos"/>
                <w:b/>
                <w:color w:val="FFFFFF"/>
                <w:sz w:val="16"/>
              </w:rPr>
              <w:t>Commercial field</w:t>
            </w:r>
          </w:p>
        </w:tc>
        <w:tc>
          <w:tcPr>
            <w:tcW w:type="dxa" w:w="7344"/>
            <w:vAlign w:val="center"/>
            <w:shd w:fill="0B0D10"/>
          </w:tcPr>
          <w:p>
            <w:pPr>
              <w:spacing w:after="0"/>
            </w:pPr>
            <w:r/>
            <w:r>
              <w:rPr>
                <w:rFonts w:ascii="Aptos" w:hAnsi="Aptos"/>
                <w:b/>
                <w:color w:val="FFFFFF"/>
                <w:sz w:val="16"/>
              </w:rPr>
              <w:t>Canonical value</w:t>
            </w:r>
          </w:p>
        </w:tc>
      </w:tr>
      <w:tr>
        <w:tc>
          <w:tcPr>
            <w:tcW w:type="dxa" w:w="2232"/>
            <w:vAlign w:val="center"/>
          </w:tcPr>
          <w:p>
            <w:pPr>
              <w:spacing w:after="0"/>
            </w:pPr>
            <w:r/>
            <w:r>
              <w:rPr>
                <w:rFonts w:ascii="Aptos" w:hAnsi="Aptos"/>
                <w:b w:val="0"/>
                <w:sz w:val="16"/>
              </w:rPr>
              <w:t>SKU / status</w:t>
            </w:r>
          </w:p>
        </w:tc>
        <w:tc>
          <w:tcPr>
            <w:tcW w:type="dxa" w:w="7344"/>
            <w:vAlign w:val="center"/>
          </w:tcPr>
          <w:p>
            <w:pPr>
              <w:spacing w:after="0"/>
            </w:pPr>
            <w:r/>
            <w:r>
              <w:rPr>
                <w:rFonts w:ascii="Aptos" w:hAnsi="Aptos"/>
                <w:b w:val="0"/>
                <w:sz w:val="16"/>
              </w:rPr>
              <w:t>ROS-MOT-17 · Commercial</w:t>
            </w:r>
          </w:p>
        </w:tc>
      </w:tr>
      <w:tr>
        <w:tc>
          <w:tcPr>
            <w:tcW w:type="dxa" w:w="2232"/>
            <w:vAlign w:val="center"/>
          </w:tcPr>
          <w:p>
            <w:pPr>
              <w:spacing w:after="0"/>
            </w:pPr>
            <w:r/>
            <w:r>
              <w:rPr>
                <w:rFonts w:ascii="Aptos" w:hAnsi="Aptos"/>
                <w:b w:val="0"/>
                <w:sz w:val="16"/>
              </w:rPr>
              <w:t>Primary buyers</w:t>
            </w:r>
          </w:p>
        </w:tc>
        <w:tc>
          <w:tcPr>
            <w:tcW w:type="dxa" w:w="7344"/>
            <w:vAlign w:val="center"/>
          </w:tcPr>
          <w:p>
            <w:pPr>
              <w:spacing w:after="0"/>
            </w:pPr>
            <w:r/>
            <w:r>
              <w:rPr>
                <w:rFonts w:ascii="Aptos" w:hAnsi="Aptos"/>
                <w:b w:val="0"/>
                <w:sz w:val="16"/>
              </w:rPr>
              <w:t>Manufacturers with existing robots, automation integrators, machinery companies, industrial engineering teams.</w:t>
            </w:r>
          </w:p>
        </w:tc>
      </w:tr>
      <w:tr>
        <w:tc>
          <w:tcPr>
            <w:tcW w:type="dxa" w:w="2232"/>
            <w:vAlign w:val="center"/>
          </w:tcPr>
          <w:p>
            <w:pPr>
              <w:spacing w:after="0"/>
            </w:pPr>
            <w:r/>
            <w:r>
              <w:rPr>
                <w:rFonts w:ascii="Aptos" w:hAnsi="Aptos"/>
                <w:b w:val="0"/>
                <w:sz w:val="16"/>
              </w:rPr>
              <w:t>Standard price</w:t>
            </w:r>
          </w:p>
        </w:tc>
        <w:tc>
          <w:tcPr>
            <w:tcW w:type="dxa" w:w="7344"/>
            <w:vAlign w:val="center"/>
          </w:tcPr>
          <w:p>
            <w:pPr>
              <w:spacing w:after="0"/>
            </w:pPr>
            <w:r/>
            <w:r>
              <w:rPr>
                <w:rFonts w:ascii="Aptos" w:hAnsi="Aptos"/>
                <w:b w:val="0"/>
                <w:sz w:val="16"/>
              </w:rPr>
              <w:t>€180,000 / production robot cell / year</w:t>
            </w:r>
          </w:p>
        </w:tc>
      </w:tr>
      <w:tr>
        <w:tc>
          <w:tcPr>
            <w:tcW w:type="dxa" w:w="2232"/>
            <w:vAlign w:val="center"/>
          </w:tcPr>
          <w:p>
            <w:pPr>
              <w:spacing w:after="0"/>
            </w:pPr>
            <w:r/>
            <w:r>
              <w:rPr>
                <w:rFonts w:ascii="Aptos" w:hAnsi="Aptos"/>
                <w:b w:val="0"/>
                <w:sz w:val="16"/>
              </w:rPr>
              <w:t>Implementation</w:t>
            </w:r>
          </w:p>
        </w:tc>
        <w:tc>
          <w:tcPr>
            <w:tcW w:type="dxa" w:w="7344"/>
            <w:vAlign w:val="center"/>
          </w:tcPr>
          <w:p>
            <w:pPr>
              <w:spacing w:after="0"/>
            </w:pPr>
            <w:r/>
            <w:r>
              <w:rPr>
                <w:rFonts w:ascii="Aptos" w:hAnsi="Aptos"/>
                <w:b w:val="0"/>
                <w:sz w:val="16"/>
              </w:rPr>
              <w:t>€55,000 motion-stack integration / cell</w:t>
            </w:r>
          </w:p>
        </w:tc>
      </w:tr>
      <w:tr>
        <w:tc>
          <w:tcPr>
            <w:tcW w:type="dxa" w:w="2232"/>
            <w:vAlign w:val="center"/>
          </w:tcPr>
          <w:p>
            <w:pPr>
              <w:spacing w:after="0"/>
            </w:pPr>
            <w:r/>
            <w:r>
              <w:rPr>
                <w:rFonts w:ascii="Aptos" w:hAnsi="Aptos"/>
                <w:b w:val="0"/>
                <w:sz w:val="16"/>
              </w:rPr>
              <w:t>Included scope</w:t>
            </w:r>
          </w:p>
        </w:tc>
        <w:tc>
          <w:tcPr>
            <w:tcW w:type="dxa" w:w="7344"/>
            <w:vAlign w:val="center"/>
          </w:tcPr>
          <w:p>
            <w:pPr>
              <w:spacing w:after="0"/>
            </w:pPr>
            <w:r/>
            <w:r>
              <w:rPr>
                <w:rFonts w:ascii="Aptos" w:hAnsi="Aptos"/>
                <w:b w:val="0"/>
                <w:sz w:val="16"/>
              </w:rPr>
              <w:t>Up to 2 robots, 4 end-effectors, 2 production recipes, standard PLC / fieldbus interface and performance monitoring.</w:t>
            </w:r>
          </w:p>
        </w:tc>
      </w:tr>
      <w:tr>
        <w:tc>
          <w:tcPr>
            <w:tcW w:type="dxa" w:w="2232"/>
            <w:vAlign w:val="center"/>
          </w:tcPr>
          <w:p>
            <w:pPr>
              <w:spacing w:after="0"/>
            </w:pPr>
            <w:r/>
            <w:r>
              <w:rPr>
                <w:rFonts w:ascii="Aptos" w:hAnsi="Aptos"/>
                <w:b w:val="0"/>
                <w:sz w:val="16"/>
              </w:rPr>
              <w:t>Direct delivery cost</w:t>
            </w:r>
          </w:p>
        </w:tc>
        <w:tc>
          <w:tcPr>
            <w:tcW w:type="dxa" w:w="7344"/>
            <w:vAlign w:val="center"/>
          </w:tcPr>
          <w:p>
            <w:pPr>
              <w:spacing w:after="0"/>
            </w:pPr>
            <w:r/>
            <w:r>
              <w:rPr>
                <w:rFonts w:ascii="Aptos" w:hAnsi="Aptos"/>
                <w:b w:val="0"/>
                <w:sz w:val="16"/>
              </w:rPr>
              <w:t>€36,000 / cell / year standard recurring delivery COGS</w:t>
            </w:r>
          </w:p>
        </w:tc>
      </w:tr>
      <w:tr>
        <w:tc>
          <w:tcPr>
            <w:tcW w:type="dxa" w:w="2232"/>
            <w:vAlign w:val="center"/>
          </w:tcPr>
          <w:p>
            <w:pPr>
              <w:spacing w:after="0"/>
            </w:pPr>
            <w:r/>
            <w:r>
              <w:rPr>
                <w:rFonts w:ascii="Aptos" w:hAnsi="Aptos"/>
                <w:b w:val="0"/>
                <w:sz w:val="16"/>
              </w:rPr>
              <w:t>Gross margin logic</w:t>
            </w:r>
          </w:p>
        </w:tc>
        <w:tc>
          <w:tcPr>
            <w:tcW w:type="dxa" w:w="7344"/>
            <w:vAlign w:val="center"/>
          </w:tcPr>
          <w:p>
            <w:pPr>
              <w:spacing w:after="0"/>
            </w:pPr>
            <w:r/>
            <w:r>
              <w:rPr>
                <w:rFonts w:ascii="Aptos" w:hAnsi="Aptos"/>
                <w:b w:val="0"/>
                <w:sz w:val="16"/>
              </w:rPr>
              <w:t>80.0% before allocated corporate R&amp;D / G&amp;A</w:t>
            </w:r>
          </w:p>
        </w:tc>
      </w:tr>
      <w:tr>
        <w:tc>
          <w:tcPr>
            <w:tcW w:type="dxa" w:w="2232"/>
            <w:vAlign w:val="center"/>
          </w:tcPr>
          <w:p>
            <w:pPr>
              <w:spacing w:after="0"/>
            </w:pPr>
            <w:r/>
            <w:r>
              <w:rPr>
                <w:rFonts w:ascii="Aptos" w:hAnsi="Aptos"/>
                <w:b w:val="0"/>
                <w:sz w:val="16"/>
              </w:rPr>
              <w:t>Time to production</w:t>
            </w:r>
          </w:p>
        </w:tc>
        <w:tc>
          <w:tcPr>
            <w:tcW w:type="dxa" w:w="7344"/>
            <w:vAlign w:val="center"/>
          </w:tcPr>
          <w:p>
            <w:pPr>
              <w:spacing w:after="0"/>
            </w:pPr>
            <w:r/>
            <w:r>
              <w:rPr>
                <w:rFonts w:ascii="Aptos" w:hAnsi="Aptos"/>
                <w:b w:val="0"/>
                <w:sz w:val="16"/>
              </w:rPr>
              <w:t>8–14 weeks for initial cell; 4–8 weeks for cloned cells</w:t>
            </w:r>
          </w:p>
        </w:tc>
      </w:tr>
      <w:tr>
        <w:tc>
          <w:tcPr>
            <w:tcW w:type="dxa" w:w="2232"/>
            <w:vAlign w:val="center"/>
          </w:tcPr>
          <w:p>
            <w:pPr>
              <w:spacing w:after="0"/>
            </w:pPr>
            <w:r/>
            <w:r>
              <w:rPr>
                <w:rFonts w:ascii="Aptos" w:hAnsi="Aptos"/>
                <w:b w:val="0"/>
                <w:sz w:val="16"/>
              </w:rPr>
              <w:t>Success KPIs</w:t>
            </w:r>
          </w:p>
        </w:tc>
        <w:tc>
          <w:tcPr>
            <w:tcW w:type="dxa" w:w="7344"/>
            <w:vAlign w:val="center"/>
          </w:tcPr>
          <w:p>
            <w:pPr>
              <w:spacing w:after="0"/>
            </w:pPr>
            <w:r/>
            <w:r>
              <w:rPr>
                <w:rFonts w:ascii="Aptos" w:hAnsi="Aptos"/>
                <w:b w:val="0"/>
                <w:sz w:val="16"/>
              </w:rPr>
              <w:t>cycle time, task success rate, recovery rate, collision / stop events, uptime, operator intervention minutes</w:t>
            </w:r>
          </w:p>
        </w:tc>
      </w:tr>
      <w:tr>
        <w:tc>
          <w:tcPr>
            <w:tcW w:type="dxa" w:w="2232"/>
            <w:vAlign w:val="center"/>
          </w:tcPr>
          <w:p>
            <w:pPr>
              <w:spacing w:after="0"/>
            </w:pPr>
            <w:r/>
            <w:r>
              <w:rPr>
                <w:rFonts w:ascii="Aptos" w:hAnsi="Aptos"/>
                <w:b w:val="0"/>
                <w:sz w:val="16"/>
              </w:rPr>
              <w:t>Strategic moat</w:t>
            </w:r>
          </w:p>
        </w:tc>
        <w:tc>
          <w:tcPr>
            <w:tcW w:type="dxa" w:w="7344"/>
            <w:vAlign w:val="center"/>
          </w:tcPr>
          <w:p>
            <w:pPr>
              <w:spacing w:after="0"/>
            </w:pPr>
            <w:r/>
            <w:r>
              <w:rPr>
                <w:rFonts w:ascii="Aptos" w:hAnsi="Aptos"/>
                <w:b w:val="0"/>
                <w:sz w:val="16"/>
              </w:rPr>
              <w:t>Cross-morphology task-policy transfer, failure recovery data and a growing library of industrial motions.</w:t>
            </w:r>
          </w:p>
        </w:tc>
      </w:tr>
    </w:tbl>
    <w:p>
      <w:pPr>
        <w:spacing w:after="40"/>
      </w:pPr>
    </w:p>
    <w:p>
      <w:pPr>
        <w:pStyle w:val="Heading3"/>
      </w:pPr>
      <w:r>
        <w:t>Deliverables</w:t>
      </w:r>
    </w:p>
    <w:p>
      <w:pPr>
        <w:pStyle w:val="ListBullet"/>
        <w:spacing w:after="40"/>
        <w:ind w:left="259"/>
      </w:pPr>
      <w:r>
        <w:t>Task planner</w:t>
      </w:r>
    </w:p>
    <w:p>
      <w:pPr>
        <w:pStyle w:val="ListBullet"/>
        <w:spacing w:after="40"/>
        <w:ind w:left="259"/>
      </w:pPr>
      <w:r>
        <w:t>Motion / trajectory generation</w:t>
      </w:r>
    </w:p>
    <w:p>
      <w:pPr>
        <w:pStyle w:val="ListBullet"/>
        <w:spacing w:after="40"/>
        <w:ind w:left="259"/>
      </w:pPr>
      <w:r>
        <w:t>Hybrid control policies</w:t>
      </w:r>
    </w:p>
    <w:p>
      <w:pPr>
        <w:pStyle w:val="ListBullet"/>
        <w:spacing w:after="40"/>
        <w:ind w:left="259"/>
      </w:pPr>
      <w:r>
        <w:t>Robot abstraction layer</w:t>
      </w:r>
    </w:p>
    <w:p>
      <w:pPr>
        <w:pStyle w:val="ListBullet"/>
        <w:spacing w:after="40"/>
        <w:ind w:left="259"/>
      </w:pPr>
      <w:r>
        <w:t>Recipe management</w:t>
      </w:r>
    </w:p>
    <w:p>
      <w:pPr>
        <w:pStyle w:val="ListBullet"/>
        <w:spacing w:after="40"/>
        <w:ind w:left="259"/>
      </w:pPr>
      <w:r>
        <w:t>Safety-state interfaces</w:t>
      </w:r>
    </w:p>
    <w:p>
      <w:pPr>
        <w:pStyle w:val="ListBullet"/>
        <w:spacing w:after="40"/>
        <w:ind w:left="259"/>
      </w:pPr>
      <w:r>
        <w:t>Performance telemetry</w:t>
      </w:r>
    </w:p>
    <w:p>
      <w:pPr>
        <w:pStyle w:val="Heading3"/>
      </w:pPr>
      <w:r>
        <w:t>Standard add-ons</w:t>
      </w:r>
    </w:p>
    <w:p>
      <w:pPr>
        <w:pStyle w:val="ListBullet"/>
        <w:spacing w:after="40"/>
        <w:ind w:left="259"/>
      </w:pPr>
      <w:r>
        <w:t>Additional robot: €35,000/year</w:t>
      </w:r>
    </w:p>
    <w:p>
      <w:pPr>
        <w:pStyle w:val="ListBullet"/>
        <w:spacing w:after="40"/>
        <w:ind w:left="259"/>
      </w:pPr>
      <w:r>
        <w:t>Additional production recipe pack: €15,000/year</w:t>
      </w:r>
    </w:p>
    <w:p>
      <w:pPr>
        <w:pStyle w:val="ListBullet"/>
        <w:spacing w:after="40"/>
        <w:ind w:left="259"/>
      </w:pPr>
      <w:r>
        <w:t>Custom controller integration: €30,000 setup</w:t>
      </w:r>
    </w:p>
    <w:p>
      <w:pPr>
        <w:pStyle w:val="ListBullet"/>
        <w:spacing w:after="40"/>
        <w:ind w:left="259"/>
      </w:pPr>
      <w:r>
        <w:t>High-risk validation package: €45,000</w:t>
      </w:r>
    </w:p>
    <w:p>
      <w:pPr>
        <w:pStyle w:val="Heading3"/>
      </w:pPr>
      <w:r>
        <w:t>How the customer uses it</w:t>
      </w:r>
    </w:p>
    <w:p>
      <w:r>
        <w:t>Example: an industrial cell already contains KUKA/ABB/FANUC/UR equipment. RAS adds task-level planning, recipe execution, learned motion and recovery policies without forcing a full robot replacement.</w:t>
      </w:r>
    </w:p>
    <w:p>
      <w:pPr>
        <w:pStyle w:val="Heading2"/>
      </w:pPr>
      <w:r>
        <w:t>PROD-003 · Rosenfeld Fleet Intelligence 0.9</w:t>
      </w:r>
    </w:p>
    <w:p>
      <w:r>
        <w:t>Turns deployed machines into a connected learning fleet through telemetry, failure classification, fleet monitoring and policy-update workflows.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0B0D10"/>
          </w:tcPr>
          <w:p>
            <w:pPr>
              <w:spacing w:after="0"/>
            </w:pPr>
            <w:r/>
            <w:r>
              <w:rPr>
                <w:rFonts w:ascii="Aptos" w:hAnsi="Aptos"/>
                <w:b/>
                <w:color w:val="FFFFFF"/>
                <w:sz w:val="16"/>
              </w:rPr>
              <w:t>Commercial field</w:t>
            </w:r>
          </w:p>
        </w:tc>
        <w:tc>
          <w:tcPr>
            <w:tcW w:type="dxa" w:w="7344"/>
            <w:vAlign w:val="center"/>
            <w:shd w:fill="0B0D10"/>
          </w:tcPr>
          <w:p>
            <w:pPr>
              <w:spacing w:after="0"/>
            </w:pPr>
            <w:r/>
            <w:r>
              <w:rPr>
                <w:rFonts w:ascii="Aptos" w:hAnsi="Aptos"/>
                <w:b/>
                <w:color w:val="FFFFFF"/>
                <w:sz w:val="16"/>
              </w:rPr>
              <w:t>Canonical value</w:t>
            </w:r>
          </w:p>
        </w:tc>
      </w:tr>
      <w:tr>
        <w:tc>
          <w:tcPr>
            <w:tcW w:type="dxa" w:w="2232"/>
            <w:vAlign w:val="center"/>
          </w:tcPr>
          <w:p>
            <w:pPr>
              <w:spacing w:after="0"/>
            </w:pPr>
            <w:r/>
            <w:r>
              <w:rPr>
                <w:rFonts w:ascii="Aptos" w:hAnsi="Aptos"/>
                <w:b w:val="0"/>
                <w:sz w:val="16"/>
              </w:rPr>
              <w:t>SKU / status</w:t>
            </w:r>
          </w:p>
        </w:tc>
        <w:tc>
          <w:tcPr>
            <w:tcW w:type="dxa" w:w="7344"/>
            <w:vAlign w:val="center"/>
          </w:tcPr>
          <w:p>
            <w:pPr>
              <w:spacing w:after="0"/>
            </w:pPr>
            <w:r/>
            <w:r>
              <w:rPr>
                <w:rFonts w:ascii="Aptos" w:hAnsi="Aptos"/>
                <w:b w:val="0"/>
                <w:sz w:val="16"/>
              </w:rPr>
              <w:t>ROS-FLE-09 · Commercial / Beta</w:t>
            </w:r>
          </w:p>
        </w:tc>
      </w:tr>
      <w:tr>
        <w:tc>
          <w:tcPr>
            <w:tcW w:type="dxa" w:w="2232"/>
            <w:vAlign w:val="center"/>
          </w:tcPr>
          <w:p>
            <w:pPr>
              <w:spacing w:after="0"/>
            </w:pPr>
            <w:r/>
            <w:r>
              <w:rPr>
                <w:rFonts w:ascii="Aptos" w:hAnsi="Aptos"/>
                <w:b w:val="0"/>
                <w:sz w:val="16"/>
              </w:rPr>
              <w:t>Primary buyers</w:t>
            </w:r>
          </w:p>
        </w:tc>
        <w:tc>
          <w:tcPr>
            <w:tcW w:type="dxa" w:w="7344"/>
            <w:vAlign w:val="center"/>
          </w:tcPr>
          <w:p>
            <w:pPr>
              <w:spacing w:after="0"/>
            </w:pPr>
            <w:r/>
            <w:r>
              <w:rPr>
                <w:rFonts w:ascii="Aptos" w:hAnsi="Aptos"/>
                <w:b w:val="0"/>
                <w:sz w:val="16"/>
              </w:rPr>
              <w:t>Industrial operators with multiple robot cells, AMR fleets, machine OEMs and multi-site manufacturers.</w:t>
            </w:r>
          </w:p>
        </w:tc>
      </w:tr>
      <w:tr>
        <w:tc>
          <w:tcPr>
            <w:tcW w:type="dxa" w:w="2232"/>
            <w:vAlign w:val="center"/>
          </w:tcPr>
          <w:p>
            <w:pPr>
              <w:spacing w:after="0"/>
            </w:pPr>
            <w:r/>
            <w:r>
              <w:rPr>
                <w:rFonts w:ascii="Aptos" w:hAnsi="Aptos"/>
                <w:b w:val="0"/>
                <w:sz w:val="16"/>
              </w:rPr>
              <w:t>Standard price</w:t>
            </w:r>
          </w:p>
        </w:tc>
        <w:tc>
          <w:tcPr>
            <w:tcW w:type="dxa" w:w="7344"/>
            <w:vAlign w:val="center"/>
          </w:tcPr>
          <w:p>
            <w:pPr>
              <w:spacing w:after="0"/>
            </w:pPr>
            <w:r/>
            <w:r>
              <w:rPr>
                <w:rFonts w:ascii="Aptos" w:hAnsi="Aptos"/>
                <w:b w:val="0"/>
                <w:sz w:val="16"/>
              </w:rPr>
              <w:t>€48,000 / site / year + €1,250 / active robot / year</w:t>
            </w:r>
          </w:p>
        </w:tc>
      </w:tr>
      <w:tr>
        <w:tc>
          <w:tcPr>
            <w:tcW w:type="dxa" w:w="2232"/>
            <w:vAlign w:val="center"/>
          </w:tcPr>
          <w:p>
            <w:pPr>
              <w:spacing w:after="0"/>
            </w:pPr>
            <w:r/>
            <w:r>
              <w:rPr>
                <w:rFonts w:ascii="Aptos" w:hAnsi="Aptos"/>
                <w:b w:val="0"/>
                <w:sz w:val="16"/>
              </w:rPr>
              <w:t>Implementation</w:t>
            </w:r>
          </w:p>
        </w:tc>
        <w:tc>
          <w:tcPr>
            <w:tcW w:type="dxa" w:w="7344"/>
            <w:vAlign w:val="center"/>
          </w:tcPr>
          <w:p>
            <w:pPr>
              <w:spacing w:after="0"/>
            </w:pPr>
            <w:r/>
            <w:r>
              <w:rPr>
                <w:rFonts w:ascii="Aptos" w:hAnsi="Aptos"/>
                <w:b w:val="0"/>
                <w:sz w:val="16"/>
              </w:rPr>
              <w:t>€25,000 fleet onboarding / site</w:t>
            </w:r>
          </w:p>
        </w:tc>
      </w:tr>
      <w:tr>
        <w:tc>
          <w:tcPr>
            <w:tcW w:type="dxa" w:w="2232"/>
            <w:vAlign w:val="center"/>
          </w:tcPr>
          <w:p>
            <w:pPr>
              <w:spacing w:after="0"/>
            </w:pPr>
            <w:r/>
            <w:r>
              <w:rPr>
                <w:rFonts w:ascii="Aptos" w:hAnsi="Aptos"/>
                <w:b w:val="0"/>
                <w:sz w:val="16"/>
              </w:rPr>
              <w:t>Included scope</w:t>
            </w:r>
          </w:p>
        </w:tc>
        <w:tc>
          <w:tcPr>
            <w:tcW w:type="dxa" w:w="7344"/>
            <w:vAlign w:val="center"/>
          </w:tcPr>
          <w:p>
            <w:pPr>
              <w:spacing w:after="0"/>
            </w:pPr>
            <w:r/>
            <w:r>
              <w:rPr>
                <w:rFonts w:ascii="Aptos" w:hAnsi="Aptos"/>
                <w:b w:val="0"/>
                <w:sz w:val="16"/>
              </w:rPr>
              <w:t>Up to 25 active robots in the base fee, standard telemetry, monitoring, user accounts and one fleet data connector.</w:t>
            </w:r>
          </w:p>
        </w:tc>
      </w:tr>
      <w:tr>
        <w:tc>
          <w:tcPr>
            <w:tcW w:type="dxa" w:w="2232"/>
            <w:vAlign w:val="center"/>
          </w:tcPr>
          <w:p>
            <w:pPr>
              <w:spacing w:after="0"/>
            </w:pPr>
            <w:r/>
            <w:r>
              <w:rPr>
                <w:rFonts w:ascii="Aptos" w:hAnsi="Aptos"/>
                <w:b w:val="0"/>
                <w:sz w:val="16"/>
              </w:rPr>
              <w:t>Direct delivery cost</w:t>
            </w:r>
          </w:p>
        </w:tc>
        <w:tc>
          <w:tcPr>
            <w:tcW w:type="dxa" w:w="7344"/>
            <w:vAlign w:val="center"/>
          </w:tcPr>
          <w:p>
            <w:pPr>
              <w:spacing w:after="0"/>
            </w:pPr>
            <w:r/>
            <w:r>
              <w:rPr>
                <w:rFonts w:ascii="Aptos" w:hAnsi="Aptos"/>
                <w:b w:val="0"/>
                <w:sz w:val="16"/>
              </w:rPr>
              <w:t>€14,000 / site / year base + €300 / active robot / year</w:t>
            </w:r>
          </w:p>
        </w:tc>
      </w:tr>
      <w:tr>
        <w:tc>
          <w:tcPr>
            <w:tcW w:type="dxa" w:w="2232"/>
            <w:vAlign w:val="center"/>
          </w:tcPr>
          <w:p>
            <w:pPr>
              <w:spacing w:after="0"/>
            </w:pPr>
            <w:r/>
            <w:r>
              <w:rPr>
                <w:rFonts w:ascii="Aptos" w:hAnsi="Aptos"/>
                <w:b w:val="0"/>
                <w:sz w:val="16"/>
              </w:rPr>
              <w:t>Gross margin logic</w:t>
            </w:r>
          </w:p>
        </w:tc>
        <w:tc>
          <w:tcPr>
            <w:tcW w:type="dxa" w:w="7344"/>
            <w:vAlign w:val="center"/>
          </w:tcPr>
          <w:p>
            <w:pPr>
              <w:spacing w:after="0"/>
            </w:pPr>
            <w:r/>
            <w:r>
              <w:rPr>
                <w:rFonts w:ascii="Aptos" w:hAnsi="Aptos"/>
                <w:b w:val="0"/>
                <w:sz w:val="16"/>
              </w:rPr>
              <w:t>typically &gt;70% at commercial fleet density</w:t>
            </w:r>
          </w:p>
        </w:tc>
      </w:tr>
      <w:tr>
        <w:tc>
          <w:tcPr>
            <w:tcW w:type="dxa" w:w="2232"/>
            <w:vAlign w:val="center"/>
          </w:tcPr>
          <w:p>
            <w:pPr>
              <w:spacing w:after="0"/>
            </w:pPr>
            <w:r/>
            <w:r>
              <w:rPr>
                <w:rFonts w:ascii="Aptos" w:hAnsi="Aptos"/>
                <w:b w:val="0"/>
                <w:sz w:val="16"/>
              </w:rPr>
              <w:t>Time to production</w:t>
            </w:r>
          </w:p>
        </w:tc>
        <w:tc>
          <w:tcPr>
            <w:tcW w:type="dxa" w:w="7344"/>
            <w:vAlign w:val="center"/>
          </w:tcPr>
          <w:p>
            <w:pPr>
              <w:spacing w:after="0"/>
            </w:pPr>
            <w:r/>
            <w:r>
              <w:rPr>
                <w:rFonts w:ascii="Aptos" w:hAnsi="Aptos"/>
                <w:b w:val="0"/>
                <w:sz w:val="16"/>
              </w:rPr>
              <w:t>4–8 weeks for first fleet; 2–4 weeks for additional sites</w:t>
            </w:r>
          </w:p>
        </w:tc>
      </w:tr>
      <w:tr>
        <w:tc>
          <w:tcPr>
            <w:tcW w:type="dxa" w:w="2232"/>
            <w:vAlign w:val="center"/>
          </w:tcPr>
          <w:p>
            <w:pPr>
              <w:spacing w:after="0"/>
            </w:pPr>
            <w:r/>
            <w:r>
              <w:rPr>
                <w:rFonts w:ascii="Aptos" w:hAnsi="Aptos"/>
                <w:b w:val="0"/>
                <w:sz w:val="16"/>
              </w:rPr>
              <w:t>Success KPIs</w:t>
            </w:r>
          </w:p>
        </w:tc>
        <w:tc>
          <w:tcPr>
            <w:tcW w:type="dxa" w:w="7344"/>
            <w:vAlign w:val="center"/>
          </w:tcPr>
          <w:p>
            <w:pPr>
              <w:spacing w:after="0"/>
            </w:pPr>
            <w:r/>
            <w:r>
              <w:rPr>
                <w:rFonts w:ascii="Aptos" w:hAnsi="Aptos"/>
                <w:b w:val="0"/>
                <w:sz w:val="16"/>
              </w:rPr>
              <w:t>fleet uptime, mean time to recovery, failure recurrence, utilization, intervention rate, update adoption</w:t>
            </w:r>
          </w:p>
        </w:tc>
      </w:tr>
      <w:tr>
        <w:tc>
          <w:tcPr>
            <w:tcW w:type="dxa" w:w="2232"/>
            <w:vAlign w:val="center"/>
          </w:tcPr>
          <w:p>
            <w:pPr>
              <w:spacing w:after="0"/>
            </w:pPr>
            <w:r/>
            <w:r>
              <w:rPr>
                <w:rFonts w:ascii="Aptos" w:hAnsi="Aptos"/>
                <w:b w:val="0"/>
                <w:sz w:val="16"/>
              </w:rPr>
              <w:t>Strategic moat</w:t>
            </w:r>
          </w:p>
        </w:tc>
        <w:tc>
          <w:tcPr>
            <w:tcW w:type="dxa" w:w="7344"/>
            <w:vAlign w:val="center"/>
          </w:tcPr>
          <w:p>
            <w:pPr>
              <w:spacing w:after="0"/>
            </w:pPr>
            <w:r/>
            <w:r>
              <w:rPr>
                <w:rFonts w:ascii="Aptos" w:hAnsi="Aptos"/>
                <w:b w:val="0"/>
                <w:sz w:val="16"/>
              </w:rPr>
              <w:t>Closed-loop fleet data: deployment → failure → correction → validated update → redeployment.</w:t>
            </w:r>
          </w:p>
        </w:tc>
      </w:tr>
    </w:tbl>
    <w:p>
      <w:pPr>
        <w:spacing w:after="40"/>
      </w:pPr>
    </w:p>
    <w:p>
      <w:pPr>
        <w:pStyle w:val="Heading3"/>
      </w:pPr>
      <w:r>
        <w:t>Deliverables</w:t>
      </w:r>
    </w:p>
    <w:p>
      <w:pPr>
        <w:pStyle w:val="ListBullet"/>
        <w:spacing w:after="40"/>
        <w:ind w:left="259"/>
      </w:pPr>
      <w:r>
        <w:t>Fleet telemetry gateway</w:t>
      </w:r>
    </w:p>
    <w:p>
      <w:pPr>
        <w:pStyle w:val="ListBullet"/>
        <w:spacing w:after="40"/>
        <w:ind w:left="259"/>
      </w:pPr>
      <w:r>
        <w:t>Health and utilization dashboards</w:t>
      </w:r>
    </w:p>
    <w:p>
      <w:pPr>
        <w:pStyle w:val="ListBullet"/>
        <w:spacing w:after="40"/>
        <w:ind w:left="259"/>
      </w:pPr>
      <w:r>
        <w:t>Failure taxonomy</w:t>
      </w:r>
    </w:p>
    <w:p>
      <w:pPr>
        <w:pStyle w:val="ListBullet"/>
        <w:spacing w:after="40"/>
        <w:ind w:left="259"/>
      </w:pPr>
      <w:r>
        <w:t>Cross-site event correlation</w:t>
      </w:r>
    </w:p>
    <w:p>
      <w:pPr>
        <w:pStyle w:val="ListBullet"/>
        <w:spacing w:after="40"/>
        <w:ind w:left="259"/>
      </w:pPr>
      <w:r>
        <w:t>Model / policy release management</w:t>
      </w:r>
    </w:p>
    <w:p>
      <w:pPr>
        <w:pStyle w:val="ListBullet"/>
        <w:spacing w:after="40"/>
        <w:ind w:left="259"/>
      </w:pPr>
      <w:r>
        <w:t>Fleet-level performance reports</w:t>
      </w:r>
    </w:p>
    <w:p>
      <w:pPr>
        <w:pStyle w:val="Heading3"/>
      </w:pPr>
      <w:r>
        <w:t>Standard add-ons</w:t>
      </w:r>
    </w:p>
    <w:p>
      <w:pPr>
        <w:pStyle w:val="ListBullet"/>
        <w:spacing w:after="40"/>
        <w:ind w:left="259"/>
      </w:pPr>
      <w:r>
        <w:t>Additional active robot: €1,250/year</w:t>
      </w:r>
    </w:p>
    <w:p>
      <w:pPr>
        <w:pStyle w:val="ListBullet"/>
        <w:spacing w:after="40"/>
        <w:ind w:left="259"/>
      </w:pPr>
      <w:r>
        <w:t>Additional site: €36,000/year</w:t>
      </w:r>
    </w:p>
    <w:p>
      <w:pPr>
        <w:pStyle w:val="ListBullet"/>
        <w:spacing w:after="40"/>
        <w:ind w:left="259"/>
      </w:pPr>
      <w:r>
        <w:t>Managed fleet analytics: €60,000/year/site</w:t>
      </w:r>
    </w:p>
    <w:p>
      <w:pPr>
        <w:pStyle w:val="ListBullet"/>
        <w:spacing w:after="40"/>
        <w:ind w:left="259"/>
      </w:pPr>
      <w:r>
        <w:t>Custom connector: €18,000 setup</w:t>
      </w:r>
    </w:p>
    <w:p>
      <w:pPr>
        <w:pStyle w:val="Heading3"/>
      </w:pPr>
      <w:r>
        <w:t>How the customer uses it</w:t>
      </w:r>
    </w:p>
    <w:p>
      <w:r>
        <w:t>Example: a multi-site manufacturer connects 40–200 machines. RAS aggregates telemetry, identifies recurring failure signatures and manages controlled software/policy updates after validation.</w:t>
      </w:r>
    </w:p>
    <w:p>
      <w:pPr>
        <w:pStyle w:val="Heading2"/>
      </w:pPr>
      <w:r>
        <w:t>PROD-004 · Rosenfeld Simulation Core 1.3</w:t>
      </w:r>
    </w:p>
    <w:p>
      <w:r>
        <w:t>Physics-aware simulation, synthetic data generation, digital-twin testing and failure-replay environment for industrial autonomy.</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0B0D10"/>
          </w:tcPr>
          <w:p>
            <w:pPr>
              <w:spacing w:after="0"/>
            </w:pPr>
            <w:r/>
            <w:r>
              <w:rPr>
                <w:rFonts w:ascii="Aptos" w:hAnsi="Aptos"/>
                <w:b/>
                <w:color w:val="FFFFFF"/>
                <w:sz w:val="16"/>
              </w:rPr>
              <w:t>Commercial field</w:t>
            </w:r>
          </w:p>
        </w:tc>
        <w:tc>
          <w:tcPr>
            <w:tcW w:type="dxa" w:w="7344"/>
            <w:vAlign w:val="center"/>
            <w:shd w:fill="0B0D10"/>
          </w:tcPr>
          <w:p>
            <w:pPr>
              <w:spacing w:after="0"/>
            </w:pPr>
            <w:r/>
            <w:r>
              <w:rPr>
                <w:rFonts w:ascii="Aptos" w:hAnsi="Aptos"/>
                <w:b/>
                <w:color w:val="FFFFFF"/>
                <w:sz w:val="16"/>
              </w:rPr>
              <w:t>Canonical value</w:t>
            </w:r>
          </w:p>
        </w:tc>
      </w:tr>
      <w:tr>
        <w:tc>
          <w:tcPr>
            <w:tcW w:type="dxa" w:w="2232"/>
            <w:vAlign w:val="center"/>
          </w:tcPr>
          <w:p>
            <w:pPr>
              <w:spacing w:after="0"/>
            </w:pPr>
            <w:r/>
            <w:r>
              <w:rPr>
                <w:rFonts w:ascii="Aptos" w:hAnsi="Aptos"/>
                <w:b w:val="0"/>
                <w:sz w:val="16"/>
              </w:rPr>
              <w:t>SKU / status</w:t>
            </w:r>
          </w:p>
        </w:tc>
        <w:tc>
          <w:tcPr>
            <w:tcW w:type="dxa" w:w="7344"/>
            <w:vAlign w:val="center"/>
          </w:tcPr>
          <w:p>
            <w:pPr>
              <w:spacing w:after="0"/>
            </w:pPr>
            <w:r/>
            <w:r>
              <w:rPr>
                <w:rFonts w:ascii="Aptos" w:hAnsi="Aptos"/>
                <w:b w:val="0"/>
                <w:sz w:val="16"/>
              </w:rPr>
              <w:t>ROS-SIM-13 · Pilot / limited commercial</w:t>
            </w:r>
          </w:p>
        </w:tc>
      </w:tr>
      <w:tr>
        <w:tc>
          <w:tcPr>
            <w:tcW w:type="dxa" w:w="2232"/>
            <w:vAlign w:val="center"/>
          </w:tcPr>
          <w:p>
            <w:pPr>
              <w:spacing w:after="0"/>
            </w:pPr>
            <w:r/>
            <w:r>
              <w:rPr>
                <w:rFonts w:ascii="Aptos" w:hAnsi="Aptos"/>
                <w:b w:val="0"/>
                <w:sz w:val="16"/>
              </w:rPr>
              <w:t>Primary buyers</w:t>
            </w:r>
          </w:p>
        </w:tc>
        <w:tc>
          <w:tcPr>
            <w:tcW w:type="dxa" w:w="7344"/>
            <w:vAlign w:val="center"/>
          </w:tcPr>
          <w:p>
            <w:pPr>
              <w:spacing w:after="0"/>
            </w:pPr>
            <w:r/>
            <w:r>
              <w:rPr>
                <w:rFonts w:ascii="Aptos" w:hAnsi="Aptos"/>
                <w:b w:val="0"/>
                <w:sz w:val="16"/>
              </w:rPr>
              <w:t>Industrial manufacturers, automation teams, robot OEMs, engineering groups and RAS customers preparing deployments.</w:t>
            </w:r>
          </w:p>
        </w:tc>
      </w:tr>
      <w:tr>
        <w:tc>
          <w:tcPr>
            <w:tcW w:type="dxa" w:w="2232"/>
            <w:vAlign w:val="center"/>
          </w:tcPr>
          <w:p>
            <w:pPr>
              <w:spacing w:after="0"/>
            </w:pPr>
            <w:r/>
            <w:r>
              <w:rPr>
                <w:rFonts w:ascii="Aptos" w:hAnsi="Aptos"/>
                <w:b w:val="0"/>
                <w:sz w:val="16"/>
              </w:rPr>
              <w:t>Standard price</w:t>
            </w:r>
          </w:p>
        </w:tc>
        <w:tc>
          <w:tcPr>
            <w:tcW w:type="dxa" w:w="7344"/>
            <w:vAlign w:val="center"/>
          </w:tcPr>
          <w:p>
            <w:pPr>
              <w:spacing w:after="0"/>
            </w:pPr>
            <w:r/>
            <w:r>
              <w:rPr>
                <w:rFonts w:ascii="Aptos" w:hAnsi="Aptos"/>
                <w:b w:val="0"/>
                <w:sz w:val="16"/>
              </w:rPr>
              <w:t>€120,000 / site / year</w:t>
            </w:r>
          </w:p>
        </w:tc>
      </w:tr>
      <w:tr>
        <w:tc>
          <w:tcPr>
            <w:tcW w:type="dxa" w:w="2232"/>
            <w:vAlign w:val="center"/>
          </w:tcPr>
          <w:p>
            <w:pPr>
              <w:spacing w:after="0"/>
            </w:pPr>
            <w:r/>
            <w:r>
              <w:rPr>
                <w:rFonts w:ascii="Aptos" w:hAnsi="Aptos"/>
                <w:b w:val="0"/>
                <w:sz w:val="16"/>
              </w:rPr>
              <w:t>Implementation</w:t>
            </w:r>
          </w:p>
        </w:tc>
        <w:tc>
          <w:tcPr>
            <w:tcW w:type="dxa" w:w="7344"/>
            <w:vAlign w:val="center"/>
          </w:tcPr>
          <w:p>
            <w:pPr>
              <w:spacing w:after="0"/>
            </w:pPr>
            <w:r/>
            <w:r>
              <w:rPr>
                <w:rFonts w:ascii="Aptos" w:hAnsi="Aptos"/>
                <w:b w:val="0"/>
                <w:sz w:val="16"/>
              </w:rPr>
              <w:t>€80,000 digital-twin onboarding / project</w:t>
            </w:r>
          </w:p>
        </w:tc>
      </w:tr>
      <w:tr>
        <w:tc>
          <w:tcPr>
            <w:tcW w:type="dxa" w:w="2232"/>
            <w:vAlign w:val="center"/>
          </w:tcPr>
          <w:p>
            <w:pPr>
              <w:spacing w:after="0"/>
            </w:pPr>
            <w:r/>
            <w:r>
              <w:rPr>
                <w:rFonts w:ascii="Aptos" w:hAnsi="Aptos"/>
                <w:b w:val="0"/>
                <w:sz w:val="16"/>
              </w:rPr>
              <w:t>Included scope</w:t>
            </w:r>
          </w:p>
        </w:tc>
        <w:tc>
          <w:tcPr>
            <w:tcW w:type="dxa" w:w="7344"/>
            <w:vAlign w:val="center"/>
          </w:tcPr>
          <w:p>
            <w:pPr>
              <w:spacing w:after="0"/>
            </w:pPr>
            <w:r/>
            <w:r>
              <w:rPr>
                <w:rFonts w:ascii="Aptos" w:hAnsi="Aptos"/>
                <w:b w:val="0"/>
                <w:sz w:val="16"/>
              </w:rPr>
              <w:t>One production cell or process model, scenario library, automated regression suite and standard CI/API integration.</w:t>
            </w:r>
          </w:p>
        </w:tc>
      </w:tr>
      <w:tr>
        <w:tc>
          <w:tcPr>
            <w:tcW w:type="dxa" w:w="2232"/>
            <w:vAlign w:val="center"/>
          </w:tcPr>
          <w:p>
            <w:pPr>
              <w:spacing w:after="0"/>
            </w:pPr>
            <w:r/>
            <w:r>
              <w:rPr>
                <w:rFonts w:ascii="Aptos" w:hAnsi="Aptos"/>
                <w:b w:val="0"/>
                <w:sz w:val="16"/>
              </w:rPr>
              <w:t>Direct delivery cost</w:t>
            </w:r>
          </w:p>
        </w:tc>
        <w:tc>
          <w:tcPr>
            <w:tcW w:type="dxa" w:w="7344"/>
            <w:vAlign w:val="center"/>
          </w:tcPr>
          <w:p>
            <w:pPr>
              <w:spacing w:after="0"/>
            </w:pPr>
            <w:r/>
            <w:r>
              <w:rPr>
                <w:rFonts w:ascii="Aptos" w:hAnsi="Aptos"/>
                <w:b w:val="0"/>
                <w:sz w:val="16"/>
              </w:rPr>
              <w:t>€22,000 / site / year recurring delivery COGS</w:t>
            </w:r>
          </w:p>
        </w:tc>
      </w:tr>
      <w:tr>
        <w:tc>
          <w:tcPr>
            <w:tcW w:type="dxa" w:w="2232"/>
            <w:vAlign w:val="center"/>
          </w:tcPr>
          <w:p>
            <w:pPr>
              <w:spacing w:after="0"/>
            </w:pPr>
            <w:r/>
            <w:r>
              <w:rPr>
                <w:rFonts w:ascii="Aptos" w:hAnsi="Aptos"/>
                <w:b w:val="0"/>
                <w:sz w:val="16"/>
              </w:rPr>
              <w:t>Gross margin logic</w:t>
            </w:r>
          </w:p>
        </w:tc>
        <w:tc>
          <w:tcPr>
            <w:tcW w:type="dxa" w:w="7344"/>
            <w:vAlign w:val="center"/>
          </w:tcPr>
          <w:p>
            <w:pPr>
              <w:spacing w:after="0"/>
            </w:pPr>
            <w:r/>
            <w:r>
              <w:rPr>
                <w:rFonts w:ascii="Aptos" w:hAnsi="Aptos"/>
                <w:b w:val="0"/>
                <w:sz w:val="16"/>
              </w:rPr>
              <w:t>81.7% before allocated corporate R&amp;D / G&amp;A</w:t>
            </w:r>
          </w:p>
        </w:tc>
      </w:tr>
      <w:tr>
        <w:tc>
          <w:tcPr>
            <w:tcW w:type="dxa" w:w="2232"/>
            <w:vAlign w:val="center"/>
          </w:tcPr>
          <w:p>
            <w:pPr>
              <w:spacing w:after="0"/>
            </w:pPr>
            <w:r/>
            <w:r>
              <w:rPr>
                <w:rFonts w:ascii="Aptos" w:hAnsi="Aptos"/>
                <w:b w:val="0"/>
                <w:sz w:val="16"/>
              </w:rPr>
              <w:t>Time to production</w:t>
            </w:r>
          </w:p>
        </w:tc>
        <w:tc>
          <w:tcPr>
            <w:tcW w:type="dxa" w:w="7344"/>
            <w:vAlign w:val="center"/>
          </w:tcPr>
          <w:p>
            <w:pPr>
              <w:spacing w:after="0"/>
            </w:pPr>
            <w:r/>
            <w:r>
              <w:rPr>
                <w:rFonts w:ascii="Aptos" w:hAnsi="Aptos"/>
                <w:b w:val="0"/>
                <w:sz w:val="16"/>
              </w:rPr>
              <w:t>8–16 weeks for initial digital twin; 4–8 weeks for extensions</w:t>
            </w:r>
          </w:p>
        </w:tc>
      </w:tr>
      <w:tr>
        <w:tc>
          <w:tcPr>
            <w:tcW w:type="dxa" w:w="2232"/>
            <w:vAlign w:val="center"/>
          </w:tcPr>
          <w:p>
            <w:pPr>
              <w:spacing w:after="0"/>
            </w:pPr>
            <w:r/>
            <w:r>
              <w:rPr>
                <w:rFonts w:ascii="Aptos" w:hAnsi="Aptos"/>
                <w:b w:val="0"/>
                <w:sz w:val="16"/>
              </w:rPr>
              <w:t>Success KPIs</w:t>
            </w:r>
          </w:p>
        </w:tc>
        <w:tc>
          <w:tcPr>
            <w:tcW w:type="dxa" w:w="7344"/>
            <w:vAlign w:val="center"/>
          </w:tcPr>
          <w:p>
            <w:pPr>
              <w:spacing w:after="0"/>
            </w:pPr>
            <w:r/>
            <w:r>
              <w:rPr>
                <w:rFonts w:ascii="Aptos" w:hAnsi="Aptos"/>
                <w:b w:val="0"/>
                <w:sz w:val="16"/>
              </w:rPr>
              <w:t>sim-to-real transfer rate, scenario coverage, regression detection rate, test throughput, escaped failure rate</w:t>
            </w:r>
          </w:p>
        </w:tc>
      </w:tr>
      <w:tr>
        <w:tc>
          <w:tcPr>
            <w:tcW w:type="dxa" w:w="2232"/>
            <w:vAlign w:val="center"/>
          </w:tcPr>
          <w:p>
            <w:pPr>
              <w:spacing w:after="0"/>
            </w:pPr>
            <w:r/>
            <w:r>
              <w:rPr>
                <w:rFonts w:ascii="Aptos" w:hAnsi="Aptos"/>
                <w:b w:val="0"/>
                <w:sz w:val="16"/>
              </w:rPr>
              <w:t>Strategic moat</w:t>
            </w:r>
          </w:p>
        </w:tc>
        <w:tc>
          <w:tcPr>
            <w:tcW w:type="dxa" w:w="7344"/>
            <w:vAlign w:val="center"/>
          </w:tcPr>
          <w:p>
            <w:pPr>
              <w:spacing w:after="0"/>
            </w:pPr>
            <w:r/>
            <w:r>
              <w:rPr>
                <w:rFonts w:ascii="Aptos" w:hAnsi="Aptos"/>
                <w:b w:val="0"/>
                <w:sz w:val="16"/>
              </w:rPr>
              <w:t>Failure-replay corpus and customer-specific operational models that become increasingly valuable with every deployment.</w:t>
            </w:r>
          </w:p>
        </w:tc>
      </w:tr>
    </w:tbl>
    <w:p>
      <w:pPr>
        <w:spacing w:after="40"/>
      </w:pPr>
    </w:p>
    <w:p>
      <w:pPr>
        <w:pStyle w:val="Heading3"/>
      </w:pPr>
      <w:r>
        <w:t>Deliverables</w:t>
      </w:r>
    </w:p>
    <w:p>
      <w:pPr>
        <w:pStyle w:val="ListBullet"/>
        <w:spacing w:after="40"/>
        <w:ind w:left="259"/>
      </w:pPr>
      <w:r>
        <w:t>Physics-aware scene representation</w:t>
      </w:r>
    </w:p>
    <w:p>
      <w:pPr>
        <w:pStyle w:val="ListBullet"/>
        <w:spacing w:after="40"/>
        <w:ind w:left="259"/>
      </w:pPr>
      <w:r>
        <w:t>Digital-twin environment</w:t>
      </w:r>
    </w:p>
    <w:p>
      <w:pPr>
        <w:pStyle w:val="ListBullet"/>
        <w:spacing w:after="40"/>
        <w:ind w:left="259"/>
      </w:pPr>
      <w:r>
        <w:t>Synthetic data generation</w:t>
      </w:r>
    </w:p>
    <w:p>
      <w:pPr>
        <w:pStyle w:val="ListBullet"/>
        <w:spacing w:after="40"/>
        <w:ind w:left="259"/>
      </w:pPr>
      <w:r>
        <w:t>Failure replay</w:t>
      </w:r>
    </w:p>
    <w:p>
      <w:pPr>
        <w:pStyle w:val="ListBullet"/>
        <w:spacing w:after="40"/>
        <w:ind w:left="259"/>
      </w:pPr>
      <w:r>
        <w:t>Scenario testing</w:t>
      </w:r>
    </w:p>
    <w:p>
      <w:pPr>
        <w:pStyle w:val="ListBullet"/>
        <w:spacing w:after="40"/>
        <w:ind w:left="259"/>
      </w:pPr>
      <w:r>
        <w:t>Regression testing for policy updates</w:t>
      </w:r>
    </w:p>
    <w:p>
      <w:pPr>
        <w:pStyle w:val="Heading3"/>
      </w:pPr>
      <w:r>
        <w:t>Standard add-ons</w:t>
      </w:r>
    </w:p>
    <w:p>
      <w:pPr>
        <w:pStyle w:val="ListBullet"/>
        <w:spacing w:after="40"/>
        <w:ind w:left="259"/>
      </w:pPr>
      <w:r>
        <w:t>Additional modeled cell: €45,000/year</w:t>
      </w:r>
    </w:p>
    <w:p>
      <w:pPr>
        <w:pStyle w:val="ListBullet"/>
        <w:spacing w:after="40"/>
        <w:ind w:left="259"/>
      </w:pPr>
      <w:r>
        <w:t>Custom physics / contact model: €35,000</w:t>
      </w:r>
    </w:p>
    <w:p>
      <w:pPr>
        <w:pStyle w:val="ListBullet"/>
        <w:spacing w:after="40"/>
        <w:ind w:left="259"/>
      </w:pPr>
      <w:r>
        <w:t>Scenario pack: €20,000</w:t>
      </w:r>
    </w:p>
    <w:p>
      <w:pPr>
        <w:pStyle w:val="ListBullet"/>
        <w:spacing w:after="40"/>
        <w:ind w:left="259"/>
      </w:pPr>
      <w:r>
        <w:t>Continuous simulation operations: €48,000/year</w:t>
      </w:r>
    </w:p>
    <w:p>
      <w:pPr>
        <w:pStyle w:val="Heading3"/>
      </w:pPr>
      <w:r>
        <w:t>How the customer uses it</w:t>
      </w:r>
    </w:p>
    <w:p>
      <w:r>
        <w:t>Example: before commissioning a new robotic cell, the customer builds a digital twin, generates edge cases, replays previous failures and regression-tests new policies before using them on the real machine.</w:t>
      </w:r>
    </w:p>
    <w:p>
      <w:pPr>
        <w:pStyle w:val="Heading2"/>
      </w:pPr>
      <w:r>
        <w:t>PROD-005 · Rosenfeld Manipulation Lab Stack 0.8</w:t>
      </w:r>
    </w:p>
    <w:p>
      <w:r>
        <w:t>Research and partner environment for contact-rich manipulation, force control, grasping, tool interaction and hard physical tasks.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0B0D10"/>
          </w:tcPr>
          <w:p>
            <w:pPr>
              <w:spacing w:after="0"/>
            </w:pPr>
            <w:r/>
            <w:r>
              <w:rPr>
                <w:rFonts w:ascii="Aptos" w:hAnsi="Aptos"/>
                <w:b/>
                <w:color w:val="FFFFFF"/>
                <w:sz w:val="16"/>
              </w:rPr>
              <w:t>Commercial field</w:t>
            </w:r>
          </w:p>
        </w:tc>
        <w:tc>
          <w:tcPr>
            <w:tcW w:type="dxa" w:w="7344"/>
            <w:vAlign w:val="center"/>
            <w:shd w:fill="0B0D10"/>
          </w:tcPr>
          <w:p>
            <w:pPr>
              <w:spacing w:after="0"/>
            </w:pPr>
            <w:r/>
            <w:r>
              <w:rPr>
                <w:rFonts w:ascii="Aptos" w:hAnsi="Aptos"/>
                <w:b/>
                <w:color w:val="FFFFFF"/>
                <w:sz w:val="16"/>
              </w:rPr>
              <w:t>Canonical value</w:t>
            </w:r>
          </w:p>
        </w:tc>
      </w:tr>
      <w:tr>
        <w:tc>
          <w:tcPr>
            <w:tcW w:type="dxa" w:w="2232"/>
            <w:vAlign w:val="center"/>
          </w:tcPr>
          <w:p>
            <w:pPr>
              <w:spacing w:after="0"/>
            </w:pPr>
            <w:r/>
            <w:r>
              <w:rPr>
                <w:rFonts w:ascii="Aptos" w:hAnsi="Aptos"/>
                <w:b w:val="0"/>
                <w:sz w:val="16"/>
              </w:rPr>
              <w:t>SKU / status</w:t>
            </w:r>
          </w:p>
        </w:tc>
        <w:tc>
          <w:tcPr>
            <w:tcW w:type="dxa" w:w="7344"/>
            <w:vAlign w:val="center"/>
          </w:tcPr>
          <w:p>
            <w:pPr>
              <w:spacing w:after="0"/>
            </w:pPr>
            <w:r/>
            <w:r>
              <w:rPr>
                <w:rFonts w:ascii="Aptos" w:hAnsi="Aptos"/>
                <w:b w:val="0"/>
                <w:sz w:val="16"/>
              </w:rPr>
              <w:t>ROS-MAN-08 · Internal / strategic partner</w:t>
            </w:r>
          </w:p>
        </w:tc>
      </w:tr>
      <w:tr>
        <w:tc>
          <w:tcPr>
            <w:tcW w:type="dxa" w:w="2232"/>
            <w:vAlign w:val="center"/>
          </w:tcPr>
          <w:p>
            <w:pPr>
              <w:spacing w:after="0"/>
            </w:pPr>
            <w:r/>
            <w:r>
              <w:rPr>
                <w:rFonts w:ascii="Aptos" w:hAnsi="Aptos"/>
                <w:b w:val="0"/>
                <w:sz w:val="16"/>
              </w:rPr>
              <w:t>Primary buyers</w:t>
            </w:r>
          </w:p>
        </w:tc>
        <w:tc>
          <w:tcPr>
            <w:tcW w:type="dxa" w:w="7344"/>
            <w:vAlign w:val="center"/>
          </w:tcPr>
          <w:p>
            <w:pPr>
              <w:spacing w:after="0"/>
            </w:pPr>
            <w:r/>
            <w:r>
              <w:rPr>
                <w:rFonts w:ascii="Aptos" w:hAnsi="Aptos"/>
                <w:b w:val="0"/>
                <w:sz w:val="16"/>
              </w:rPr>
              <w:t>Strategic industrial partners, research collaborators and selected lighthouse customers; not general availability.</w:t>
            </w:r>
          </w:p>
        </w:tc>
      </w:tr>
      <w:tr>
        <w:tc>
          <w:tcPr>
            <w:tcW w:type="dxa" w:w="2232"/>
            <w:vAlign w:val="center"/>
          </w:tcPr>
          <w:p>
            <w:pPr>
              <w:spacing w:after="0"/>
            </w:pPr>
            <w:r/>
            <w:r>
              <w:rPr>
                <w:rFonts w:ascii="Aptos" w:hAnsi="Aptos"/>
                <w:b w:val="0"/>
                <w:sz w:val="16"/>
              </w:rPr>
              <w:t>Standard price</w:t>
            </w:r>
          </w:p>
        </w:tc>
        <w:tc>
          <w:tcPr>
            <w:tcW w:type="dxa" w:w="7344"/>
            <w:vAlign w:val="center"/>
          </w:tcPr>
          <w:p>
            <w:pPr>
              <w:spacing w:after="0"/>
            </w:pPr>
            <w:r/>
            <w:r>
              <w:rPr>
                <w:rFonts w:ascii="Aptos" w:hAnsi="Aptos"/>
                <w:b w:val="0"/>
                <w:sz w:val="16"/>
              </w:rPr>
              <w:t>€250,000 / strategic partner / year</w:t>
            </w:r>
          </w:p>
        </w:tc>
      </w:tr>
      <w:tr>
        <w:tc>
          <w:tcPr>
            <w:tcW w:type="dxa" w:w="2232"/>
            <w:vAlign w:val="center"/>
          </w:tcPr>
          <w:p>
            <w:pPr>
              <w:spacing w:after="0"/>
            </w:pPr>
            <w:r/>
            <w:r>
              <w:rPr>
                <w:rFonts w:ascii="Aptos" w:hAnsi="Aptos"/>
                <w:b w:val="0"/>
                <w:sz w:val="16"/>
              </w:rPr>
              <w:t>Implementation</w:t>
            </w:r>
          </w:p>
        </w:tc>
        <w:tc>
          <w:tcPr>
            <w:tcW w:type="dxa" w:w="7344"/>
            <w:vAlign w:val="center"/>
          </w:tcPr>
          <w:p>
            <w:pPr>
              <w:spacing w:after="0"/>
            </w:pPr>
            <w:r/>
            <w:r>
              <w:rPr>
                <w:rFonts w:ascii="Aptos" w:hAnsi="Aptos"/>
                <w:b w:val="0"/>
                <w:sz w:val="16"/>
              </w:rPr>
              <w:t>€50,000 research environment setup</w:t>
            </w:r>
          </w:p>
        </w:tc>
      </w:tr>
      <w:tr>
        <w:tc>
          <w:tcPr>
            <w:tcW w:type="dxa" w:w="2232"/>
            <w:vAlign w:val="center"/>
          </w:tcPr>
          <w:p>
            <w:pPr>
              <w:spacing w:after="0"/>
            </w:pPr>
            <w:r/>
            <w:r>
              <w:rPr>
                <w:rFonts w:ascii="Aptos" w:hAnsi="Aptos"/>
                <w:b w:val="0"/>
                <w:sz w:val="16"/>
              </w:rPr>
              <w:t>Included scope</w:t>
            </w:r>
          </w:p>
        </w:tc>
        <w:tc>
          <w:tcPr>
            <w:tcW w:type="dxa" w:w="7344"/>
            <w:vAlign w:val="center"/>
          </w:tcPr>
          <w:p>
            <w:pPr>
              <w:spacing w:after="0"/>
            </w:pPr>
            <w:r/>
            <w:r>
              <w:rPr>
                <w:rFonts w:ascii="Aptos" w:hAnsi="Aptos"/>
                <w:b w:val="0"/>
                <w:sz w:val="16"/>
              </w:rPr>
              <w:t>4 named research users, API access, two engineering sprints per quarter and shared evaluation framework.</w:t>
            </w:r>
          </w:p>
        </w:tc>
      </w:tr>
      <w:tr>
        <w:tc>
          <w:tcPr>
            <w:tcW w:type="dxa" w:w="2232"/>
            <w:vAlign w:val="center"/>
          </w:tcPr>
          <w:p>
            <w:pPr>
              <w:spacing w:after="0"/>
            </w:pPr>
            <w:r/>
            <w:r>
              <w:rPr>
                <w:rFonts w:ascii="Aptos" w:hAnsi="Aptos"/>
                <w:b w:val="0"/>
                <w:sz w:val="16"/>
              </w:rPr>
              <w:t>Direct delivery cost</w:t>
            </w:r>
          </w:p>
        </w:tc>
        <w:tc>
          <w:tcPr>
            <w:tcW w:type="dxa" w:w="7344"/>
            <w:vAlign w:val="center"/>
          </w:tcPr>
          <w:p>
            <w:pPr>
              <w:spacing w:after="0"/>
            </w:pPr>
            <w:r/>
            <w:r>
              <w:rPr>
                <w:rFonts w:ascii="Aptos" w:hAnsi="Aptos"/>
                <w:b w:val="0"/>
                <w:sz w:val="16"/>
              </w:rPr>
              <w:t>€85,000 / partner / year direct program cost</w:t>
            </w:r>
          </w:p>
        </w:tc>
      </w:tr>
      <w:tr>
        <w:tc>
          <w:tcPr>
            <w:tcW w:type="dxa" w:w="2232"/>
            <w:vAlign w:val="center"/>
          </w:tcPr>
          <w:p>
            <w:pPr>
              <w:spacing w:after="0"/>
            </w:pPr>
            <w:r/>
            <w:r>
              <w:rPr>
                <w:rFonts w:ascii="Aptos" w:hAnsi="Aptos"/>
                <w:b w:val="0"/>
                <w:sz w:val="16"/>
              </w:rPr>
              <w:t>Gross margin logic</w:t>
            </w:r>
          </w:p>
        </w:tc>
        <w:tc>
          <w:tcPr>
            <w:tcW w:type="dxa" w:w="7344"/>
            <w:vAlign w:val="center"/>
          </w:tcPr>
          <w:p>
            <w:pPr>
              <w:spacing w:after="0"/>
            </w:pPr>
            <w:r/>
            <w:r>
              <w:rPr>
                <w:rFonts w:ascii="Aptos" w:hAnsi="Aptos"/>
                <w:b w:val="0"/>
                <w:sz w:val="16"/>
              </w:rPr>
              <w:t>66.0% before allocated corporate R&amp;D / G&amp;A</w:t>
            </w:r>
          </w:p>
        </w:tc>
      </w:tr>
      <w:tr>
        <w:tc>
          <w:tcPr>
            <w:tcW w:type="dxa" w:w="2232"/>
            <w:vAlign w:val="center"/>
          </w:tcPr>
          <w:p>
            <w:pPr>
              <w:spacing w:after="0"/>
            </w:pPr>
            <w:r/>
            <w:r>
              <w:rPr>
                <w:rFonts w:ascii="Aptos" w:hAnsi="Aptos"/>
                <w:b w:val="0"/>
                <w:sz w:val="16"/>
              </w:rPr>
              <w:t>Time to production</w:t>
            </w:r>
          </w:p>
        </w:tc>
        <w:tc>
          <w:tcPr>
            <w:tcW w:type="dxa" w:w="7344"/>
            <w:vAlign w:val="center"/>
          </w:tcPr>
          <w:p>
            <w:pPr>
              <w:spacing w:after="0"/>
            </w:pPr>
            <w:r/>
            <w:r>
              <w:rPr>
                <w:rFonts w:ascii="Aptos" w:hAnsi="Aptos"/>
                <w:b w:val="0"/>
                <w:sz w:val="16"/>
              </w:rPr>
              <w:t>10–16 weeks to establish a partner environment</w:t>
            </w:r>
          </w:p>
        </w:tc>
      </w:tr>
      <w:tr>
        <w:tc>
          <w:tcPr>
            <w:tcW w:type="dxa" w:w="2232"/>
            <w:vAlign w:val="center"/>
          </w:tcPr>
          <w:p>
            <w:pPr>
              <w:spacing w:after="0"/>
            </w:pPr>
            <w:r/>
            <w:r>
              <w:rPr>
                <w:rFonts w:ascii="Aptos" w:hAnsi="Aptos"/>
                <w:b w:val="0"/>
                <w:sz w:val="16"/>
              </w:rPr>
              <w:t>Success KPIs</w:t>
            </w:r>
          </w:p>
        </w:tc>
        <w:tc>
          <w:tcPr>
            <w:tcW w:type="dxa" w:w="7344"/>
            <w:vAlign w:val="center"/>
          </w:tcPr>
          <w:p>
            <w:pPr>
              <w:spacing w:after="0"/>
            </w:pPr>
            <w:r/>
            <w:r>
              <w:rPr>
                <w:rFonts w:ascii="Aptos" w:hAnsi="Aptos"/>
                <w:b w:val="0"/>
                <w:sz w:val="16"/>
              </w:rPr>
              <w:t>task success, recovery success, force overshoot, grasp stability, tool-use completion, intervention rate</w:t>
            </w:r>
          </w:p>
        </w:tc>
      </w:tr>
      <w:tr>
        <w:tc>
          <w:tcPr>
            <w:tcW w:type="dxa" w:w="2232"/>
            <w:vAlign w:val="center"/>
          </w:tcPr>
          <w:p>
            <w:pPr>
              <w:spacing w:after="0"/>
            </w:pPr>
            <w:r/>
            <w:r>
              <w:rPr>
                <w:rFonts w:ascii="Aptos" w:hAnsi="Aptos"/>
                <w:b w:val="0"/>
                <w:sz w:val="16"/>
              </w:rPr>
              <w:t>Strategic moat</w:t>
            </w:r>
          </w:p>
        </w:tc>
        <w:tc>
          <w:tcPr>
            <w:tcW w:type="dxa" w:w="7344"/>
            <w:vAlign w:val="center"/>
          </w:tcPr>
          <w:p>
            <w:pPr>
              <w:spacing w:after="0"/>
            </w:pPr>
            <w:r/>
            <w:r>
              <w:rPr>
                <w:rFonts w:ascii="Aptos" w:hAnsi="Aptos"/>
                <w:b w:val="0"/>
                <w:sz w:val="16"/>
              </w:rPr>
              <w:t>Proprietary contact-rich datasets and physical correction data; intended to seed later generations of Motion and Autonomy products.</w:t>
            </w:r>
          </w:p>
        </w:tc>
      </w:tr>
    </w:tbl>
    <w:p>
      <w:pPr>
        <w:spacing w:after="40"/>
      </w:pPr>
    </w:p>
    <w:p>
      <w:pPr>
        <w:pStyle w:val="Heading3"/>
      </w:pPr>
      <w:r>
        <w:t>Deliverables</w:t>
      </w:r>
    </w:p>
    <w:p>
      <w:pPr>
        <w:pStyle w:val="ListBullet"/>
        <w:spacing w:after="40"/>
        <w:ind w:left="259"/>
      </w:pPr>
      <w:r>
        <w:t>Contact-state representation</w:t>
      </w:r>
    </w:p>
    <w:p>
      <w:pPr>
        <w:pStyle w:val="ListBullet"/>
        <w:spacing w:after="40"/>
        <w:ind w:left="259"/>
      </w:pPr>
      <w:r>
        <w:t>Force-aware policies</w:t>
      </w:r>
    </w:p>
    <w:p>
      <w:pPr>
        <w:pStyle w:val="ListBullet"/>
        <w:spacing w:after="40"/>
        <w:ind w:left="259"/>
      </w:pPr>
      <w:r>
        <w:t>Tool-use primitives</w:t>
      </w:r>
    </w:p>
    <w:p>
      <w:pPr>
        <w:pStyle w:val="ListBullet"/>
        <w:spacing w:after="40"/>
        <w:ind w:left="259"/>
      </w:pPr>
      <w:r>
        <w:t>Manipulation experiment framework</w:t>
      </w:r>
    </w:p>
    <w:p>
      <w:pPr>
        <w:pStyle w:val="ListBullet"/>
        <w:spacing w:after="40"/>
        <w:ind w:left="259"/>
      </w:pPr>
      <w:r>
        <w:t>Failure capture and replay</w:t>
      </w:r>
    </w:p>
    <w:p>
      <w:pPr>
        <w:pStyle w:val="ListBullet"/>
        <w:spacing w:after="40"/>
        <w:ind w:left="259"/>
      </w:pPr>
      <w:r>
        <w:t>Evaluation harness</w:t>
      </w:r>
    </w:p>
    <w:p>
      <w:pPr>
        <w:pStyle w:val="Heading3"/>
      </w:pPr>
      <w:r>
        <w:t>Standard add-ons</w:t>
      </w:r>
    </w:p>
    <w:p>
      <w:pPr>
        <w:pStyle w:val="ListBullet"/>
        <w:spacing w:after="40"/>
        <w:ind w:left="259"/>
      </w:pPr>
      <w:r>
        <w:t>Additional research sprint: €35,000</w:t>
      </w:r>
    </w:p>
    <w:p>
      <w:pPr>
        <w:pStyle w:val="ListBullet"/>
        <w:spacing w:after="40"/>
        <w:ind w:left="259"/>
      </w:pPr>
      <w:r>
        <w:t>On-site manipulation campaign: €60,000</w:t>
      </w:r>
    </w:p>
    <w:p>
      <w:pPr>
        <w:pStyle w:val="ListBullet"/>
        <w:spacing w:after="40"/>
        <w:ind w:left="259"/>
      </w:pPr>
      <w:r>
        <w:t>Exclusive field-of-use license: individually negotiated</w:t>
      </w:r>
    </w:p>
    <w:p>
      <w:pPr>
        <w:pStyle w:val="Heading3"/>
      </w:pPr>
      <w:r>
        <w:t>How the customer uses it</w:t>
      </w:r>
    </w:p>
    <w:p>
      <w:r>
        <w:t>Example: a strategic partner runs difficult grasping and tool-use experiments with force sensing, contact-state models and failure replay. Successful primitives can later migrate into Motion Stack releases.</w:t>
      </w:r>
    </w:p>
    <w:p>
      <w:pPr>
        <w:pStyle w:val="Heading1"/>
      </w:pPr>
      <w:r>
        <w:t>4. Service catalog</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448"/>
            <w:vAlign w:val="center"/>
            <w:shd w:fill="0B0D10"/>
          </w:tcPr>
          <w:p>
            <w:pPr>
              <w:spacing w:after="0"/>
            </w:pPr>
            <w:r/>
            <w:r>
              <w:rPr>
                <w:rFonts w:ascii="Aptos" w:hAnsi="Aptos"/>
                <w:b/>
                <w:color w:val="FFFFFF"/>
                <w:sz w:val="15"/>
              </w:rPr>
              <w:t>ID / service</w:t>
            </w:r>
          </w:p>
        </w:tc>
        <w:tc>
          <w:tcPr>
            <w:tcW w:type="dxa" w:w="2304"/>
            <w:vAlign w:val="center"/>
            <w:shd w:fill="0B0D10"/>
          </w:tcPr>
          <w:p>
            <w:pPr>
              <w:spacing w:after="0"/>
            </w:pPr>
            <w:r/>
            <w:r>
              <w:rPr>
                <w:rFonts w:ascii="Aptos" w:hAnsi="Aptos"/>
                <w:b/>
                <w:color w:val="FFFFFF"/>
                <w:sz w:val="15"/>
              </w:rPr>
              <w:t>List price</w:t>
            </w:r>
          </w:p>
        </w:tc>
        <w:tc>
          <w:tcPr>
            <w:tcW w:type="dxa" w:w="2448"/>
            <w:vAlign w:val="center"/>
            <w:shd w:fill="0B0D10"/>
          </w:tcPr>
          <w:p>
            <w:pPr>
              <w:spacing w:after="0"/>
            </w:pPr>
            <w:r/>
            <w:r>
              <w:rPr>
                <w:rFonts w:ascii="Aptos" w:hAnsi="Aptos"/>
                <w:b/>
                <w:color w:val="FFFFFF"/>
                <w:sz w:val="15"/>
              </w:rPr>
              <w:t>Direct cost</w:t>
            </w:r>
          </w:p>
        </w:tc>
        <w:tc>
          <w:tcPr>
            <w:tcW w:type="dxa" w:w="1440"/>
            <w:vAlign w:val="center"/>
            <w:shd w:fill="0B0D10"/>
          </w:tcPr>
          <w:p>
            <w:pPr>
              <w:spacing w:after="0"/>
            </w:pPr>
            <w:r/>
            <w:r>
              <w:rPr>
                <w:rFonts w:ascii="Aptos" w:hAnsi="Aptos"/>
                <w:b/>
                <w:color w:val="FFFFFF"/>
                <w:sz w:val="15"/>
              </w:rPr>
              <w:t>Gross margin</w:t>
            </w:r>
          </w:p>
        </w:tc>
        <w:tc>
          <w:tcPr>
            <w:tcW w:type="dxa" w:w="2160"/>
            <w:vAlign w:val="center"/>
            <w:shd w:fill="0B0D10"/>
          </w:tcPr>
          <w:p>
            <w:pPr>
              <w:spacing w:after="0"/>
            </w:pPr>
            <w:r/>
            <w:r>
              <w:rPr>
                <w:rFonts w:ascii="Aptos" w:hAnsi="Aptos"/>
                <w:b/>
                <w:color w:val="FFFFFF"/>
                <w:sz w:val="15"/>
              </w:rPr>
              <w:t>Delivery time</w:t>
            </w:r>
          </w:p>
        </w:tc>
      </w:tr>
      <w:tr>
        <w:tc>
          <w:tcPr>
            <w:tcW w:type="dxa" w:w="2448"/>
            <w:vAlign w:val="center"/>
          </w:tcPr>
          <w:p>
            <w:pPr>
              <w:spacing w:after="0"/>
            </w:pPr>
            <w:r/>
            <w:r>
              <w:rPr>
                <w:rFonts w:ascii="Aptos" w:hAnsi="Aptos"/>
                <w:b w:val="0"/>
                <w:sz w:val="15"/>
              </w:rPr>
              <w:t>SRV-001 · Discovery &amp; System Architecture</w:t>
            </w:r>
          </w:p>
        </w:tc>
        <w:tc>
          <w:tcPr>
            <w:tcW w:type="dxa" w:w="2304"/>
            <w:vAlign w:val="center"/>
          </w:tcPr>
          <w:p>
            <w:pPr>
              <w:spacing w:after="0"/>
            </w:pPr>
            <w:r/>
            <w:r>
              <w:rPr>
                <w:rFonts w:ascii="Aptos" w:hAnsi="Aptos"/>
                <w:b w:val="0"/>
                <w:sz w:val="15"/>
              </w:rPr>
              <w:t>€35,000 / project</w:t>
            </w:r>
          </w:p>
        </w:tc>
        <w:tc>
          <w:tcPr>
            <w:tcW w:type="dxa" w:w="2448"/>
            <w:vAlign w:val="center"/>
          </w:tcPr>
          <w:p>
            <w:pPr>
              <w:spacing w:after="0"/>
            </w:pPr>
            <w:r/>
            <w:r>
              <w:rPr>
                <w:rFonts w:ascii="Aptos" w:hAnsi="Aptos"/>
                <w:b w:val="0"/>
                <w:sz w:val="15"/>
              </w:rPr>
              <w:t>€18,000 direct delivery cost</w:t>
            </w:r>
          </w:p>
        </w:tc>
        <w:tc>
          <w:tcPr>
            <w:tcW w:type="dxa" w:w="1440"/>
            <w:vAlign w:val="center"/>
          </w:tcPr>
          <w:p>
            <w:pPr>
              <w:spacing w:after="0"/>
            </w:pPr>
            <w:r/>
            <w:r>
              <w:rPr>
                <w:rFonts w:ascii="Aptos" w:hAnsi="Aptos"/>
                <w:b w:val="0"/>
                <w:sz w:val="15"/>
              </w:rPr>
              <w:t>48.6% gross</w:t>
            </w:r>
          </w:p>
        </w:tc>
        <w:tc>
          <w:tcPr>
            <w:tcW w:type="dxa" w:w="2160"/>
            <w:vAlign w:val="center"/>
          </w:tcPr>
          <w:p>
            <w:pPr>
              <w:spacing w:after="0"/>
            </w:pPr>
            <w:r/>
            <w:r>
              <w:rPr>
                <w:rFonts w:ascii="Aptos" w:hAnsi="Aptos"/>
                <w:b w:val="0"/>
                <w:sz w:val="15"/>
              </w:rPr>
              <w:t>10 business days</w:t>
            </w:r>
          </w:p>
        </w:tc>
      </w:tr>
      <w:tr>
        <w:tc>
          <w:tcPr>
            <w:tcW w:type="dxa" w:w="2448"/>
            <w:vAlign w:val="center"/>
          </w:tcPr>
          <w:p>
            <w:pPr>
              <w:spacing w:after="0"/>
            </w:pPr>
            <w:r/>
            <w:r>
              <w:rPr>
                <w:rFonts w:ascii="Aptos" w:hAnsi="Aptos"/>
                <w:b w:val="0"/>
                <w:sz w:val="15"/>
              </w:rPr>
              <w:t>SRV-002 · Deployment &amp; Integration</w:t>
            </w:r>
          </w:p>
        </w:tc>
        <w:tc>
          <w:tcPr>
            <w:tcW w:type="dxa" w:w="2304"/>
            <w:vAlign w:val="center"/>
          </w:tcPr>
          <w:p>
            <w:pPr>
              <w:spacing w:after="0"/>
            </w:pPr>
            <w:r/>
            <w:r>
              <w:rPr>
                <w:rFonts w:ascii="Aptos" w:hAnsi="Aptos"/>
                <w:b w:val="0"/>
                <w:sz w:val="15"/>
              </w:rPr>
              <w:t>€120,000 / standard cell project</w:t>
            </w:r>
          </w:p>
        </w:tc>
        <w:tc>
          <w:tcPr>
            <w:tcW w:type="dxa" w:w="2448"/>
            <w:vAlign w:val="center"/>
          </w:tcPr>
          <w:p>
            <w:pPr>
              <w:spacing w:after="0"/>
            </w:pPr>
            <w:r/>
            <w:r>
              <w:rPr>
                <w:rFonts w:ascii="Aptos" w:hAnsi="Aptos"/>
                <w:b w:val="0"/>
                <w:sz w:val="15"/>
              </w:rPr>
              <w:t>€72,000 direct delivery cost, excluding customer hardware purchased on behalf of client</w:t>
            </w:r>
          </w:p>
        </w:tc>
        <w:tc>
          <w:tcPr>
            <w:tcW w:type="dxa" w:w="1440"/>
            <w:vAlign w:val="center"/>
          </w:tcPr>
          <w:p>
            <w:pPr>
              <w:spacing w:after="0"/>
            </w:pPr>
            <w:r/>
            <w:r>
              <w:rPr>
                <w:rFonts w:ascii="Aptos" w:hAnsi="Aptos"/>
                <w:b w:val="0"/>
                <w:sz w:val="15"/>
              </w:rPr>
              <w:t>40.0% gross</w:t>
            </w:r>
          </w:p>
        </w:tc>
        <w:tc>
          <w:tcPr>
            <w:tcW w:type="dxa" w:w="2160"/>
            <w:vAlign w:val="center"/>
          </w:tcPr>
          <w:p>
            <w:pPr>
              <w:spacing w:after="0"/>
            </w:pPr>
            <w:r/>
            <w:r>
              <w:rPr>
                <w:rFonts w:ascii="Aptos" w:hAnsi="Aptos"/>
                <w:b w:val="0"/>
                <w:sz w:val="15"/>
              </w:rPr>
              <w:t>6–12 weeks</w:t>
            </w:r>
          </w:p>
        </w:tc>
      </w:tr>
      <w:tr>
        <w:tc>
          <w:tcPr>
            <w:tcW w:type="dxa" w:w="2448"/>
            <w:vAlign w:val="center"/>
          </w:tcPr>
          <w:p>
            <w:pPr>
              <w:spacing w:after="0"/>
            </w:pPr>
            <w:r/>
            <w:r>
              <w:rPr>
                <w:rFonts w:ascii="Aptos" w:hAnsi="Aptos"/>
                <w:b w:val="0"/>
                <w:sz w:val="15"/>
              </w:rPr>
              <w:t>SRV-003 · Robotics Engineering</w:t>
            </w:r>
          </w:p>
        </w:tc>
        <w:tc>
          <w:tcPr>
            <w:tcW w:type="dxa" w:w="2304"/>
            <w:vAlign w:val="center"/>
          </w:tcPr>
          <w:p>
            <w:pPr>
              <w:spacing w:after="0"/>
            </w:pPr>
            <w:r/>
            <w:r>
              <w:rPr>
                <w:rFonts w:ascii="Aptos" w:hAnsi="Aptos"/>
                <w:b w:val="0"/>
                <w:sz w:val="15"/>
              </w:rPr>
              <w:t>€25,000 / 20-engineer-day block</w:t>
            </w:r>
          </w:p>
        </w:tc>
        <w:tc>
          <w:tcPr>
            <w:tcW w:type="dxa" w:w="2448"/>
            <w:vAlign w:val="center"/>
          </w:tcPr>
          <w:p>
            <w:pPr>
              <w:spacing w:after="0"/>
            </w:pPr>
            <w:r/>
            <w:r>
              <w:rPr>
                <w:rFonts w:ascii="Aptos" w:hAnsi="Aptos"/>
                <w:b w:val="0"/>
                <w:sz w:val="15"/>
              </w:rPr>
              <w:t>€18,500 direct engineering delivery cost</w:t>
            </w:r>
          </w:p>
        </w:tc>
        <w:tc>
          <w:tcPr>
            <w:tcW w:type="dxa" w:w="1440"/>
            <w:vAlign w:val="center"/>
          </w:tcPr>
          <w:p>
            <w:pPr>
              <w:spacing w:after="0"/>
            </w:pPr>
            <w:r/>
            <w:r>
              <w:rPr>
                <w:rFonts w:ascii="Aptos" w:hAnsi="Aptos"/>
                <w:b w:val="0"/>
                <w:sz w:val="15"/>
              </w:rPr>
              <w:t>26.0% gross</w:t>
            </w:r>
          </w:p>
        </w:tc>
        <w:tc>
          <w:tcPr>
            <w:tcW w:type="dxa" w:w="2160"/>
            <w:vAlign w:val="center"/>
          </w:tcPr>
          <w:p>
            <w:pPr>
              <w:spacing w:after="0"/>
            </w:pPr>
            <w:r/>
            <w:r>
              <w:rPr>
                <w:rFonts w:ascii="Aptos" w:hAnsi="Aptos"/>
                <w:b w:val="0"/>
                <w:sz w:val="15"/>
              </w:rPr>
              <w:t>Scheduled by engineering capacity</w:t>
            </w:r>
          </w:p>
        </w:tc>
      </w:tr>
      <w:tr>
        <w:tc>
          <w:tcPr>
            <w:tcW w:type="dxa" w:w="2448"/>
            <w:vAlign w:val="center"/>
          </w:tcPr>
          <w:p>
            <w:pPr>
              <w:spacing w:after="0"/>
            </w:pPr>
            <w:r/>
            <w:r>
              <w:rPr>
                <w:rFonts w:ascii="Aptos" w:hAnsi="Aptos"/>
                <w:b w:val="0"/>
                <w:sz w:val="15"/>
              </w:rPr>
              <w:t>SRV-004 · Data &amp; Fleet Operations</w:t>
            </w:r>
          </w:p>
        </w:tc>
        <w:tc>
          <w:tcPr>
            <w:tcW w:type="dxa" w:w="2304"/>
            <w:vAlign w:val="center"/>
          </w:tcPr>
          <w:p>
            <w:pPr>
              <w:spacing w:after="0"/>
            </w:pPr>
            <w:r/>
            <w:r>
              <w:rPr>
                <w:rFonts w:ascii="Aptos" w:hAnsi="Aptos"/>
                <w:b w:val="0"/>
                <w:sz w:val="15"/>
              </w:rPr>
              <w:t>€85,000 / site / year</w:t>
            </w:r>
          </w:p>
        </w:tc>
        <w:tc>
          <w:tcPr>
            <w:tcW w:type="dxa" w:w="2448"/>
            <w:vAlign w:val="center"/>
          </w:tcPr>
          <w:p>
            <w:pPr>
              <w:spacing w:after="0"/>
            </w:pPr>
            <w:r/>
            <w:r>
              <w:rPr>
                <w:rFonts w:ascii="Aptos" w:hAnsi="Aptos"/>
                <w:b w:val="0"/>
                <w:sz w:val="15"/>
              </w:rPr>
              <w:t>€42,000 direct delivery cost</w:t>
            </w:r>
          </w:p>
        </w:tc>
        <w:tc>
          <w:tcPr>
            <w:tcW w:type="dxa" w:w="1440"/>
            <w:vAlign w:val="center"/>
          </w:tcPr>
          <w:p>
            <w:pPr>
              <w:spacing w:after="0"/>
            </w:pPr>
            <w:r/>
            <w:r>
              <w:rPr>
                <w:rFonts w:ascii="Aptos" w:hAnsi="Aptos"/>
                <w:b w:val="0"/>
                <w:sz w:val="15"/>
              </w:rPr>
              <w:t>50.6% gross</w:t>
            </w:r>
          </w:p>
        </w:tc>
        <w:tc>
          <w:tcPr>
            <w:tcW w:type="dxa" w:w="2160"/>
            <w:vAlign w:val="center"/>
          </w:tcPr>
          <w:p>
            <w:pPr>
              <w:spacing w:after="0"/>
            </w:pPr>
            <w:r/>
            <w:r>
              <w:rPr>
                <w:rFonts w:ascii="Aptos" w:hAnsi="Aptos"/>
                <w:b w:val="0"/>
                <w:sz w:val="15"/>
              </w:rPr>
              <w:t>12-month recurring contract</w:t>
            </w:r>
          </w:p>
        </w:tc>
      </w:tr>
      <w:tr>
        <w:tc>
          <w:tcPr>
            <w:tcW w:type="dxa" w:w="2448"/>
            <w:vAlign w:val="center"/>
          </w:tcPr>
          <w:p>
            <w:pPr>
              <w:spacing w:after="0"/>
            </w:pPr>
            <w:r/>
            <w:r>
              <w:rPr>
                <w:rFonts w:ascii="Aptos" w:hAnsi="Aptos"/>
                <w:b w:val="0"/>
                <w:sz w:val="15"/>
              </w:rPr>
              <w:t>SRV-005 · Support &amp; Lifecycle</w:t>
            </w:r>
          </w:p>
        </w:tc>
        <w:tc>
          <w:tcPr>
            <w:tcW w:type="dxa" w:w="2304"/>
            <w:vAlign w:val="center"/>
          </w:tcPr>
          <w:p>
            <w:pPr>
              <w:spacing w:after="0"/>
            </w:pPr>
            <w:r/>
            <w:r>
              <w:rPr>
                <w:rFonts w:ascii="Aptos" w:hAnsi="Aptos"/>
                <w:b w:val="0"/>
                <w:sz w:val="15"/>
              </w:rPr>
              <w:t>Bronze €36,000; Silver €72,000; Gold €120,000 / site / year</w:t>
            </w:r>
          </w:p>
        </w:tc>
        <w:tc>
          <w:tcPr>
            <w:tcW w:type="dxa" w:w="2448"/>
            <w:vAlign w:val="center"/>
          </w:tcPr>
          <w:p>
            <w:pPr>
              <w:spacing w:after="0"/>
            </w:pPr>
            <w:r/>
            <w:r>
              <w:rPr>
                <w:rFonts w:ascii="Aptos" w:hAnsi="Aptos"/>
                <w:b w:val="0"/>
                <w:sz w:val="15"/>
              </w:rPr>
              <w:t>Bronze €15,000; Silver €31,000; Gold €52,000 direct cost</w:t>
            </w:r>
          </w:p>
        </w:tc>
        <w:tc>
          <w:tcPr>
            <w:tcW w:type="dxa" w:w="1440"/>
            <w:vAlign w:val="center"/>
          </w:tcPr>
          <w:p>
            <w:pPr>
              <w:spacing w:after="0"/>
            </w:pPr>
            <w:r/>
            <w:r>
              <w:rPr>
                <w:rFonts w:ascii="Aptos" w:hAnsi="Aptos"/>
                <w:b w:val="0"/>
                <w:sz w:val="15"/>
              </w:rPr>
              <w:t>58.3% / 56.9% / 56.7% gross</w:t>
            </w:r>
          </w:p>
        </w:tc>
        <w:tc>
          <w:tcPr>
            <w:tcW w:type="dxa" w:w="2160"/>
            <w:vAlign w:val="center"/>
          </w:tcPr>
          <w:p>
            <w:pPr>
              <w:spacing w:after="0"/>
            </w:pPr>
            <w:r/>
            <w:r>
              <w:rPr>
                <w:rFonts w:ascii="Aptos" w:hAnsi="Aptos"/>
                <w:b w:val="0"/>
                <w:sz w:val="15"/>
              </w:rPr>
              <w:t>12-month recurring contract</w:t>
            </w:r>
          </w:p>
        </w:tc>
      </w:tr>
      <w:tr>
        <w:tc>
          <w:tcPr>
            <w:tcW w:type="dxa" w:w="2448"/>
            <w:vAlign w:val="center"/>
          </w:tcPr>
          <w:p>
            <w:pPr>
              <w:spacing w:after="0"/>
            </w:pPr>
            <w:r/>
            <w:r>
              <w:rPr>
                <w:rFonts w:ascii="Aptos" w:hAnsi="Aptos"/>
                <w:b w:val="0"/>
                <w:sz w:val="15"/>
              </w:rPr>
              <w:t>SRV-006 · OEM / IP Licensing</w:t>
            </w:r>
          </w:p>
        </w:tc>
        <w:tc>
          <w:tcPr>
            <w:tcW w:type="dxa" w:w="2304"/>
            <w:vAlign w:val="center"/>
          </w:tcPr>
          <w:p>
            <w:pPr>
              <w:spacing w:after="0"/>
            </w:pPr>
            <w:r/>
            <w:r>
              <w:rPr>
                <w:rFonts w:ascii="Aptos" w:hAnsi="Aptos"/>
                <w:b w:val="0"/>
                <w:sz w:val="15"/>
              </w:rPr>
              <w:t>€250,000 upfront field-of-use license + 6.0% royalty on defined licensee net sales; minimum annual royalty €100,000</w:t>
            </w:r>
          </w:p>
        </w:tc>
        <w:tc>
          <w:tcPr>
            <w:tcW w:type="dxa" w:w="2448"/>
            <w:vAlign w:val="center"/>
          </w:tcPr>
          <w:p>
            <w:pPr>
              <w:spacing w:after="0"/>
            </w:pPr>
            <w:r/>
            <w:r>
              <w:rPr>
                <w:rFonts w:ascii="Aptos" w:hAnsi="Aptos"/>
                <w:b w:val="0"/>
                <w:sz w:val="15"/>
              </w:rPr>
              <w:t>€20,000 average legal / enablement cost for standard agreement</w:t>
            </w:r>
          </w:p>
        </w:tc>
        <w:tc>
          <w:tcPr>
            <w:tcW w:type="dxa" w:w="1440"/>
            <w:vAlign w:val="center"/>
          </w:tcPr>
          <w:p>
            <w:pPr>
              <w:spacing w:after="0"/>
            </w:pPr>
            <w:r/>
            <w:r>
              <w:rPr>
                <w:rFonts w:ascii="Aptos" w:hAnsi="Aptos"/>
                <w:b w:val="0"/>
                <w:sz w:val="15"/>
              </w:rPr>
              <w:t>Primarily IP-margin economics; highly variable</w:t>
            </w:r>
          </w:p>
        </w:tc>
        <w:tc>
          <w:tcPr>
            <w:tcW w:type="dxa" w:w="2160"/>
            <w:vAlign w:val="center"/>
          </w:tcPr>
          <w:p>
            <w:pPr>
              <w:spacing w:after="0"/>
            </w:pPr>
            <w:r/>
            <w:r>
              <w:rPr>
                <w:rFonts w:ascii="Aptos" w:hAnsi="Aptos"/>
                <w:b w:val="0"/>
                <w:sz w:val="15"/>
              </w:rPr>
              <w:t>3–9 months negotiation / qualification</w:t>
            </w:r>
          </w:p>
        </w:tc>
      </w:tr>
    </w:tbl>
    <w:p>
      <w:pPr>
        <w:spacing w:after="40"/>
      </w:pPr>
    </w:p>
    <w:p>
      <w:pPr>
        <w:pStyle w:val="Heading2"/>
      </w:pPr>
      <w:r>
        <w:t>SRV-001 · Discovery &amp; System Architecture</w:t>
      </w:r>
    </w:p>
    <w:p>
      <w:r>
        <w:t>Process mapping, site audit, sensor/robot inventory, target KPI definition, deployment architecture and ROI baseline.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B0D10"/>
          </w:tcPr>
          <w:p>
            <w:pPr>
              <w:spacing w:after="0"/>
            </w:pPr>
            <w:r/>
            <w:r>
              <w:rPr>
                <w:rFonts w:ascii="Aptos" w:hAnsi="Aptos"/>
                <w:b/>
                <w:color w:val="FFFFFF"/>
                <w:sz w:val="16"/>
              </w:rPr>
              <w:t>Field</w:t>
            </w:r>
          </w:p>
        </w:tc>
        <w:tc>
          <w:tcPr>
            <w:tcW w:type="dxa" w:w="6624"/>
            <w:vAlign w:val="center"/>
            <w:shd w:fill="0B0D10"/>
          </w:tcPr>
          <w:p>
            <w:pPr>
              <w:spacing w:after="0"/>
            </w:pPr>
            <w:r/>
            <w:r>
              <w:rPr>
                <w:rFonts w:ascii="Aptos" w:hAnsi="Aptos"/>
                <w:b/>
                <w:color w:val="FFFFFF"/>
                <w:sz w:val="16"/>
              </w:rPr>
              <w:t>Canonical rule</w:t>
            </w:r>
          </w:p>
        </w:tc>
      </w:tr>
      <w:tr>
        <w:tc>
          <w:tcPr>
            <w:tcW w:type="dxa" w:w="2448"/>
            <w:vAlign w:val="center"/>
          </w:tcPr>
          <w:p>
            <w:pPr>
              <w:spacing w:after="0"/>
            </w:pPr>
            <w:r/>
            <w:r>
              <w:rPr>
                <w:rFonts w:ascii="Aptos" w:hAnsi="Aptos"/>
                <w:b w:val="0"/>
                <w:sz w:val="16"/>
              </w:rPr>
              <w:t>Price</w:t>
            </w:r>
          </w:p>
        </w:tc>
        <w:tc>
          <w:tcPr>
            <w:tcW w:type="dxa" w:w="6624"/>
            <w:vAlign w:val="center"/>
          </w:tcPr>
          <w:p>
            <w:pPr>
              <w:spacing w:after="0"/>
            </w:pPr>
            <w:r/>
            <w:r>
              <w:rPr>
                <w:rFonts w:ascii="Aptos" w:hAnsi="Aptos"/>
                <w:b w:val="0"/>
                <w:sz w:val="16"/>
              </w:rPr>
              <w:t>€35,000 / project</w:t>
            </w:r>
          </w:p>
        </w:tc>
      </w:tr>
      <w:tr>
        <w:tc>
          <w:tcPr>
            <w:tcW w:type="dxa" w:w="2448"/>
            <w:vAlign w:val="center"/>
          </w:tcPr>
          <w:p>
            <w:pPr>
              <w:spacing w:after="0"/>
            </w:pPr>
            <w:r/>
            <w:r>
              <w:rPr>
                <w:rFonts w:ascii="Aptos" w:hAnsi="Aptos"/>
                <w:b w:val="0"/>
                <w:sz w:val="16"/>
              </w:rPr>
              <w:t>Direct delivery economics</w:t>
            </w:r>
          </w:p>
        </w:tc>
        <w:tc>
          <w:tcPr>
            <w:tcW w:type="dxa" w:w="6624"/>
            <w:vAlign w:val="center"/>
          </w:tcPr>
          <w:p>
            <w:pPr>
              <w:spacing w:after="0"/>
            </w:pPr>
            <w:r/>
            <w:r>
              <w:rPr>
                <w:rFonts w:ascii="Aptos" w:hAnsi="Aptos"/>
                <w:b w:val="0"/>
                <w:sz w:val="16"/>
              </w:rPr>
              <w:t>€18,000 direct delivery cost</w:t>
            </w:r>
          </w:p>
        </w:tc>
      </w:tr>
      <w:tr>
        <w:tc>
          <w:tcPr>
            <w:tcW w:type="dxa" w:w="2448"/>
            <w:vAlign w:val="center"/>
          </w:tcPr>
          <w:p>
            <w:pPr>
              <w:spacing w:after="0"/>
            </w:pPr>
            <w:r/>
            <w:r>
              <w:rPr>
                <w:rFonts w:ascii="Aptos" w:hAnsi="Aptos"/>
                <w:b w:val="0"/>
                <w:sz w:val="16"/>
              </w:rPr>
              <w:t>Gross margin</w:t>
            </w:r>
          </w:p>
        </w:tc>
        <w:tc>
          <w:tcPr>
            <w:tcW w:type="dxa" w:w="6624"/>
            <w:vAlign w:val="center"/>
          </w:tcPr>
          <w:p>
            <w:pPr>
              <w:spacing w:after="0"/>
            </w:pPr>
            <w:r/>
            <w:r>
              <w:rPr>
                <w:rFonts w:ascii="Aptos" w:hAnsi="Aptos"/>
                <w:b w:val="0"/>
                <w:sz w:val="16"/>
              </w:rPr>
              <w:t>48.6% gross</w:t>
            </w:r>
          </w:p>
        </w:tc>
      </w:tr>
      <w:tr>
        <w:tc>
          <w:tcPr>
            <w:tcW w:type="dxa" w:w="2448"/>
            <w:vAlign w:val="center"/>
          </w:tcPr>
          <w:p>
            <w:pPr>
              <w:spacing w:after="0"/>
            </w:pPr>
            <w:r/>
            <w:r>
              <w:rPr>
                <w:rFonts w:ascii="Aptos" w:hAnsi="Aptos"/>
                <w:b w:val="0"/>
                <w:sz w:val="16"/>
              </w:rPr>
              <w:t>Cycle</w:t>
            </w:r>
          </w:p>
        </w:tc>
        <w:tc>
          <w:tcPr>
            <w:tcW w:type="dxa" w:w="6624"/>
            <w:vAlign w:val="center"/>
          </w:tcPr>
          <w:p>
            <w:pPr>
              <w:spacing w:after="0"/>
            </w:pPr>
            <w:r/>
            <w:r>
              <w:rPr>
                <w:rFonts w:ascii="Aptos" w:hAnsi="Aptos"/>
                <w:b w:val="0"/>
                <w:sz w:val="16"/>
              </w:rPr>
              <w:t>10 business days</w:t>
            </w:r>
          </w:p>
        </w:tc>
      </w:tr>
    </w:tbl>
    <w:p>
      <w:pPr>
        <w:spacing w:after="40"/>
      </w:pPr>
    </w:p>
    <w:p>
      <w:pPr>
        <w:pStyle w:val="Heading2"/>
      </w:pPr>
      <w:r>
        <w:t>SRV-002 · Deployment &amp; Integration</w:t>
      </w:r>
    </w:p>
    <w:p>
      <w:r>
        <w:t>Install software stack, connect PLC/robot/sensor interfaces, calibrate, validate production workflows and commission the system.</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B0D10"/>
          </w:tcPr>
          <w:p>
            <w:pPr>
              <w:spacing w:after="0"/>
            </w:pPr>
            <w:r/>
            <w:r>
              <w:rPr>
                <w:rFonts w:ascii="Aptos" w:hAnsi="Aptos"/>
                <w:b/>
                <w:color w:val="FFFFFF"/>
                <w:sz w:val="16"/>
              </w:rPr>
              <w:t>Field</w:t>
            </w:r>
          </w:p>
        </w:tc>
        <w:tc>
          <w:tcPr>
            <w:tcW w:type="dxa" w:w="6624"/>
            <w:vAlign w:val="center"/>
            <w:shd w:fill="0B0D10"/>
          </w:tcPr>
          <w:p>
            <w:pPr>
              <w:spacing w:after="0"/>
            </w:pPr>
            <w:r/>
            <w:r>
              <w:rPr>
                <w:rFonts w:ascii="Aptos" w:hAnsi="Aptos"/>
                <w:b/>
                <w:color w:val="FFFFFF"/>
                <w:sz w:val="16"/>
              </w:rPr>
              <w:t>Canonical rule</w:t>
            </w:r>
          </w:p>
        </w:tc>
      </w:tr>
      <w:tr>
        <w:tc>
          <w:tcPr>
            <w:tcW w:type="dxa" w:w="2448"/>
            <w:vAlign w:val="center"/>
          </w:tcPr>
          <w:p>
            <w:pPr>
              <w:spacing w:after="0"/>
            </w:pPr>
            <w:r/>
            <w:r>
              <w:rPr>
                <w:rFonts w:ascii="Aptos" w:hAnsi="Aptos"/>
                <w:b w:val="0"/>
                <w:sz w:val="16"/>
              </w:rPr>
              <w:t>Price</w:t>
            </w:r>
          </w:p>
        </w:tc>
        <w:tc>
          <w:tcPr>
            <w:tcW w:type="dxa" w:w="6624"/>
            <w:vAlign w:val="center"/>
          </w:tcPr>
          <w:p>
            <w:pPr>
              <w:spacing w:after="0"/>
            </w:pPr>
            <w:r/>
            <w:r>
              <w:rPr>
                <w:rFonts w:ascii="Aptos" w:hAnsi="Aptos"/>
                <w:b w:val="0"/>
                <w:sz w:val="16"/>
              </w:rPr>
              <w:t>€120,000 / standard cell project</w:t>
            </w:r>
          </w:p>
        </w:tc>
      </w:tr>
      <w:tr>
        <w:tc>
          <w:tcPr>
            <w:tcW w:type="dxa" w:w="2448"/>
            <w:vAlign w:val="center"/>
          </w:tcPr>
          <w:p>
            <w:pPr>
              <w:spacing w:after="0"/>
            </w:pPr>
            <w:r/>
            <w:r>
              <w:rPr>
                <w:rFonts w:ascii="Aptos" w:hAnsi="Aptos"/>
                <w:b w:val="0"/>
                <w:sz w:val="16"/>
              </w:rPr>
              <w:t>Direct delivery economics</w:t>
            </w:r>
          </w:p>
        </w:tc>
        <w:tc>
          <w:tcPr>
            <w:tcW w:type="dxa" w:w="6624"/>
            <w:vAlign w:val="center"/>
          </w:tcPr>
          <w:p>
            <w:pPr>
              <w:spacing w:after="0"/>
            </w:pPr>
            <w:r/>
            <w:r>
              <w:rPr>
                <w:rFonts w:ascii="Aptos" w:hAnsi="Aptos"/>
                <w:b w:val="0"/>
                <w:sz w:val="16"/>
              </w:rPr>
              <w:t>€72,000 direct delivery cost, excluding customer hardware purchased on behalf of client</w:t>
            </w:r>
          </w:p>
        </w:tc>
      </w:tr>
      <w:tr>
        <w:tc>
          <w:tcPr>
            <w:tcW w:type="dxa" w:w="2448"/>
            <w:vAlign w:val="center"/>
          </w:tcPr>
          <w:p>
            <w:pPr>
              <w:spacing w:after="0"/>
            </w:pPr>
            <w:r/>
            <w:r>
              <w:rPr>
                <w:rFonts w:ascii="Aptos" w:hAnsi="Aptos"/>
                <w:b w:val="0"/>
                <w:sz w:val="16"/>
              </w:rPr>
              <w:t>Gross margin</w:t>
            </w:r>
          </w:p>
        </w:tc>
        <w:tc>
          <w:tcPr>
            <w:tcW w:type="dxa" w:w="6624"/>
            <w:vAlign w:val="center"/>
          </w:tcPr>
          <w:p>
            <w:pPr>
              <w:spacing w:after="0"/>
            </w:pPr>
            <w:r/>
            <w:r>
              <w:rPr>
                <w:rFonts w:ascii="Aptos" w:hAnsi="Aptos"/>
                <w:b w:val="0"/>
                <w:sz w:val="16"/>
              </w:rPr>
              <w:t>40.0% gross</w:t>
            </w:r>
          </w:p>
        </w:tc>
      </w:tr>
      <w:tr>
        <w:tc>
          <w:tcPr>
            <w:tcW w:type="dxa" w:w="2448"/>
            <w:vAlign w:val="center"/>
          </w:tcPr>
          <w:p>
            <w:pPr>
              <w:spacing w:after="0"/>
            </w:pPr>
            <w:r/>
            <w:r>
              <w:rPr>
                <w:rFonts w:ascii="Aptos" w:hAnsi="Aptos"/>
                <w:b w:val="0"/>
                <w:sz w:val="16"/>
              </w:rPr>
              <w:t>Cycle</w:t>
            </w:r>
          </w:p>
        </w:tc>
        <w:tc>
          <w:tcPr>
            <w:tcW w:type="dxa" w:w="6624"/>
            <w:vAlign w:val="center"/>
          </w:tcPr>
          <w:p>
            <w:pPr>
              <w:spacing w:after="0"/>
            </w:pPr>
            <w:r/>
            <w:r>
              <w:rPr>
                <w:rFonts w:ascii="Aptos" w:hAnsi="Aptos"/>
                <w:b w:val="0"/>
                <w:sz w:val="16"/>
              </w:rPr>
              <w:t>6–12 weeks</w:t>
            </w:r>
          </w:p>
        </w:tc>
      </w:tr>
    </w:tbl>
    <w:p>
      <w:pPr>
        <w:spacing w:after="40"/>
      </w:pPr>
    </w:p>
    <w:p>
      <w:pPr>
        <w:pStyle w:val="Heading2"/>
      </w:pPr>
      <w:r>
        <w:t>SRV-003 · Robotics Engineering</w:t>
      </w:r>
    </w:p>
    <w:p>
      <w:r>
        <w:t>Custom robot-cell engineering, mechanical/electrical interfaces, controls, fixtures, end-effector integration, test and recovery work.</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B0D10"/>
          </w:tcPr>
          <w:p>
            <w:pPr>
              <w:spacing w:after="0"/>
            </w:pPr>
            <w:r/>
            <w:r>
              <w:rPr>
                <w:rFonts w:ascii="Aptos" w:hAnsi="Aptos"/>
                <w:b/>
                <w:color w:val="FFFFFF"/>
                <w:sz w:val="16"/>
              </w:rPr>
              <w:t>Field</w:t>
            </w:r>
          </w:p>
        </w:tc>
        <w:tc>
          <w:tcPr>
            <w:tcW w:type="dxa" w:w="6624"/>
            <w:vAlign w:val="center"/>
            <w:shd w:fill="0B0D10"/>
          </w:tcPr>
          <w:p>
            <w:pPr>
              <w:spacing w:after="0"/>
            </w:pPr>
            <w:r/>
            <w:r>
              <w:rPr>
                <w:rFonts w:ascii="Aptos" w:hAnsi="Aptos"/>
                <w:b/>
                <w:color w:val="FFFFFF"/>
                <w:sz w:val="16"/>
              </w:rPr>
              <w:t>Canonical rule</w:t>
            </w:r>
          </w:p>
        </w:tc>
      </w:tr>
      <w:tr>
        <w:tc>
          <w:tcPr>
            <w:tcW w:type="dxa" w:w="2448"/>
            <w:vAlign w:val="center"/>
          </w:tcPr>
          <w:p>
            <w:pPr>
              <w:spacing w:after="0"/>
            </w:pPr>
            <w:r/>
            <w:r>
              <w:rPr>
                <w:rFonts w:ascii="Aptos" w:hAnsi="Aptos"/>
                <w:b w:val="0"/>
                <w:sz w:val="16"/>
              </w:rPr>
              <w:t>Price</w:t>
            </w:r>
          </w:p>
        </w:tc>
        <w:tc>
          <w:tcPr>
            <w:tcW w:type="dxa" w:w="6624"/>
            <w:vAlign w:val="center"/>
          </w:tcPr>
          <w:p>
            <w:pPr>
              <w:spacing w:after="0"/>
            </w:pPr>
            <w:r/>
            <w:r>
              <w:rPr>
                <w:rFonts w:ascii="Aptos" w:hAnsi="Aptos"/>
                <w:b w:val="0"/>
                <w:sz w:val="16"/>
              </w:rPr>
              <w:t>€25,000 / 20-engineer-day block</w:t>
            </w:r>
          </w:p>
        </w:tc>
      </w:tr>
      <w:tr>
        <w:tc>
          <w:tcPr>
            <w:tcW w:type="dxa" w:w="2448"/>
            <w:vAlign w:val="center"/>
          </w:tcPr>
          <w:p>
            <w:pPr>
              <w:spacing w:after="0"/>
            </w:pPr>
            <w:r/>
            <w:r>
              <w:rPr>
                <w:rFonts w:ascii="Aptos" w:hAnsi="Aptos"/>
                <w:b w:val="0"/>
                <w:sz w:val="16"/>
              </w:rPr>
              <w:t>Direct delivery economics</w:t>
            </w:r>
          </w:p>
        </w:tc>
        <w:tc>
          <w:tcPr>
            <w:tcW w:type="dxa" w:w="6624"/>
            <w:vAlign w:val="center"/>
          </w:tcPr>
          <w:p>
            <w:pPr>
              <w:spacing w:after="0"/>
            </w:pPr>
            <w:r/>
            <w:r>
              <w:rPr>
                <w:rFonts w:ascii="Aptos" w:hAnsi="Aptos"/>
                <w:b w:val="0"/>
                <w:sz w:val="16"/>
              </w:rPr>
              <w:t>€18,500 direct engineering delivery cost</w:t>
            </w:r>
          </w:p>
        </w:tc>
      </w:tr>
      <w:tr>
        <w:tc>
          <w:tcPr>
            <w:tcW w:type="dxa" w:w="2448"/>
            <w:vAlign w:val="center"/>
          </w:tcPr>
          <w:p>
            <w:pPr>
              <w:spacing w:after="0"/>
            </w:pPr>
            <w:r/>
            <w:r>
              <w:rPr>
                <w:rFonts w:ascii="Aptos" w:hAnsi="Aptos"/>
                <w:b w:val="0"/>
                <w:sz w:val="16"/>
              </w:rPr>
              <w:t>Gross margin</w:t>
            </w:r>
          </w:p>
        </w:tc>
        <w:tc>
          <w:tcPr>
            <w:tcW w:type="dxa" w:w="6624"/>
            <w:vAlign w:val="center"/>
          </w:tcPr>
          <w:p>
            <w:pPr>
              <w:spacing w:after="0"/>
            </w:pPr>
            <w:r/>
            <w:r>
              <w:rPr>
                <w:rFonts w:ascii="Aptos" w:hAnsi="Aptos"/>
                <w:b w:val="0"/>
                <w:sz w:val="16"/>
              </w:rPr>
              <w:t>26.0% gross</w:t>
            </w:r>
          </w:p>
        </w:tc>
      </w:tr>
      <w:tr>
        <w:tc>
          <w:tcPr>
            <w:tcW w:type="dxa" w:w="2448"/>
            <w:vAlign w:val="center"/>
          </w:tcPr>
          <w:p>
            <w:pPr>
              <w:spacing w:after="0"/>
            </w:pPr>
            <w:r/>
            <w:r>
              <w:rPr>
                <w:rFonts w:ascii="Aptos" w:hAnsi="Aptos"/>
                <w:b w:val="0"/>
                <w:sz w:val="16"/>
              </w:rPr>
              <w:t>Cycle</w:t>
            </w:r>
          </w:p>
        </w:tc>
        <w:tc>
          <w:tcPr>
            <w:tcW w:type="dxa" w:w="6624"/>
            <w:vAlign w:val="center"/>
          </w:tcPr>
          <w:p>
            <w:pPr>
              <w:spacing w:after="0"/>
            </w:pPr>
            <w:r/>
            <w:r>
              <w:rPr>
                <w:rFonts w:ascii="Aptos" w:hAnsi="Aptos"/>
                <w:b w:val="0"/>
                <w:sz w:val="16"/>
              </w:rPr>
              <w:t>Scheduled by engineering capacity</w:t>
            </w:r>
          </w:p>
        </w:tc>
      </w:tr>
    </w:tbl>
    <w:p>
      <w:pPr>
        <w:spacing w:after="40"/>
      </w:pPr>
    </w:p>
    <w:p>
      <w:pPr>
        <w:pStyle w:val="Heading2"/>
      </w:pPr>
      <w:r>
        <w:t>SRV-004 · Data &amp; Fleet Operations</w:t>
      </w:r>
    </w:p>
    <w:p>
      <w:r>
        <w:t>Telemetry governance, dataset curation, fleet analytics, failure triage, model evaluation and controlled update operations.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B0D10"/>
          </w:tcPr>
          <w:p>
            <w:pPr>
              <w:spacing w:after="0"/>
            </w:pPr>
            <w:r/>
            <w:r>
              <w:rPr>
                <w:rFonts w:ascii="Aptos" w:hAnsi="Aptos"/>
                <w:b/>
                <w:color w:val="FFFFFF"/>
                <w:sz w:val="16"/>
              </w:rPr>
              <w:t>Field</w:t>
            </w:r>
          </w:p>
        </w:tc>
        <w:tc>
          <w:tcPr>
            <w:tcW w:type="dxa" w:w="6624"/>
            <w:vAlign w:val="center"/>
            <w:shd w:fill="0B0D10"/>
          </w:tcPr>
          <w:p>
            <w:pPr>
              <w:spacing w:after="0"/>
            </w:pPr>
            <w:r/>
            <w:r>
              <w:rPr>
                <w:rFonts w:ascii="Aptos" w:hAnsi="Aptos"/>
                <w:b/>
                <w:color w:val="FFFFFF"/>
                <w:sz w:val="16"/>
              </w:rPr>
              <w:t>Canonical rule</w:t>
            </w:r>
          </w:p>
        </w:tc>
      </w:tr>
      <w:tr>
        <w:tc>
          <w:tcPr>
            <w:tcW w:type="dxa" w:w="2448"/>
            <w:vAlign w:val="center"/>
          </w:tcPr>
          <w:p>
            <w:pPr>
              <w:spacing w:after="0"/>
            </w:pPr>
            <w:r/>
            <w:r>
              <w:rPr>
                <w:rFonts w:ascii="Aptos" w:hAnsi="Aptos"/>
                <w:b w:val="0"/>
                <w:sz w:val="16"/>
              </w:rPr>
              <w:t>Price</w:t>
            </w:r>
          </w:p>
        </w:tc>
        <w:tc>
          <w:tcPr>
            <w:tcW w:type="dxa" w:w="6624"/>
            <w:vAlign w:val="center"/>
          </w:tcPr>
          <w:p>
            <w:pPr>
              <w:spacing w:after="0"/>
            </w:pPr>
            <w:r/>
            <w:r>
              <w:rPr>
                <w:rFonts w:ascii="Aptos" w:hAnsi="Aptos"/>
                <w:b w:val="0"/>
                <w:sz w:val="16"/>
              </w:rPr>
              <w:t>€85,000 / site / year</w:t>
            </w:r>
          </w:p>
        </w:tc>
      </w:tr>
      <w:tr>
        <w:tc>
          <w:tcPr>
            <w:tcW w:type="dxa" w:w="2448"/>
            <w:vAlign w:val="center"/>
          </w:tcPr>
          <w:p>
            <w:pPr>
              <w:spacing w:after="0"/>
            </w:pPr>
            <w:r/>
            <w:r>
              <w:rPr>
                <w:rFonts w:ascii="Aptos" w:hAnsi="Aptos"/>
                <w:b w:val="0"/>
                <w:sz w:val="16"/>
              </w:rPr>
              <w:t>Direct delivery economics</w:t>
            </w:r>
          </w:p>
        </w:tc>
        <w:tc>
          <w:tcPr>
            <w:tcW w:type="dxa" w:w="6624"/>
            <w:vAlign w:val="center"/>
          </w:tcPr>
          <w:p>
            <w:pPr>
              <w:spacing w:after="0"/>
            </w:pPr>
            <w:r/>
            <w:r>
              <w:rPr>
                <w:rFonts w:ascii="Aptos" w:hAnsi="Aptos"/>
                <w:b w:val="0"/>
                <w:sz w:val="16"/>
              </w:rPr>
              <w:t>€42,000 direct delivery cost</w:t>
            </w:r>
          </w:p>
        </w:tc>
      </w:tr>
      <w:tr>
        <w:tc>
          <w:tcPr>
            <w:tcW w:type="dxa" w:w="2448"/>
            <w:vAlign w:val="center"/>
          </w:tcPr>
          <w:p>
            <w:pPr>
              <w:spacing w:after="0"/>
            </w:pPr>
            <w:r/>
            <w:r>
              <w:rPr>
                <w:rFonts w:ascii="Aptos" w:hAnsi="Aptos"/>
                <w:b w:val="0"/>
                <w:sz w:val="16"/>
              </w:rPr>
              <w:t>Gross margin</w:t>
            </w:r>
          </w:p>
        </w:tc>
        <w:tc>
          <w:tcPr>
            <w:tcW w:type="dxa" w:w="6624"/>
            <w:vAlign w:val="center"/>
          </w:tcPr>
          <w:p>
            <w:pPr>
              <w:spacing w:after="0"/>
            </w:pPr>
            <w:r/>
            <w:r>
              <w:rPr>
                <w:rFonts w:ascii="Aptos" w:hAnsi="Aptos"/>
                <w:b w:val="0"/>
                <w:sz w:val="16"/>
              </w:rPr>
              <w:t>50.6% gross</w:t>
            </w:r>
          </w:p>
        </w:tc>
      </w:tr>
      <w:tr>
        <w:tc>
          <w:tcPr>
            <w:tcW w:type="dxa" w:w="2448"/>
            <w:vAlign w:val="center"/>
          </w:tcPr>
          <w:p>
            <w:pPr>
              <w:spacing w:after="0"/>
            </w:pPr>
            <w:r/>
            <w:r>
              <w:rPr>
                <w:rFonts w:ascii="Aptos" w:hAnsi="Aptos"/>
                <w:b w:val="0"/>
                <w:sz w:val="16"/>
              </w:rPr>
              <w:t>Cycle</w:t>
            </w:r>
          </w:p>
        </w:tc>
        <w:tc>
          <w:tcPr>
            <w:tcW w:type="dxa" w:w="6624"/>
            <w:vAlign w:val="center"/>
          </w:tcPr>
          <w:p>
            <w:pPr>
              <w:spacing w:after="0"/>
            </w:pPr>
            <w:r/>
            <w:r>
              <w:rPr>
                <w:rFonts w:ascii="Aptos" w:hAnsi="Aptos"/>
                <w:b w:val="0"/>
                <w:sz w:val="16"/>
              </w:rPr>
              <w:t>12-month recurring contract</w:t>
            </w:r>
          </w:p>
        </w:tc>
      </w:tr>
    </w:tbl>
    <w:p>
      <w:pPr>
        <w:spacing w:after="40"/>
      </w:pPr>
    </w:p>
    <w:p>
      <w:pPr>
        <w:pStyle w:val="Heading2"/>
      </w:pPr>
      <w:r>
        <w:t>SRV-005 · Support &amp; Lifecycle</w:t>
      </w:r>
    </w:p>
    <w:p>
      <w:r>
        <w:t>Remote support, incident handling, software updates, health checks, SLA management and periodic performance review.</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B0D10"/>
          </w:tcPr>
          <w:p>
            <w:pPr>
              <w:spacing w:after="0"/>
            </w:pPr>
            <w:r/>
            <w:r>
              <w:rPr>
                <w:rFonts w:ascii="Aptos" w:hAnsi="Aptos"/>
                <w:b/>
                <w:color w:val="FFFFFF"/>
                <w:sz w:val="16"/>
              </w:rPr>
              <w:t>Field</w:t>
            </w:r>
          </w:p>
        </w:tc>
        <w:tc>
          <w:tcPr>
            <w:tcW w:type="dxa" w:w="6624"/>
            <w:vAlign w:val="center"/>
            <w:shd w:fill="0B0D10"/>
          </w:tcPr>
          <w:p>
            <w:pPr>
              <w:spacing w:after="0"/>
            </w:pPr>
            <w:r/>
            <w:r>
              <w:rPr>
                <w:rFonts w:ascii="Aptos" w:hAnsi="Aptos"/>
                <w:b/>
                <w:color w:val="FFFFFF"/>
                <w:sz w:val="16"/>
              </w:rPr>
              <w:t>Canonical rule</w:t>
            </w:r>
          </w:p>
        </w:tc>
      </w:tr>
      <w:tr>
        <w:tc>
          <w:tcPr>
            <w:tcW w:type="dxa" w:w="2448"/>
            <w:vAlign w:val="center"/>
          </w:tcPr>
          <w:p>
            <w:pPr>
              <w:spacing w:after="0"/>
            </w:pPr>
            <w:r/>
            <w:r>
              <w:rPr>
                <w:rFonts w:ascii="Aptos" w:hAnsi="Aptos"/>
                <w:b w:val="0"/>
                <w:sz w:val="16"/>
              </w:rPr>
              <w:t>Price</w:t>
            </w:r>
          </w:p>
        </w:tc>
        <w:tc>
          <w:tcPr>
            <w:tcW w:type="dxa" w:w="6624"/>
            <w:vAlign w:val="center"/>
          </w:tcPr>
          <w:p>
            <w:pPr>
              <w:spacing w:after="0"/>
            </w:pPr>
            <w:r/>
            <w:r>
              <w:rPr>
                <w:rFonts w:ascii="Aptos" w:hAnsi="Aptos"/>
                <w:b w:val="0"/>
                <w:sz w:val="16"/>
              </w:rPr>
              <w:t>Bronze €36,000; Silver €72,000; Gold €120,000 / site / year</w:t>
            </w:r>
          </w:p>
        </w:tc>
      </w:tr>
      <w:tr>
        <w:tc>
          <w:tcPr>
            <w:tcW w:type="dxa" w:w="2448"/>
            <w:vAlign w:val="center"/>
          </w:tcPr>
          <w:p>
            <w:pPr>
              <w:spacing w:after="0"/>
            </w:pPr>
            <w:r/>
            <w:r>
              <w:rPr>
                <w:rFonts w:ascii="Aptos" w:hAnsi="Aptos"/>
                <w:b w:val="0"/>
                <w:sz w:val="16"/>
              </w:rPr>
              <w:t>Direct delivery economics</w:t>
            </w:r>
          </w:p>
        </w:tc>
        <w:tc>
          <w:tcPr>
            <w:tcW w:type="dxa" w:w="6624"/>
            <w:vAlign w:val="center"/>
          </w:tcPr>
          <w:p>
            <w:pPr>
              <w:spacing w:after="0"/>
            </w:pPr>
            <w:r/>
            <w:r>
              <w:rPr>
                <w:rFonts w:ascii="Aptos" w:hAnsi="Aptos"/>
                <w:b w:val="0"/>
                <w:sz w:val="16"/>
              </w:rPr>
              <w:t>Bronze €15,000; Silver €31,000; Gold €52,000 direct cost</w:t>
            </w:r>
          </w:p>
        </w:tc>
      </w:tr>
      <w:tr>
        <w:tc>
          <w:tcPr>
            <w:tcW w:type="dxa" w:w="2448"/>
            <w:vAlign w:val="center"/>
          </w:tcPr>
          <w:p>
            <w:pPr>
              <w:spacing w:after="0"/>
            </w:pPr>
            <w:r/>
            <w:r>
              <w:rPr>
                <w:rFonts w:ascii="Aptos" w:hAnsi="Aptos"/>
                <w:b w:val="0"/>
                <w:sz w:val="16"/>
              </w:rPr>
              <w:t>Gross margin</w:t>
            </w:r>
          </w:p>
        </w:tc>
        <w:tc>
          <w:tcPr>
            <w:tcW w:type="dxa" w:w="6624"/>
            <w:vAlign w:val="center"/>
          </w:tcPr>
          <w:p>
            <w:pPr>
              <w:spacing w:after="0"/>
            </w:pPr>
            <w:r/>
            <w:r>
              <w:rPr>
                <w:rFonts w:ascii="Aptos" w:hAnsi="Aptos"/>
                <w:b w:val="0"/>
                <w:sz w:val="16"/>
              </w:rPr>
              <w:t>58.3% / 56.9% / 56.7% gross</w:t>
            </w:r>
          </w:p>
        </w:tc>
      </w:tr>
      <w:tr>
        <w:tc>
          <w:tcPr>
            <w:tcW w:type="dxa" w:w="2448"/>
            <w:vAlign w:val="center"/>
          </w:tcPr>
          <w:p>
            <w:pPr>
              <w:spacing w:after="0"/>
            </w:pPr>
            <w:r/>
            <w:r>
              <w:rPr>
                <w:rFonts w:ascii="Aptos" w:hAnsi="Aptos"/>
                <w:b w:val="0"/>
                <w:sz w:val="16"/>
              </w:rPr>
              <w:t>Cycle</w:t>
            </w:r>
          </w:p>
        </w:tc>
        <w:tc>
          <w:tcPr>
            <w:tcW w:type="dxa" w:w="6624"/>
            <w:vAlign w:val="center"/>
          </w:tcPr>
          <w:p>
            <w:pPr>
              <w:spacing w:after="0"/>
            </w:pPr>
            <w:r/>
            <w:r>
              <w:rPr>
                <w:rFonts w:ascii="Aptos" w:hAnsi="Aptos"/>
                <w:b w:val="0"/>
                <w:sz w:val="16"/>
              </w:rPr>
              <w:t>12-month recurring contract</w:t>
            </w:r>
          </w:p>
        </w:tc>
      </w:tr>
    </w:tbl>
    <w:p>
      <w:pPr>
        <w:spacing w:after="40"/>
      </w:pPr>
    </w:p>
    <w:p>
      <w:pPr>
        <w:pStyle w:val="Heading2"/>
      </w:pPr>
      <w:r>
        <w:t>SRV-006 · OEM / IP Licensing</w:t>
      </w:r>
    </w:p>
    <w:p>
      <w:r>
        <w:t>License selected RAS algorithms, schemas or software components to equipment manufacturers under defined field-of-use and territory restrictions.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B0D10"/>
          </w:tcPr>
          <w:p>
            <w:pPr>
              <w:spacing w:after="0"/>
            </w:pPr>
            <w:r/>
            <w:r>
              <w:rPr>
                <w:rFonts w:ascii="Aptos" w:hAnsi="Aptos"/>
                <w:b/>
                <w:color w:val="FFFFFF"/>
                <w:sz w:val="16"/>
              </w:rPr>
              <w:t>Field</w:t>
            </w:r>
          </w:p>
        </w:tc>
        <w:tc>
          <w:tcPr>
            <w:tcW w:type="dxa" w:w="6624"/>
            <w:vAlign w:val="center"/>
            <w:shd w:fill="0B0D10"/>
          </w:tcPr>
          <w:p>
            <w:pPr>
              <w:spacing w:after="0"/>
            </w:pPr>
            <w:r/>
            <w:r>
              <w:rPr>
                <w:rFonts w:ascii="Aptos" w:hAnsi="Aptos"/>
                <w:b/>
                <w:color w:val="FFFFFF"/>
                <w:sz w:val="16"/>
              </w:rPr>
              <w:t>Canonical rule</w:t>
            </w:r>
          </w:p>
        </w:tc>
      </w:tr>
      <w:tr>
        <w:tc>
          <w:tcPr>
            <w:tcW w:type="dxa" w:w="2448"/>
            <w:vAlign w:val="center"/>
          </w:tcPr>
          <w:p>
            <w:pPr>
              <w:spacing w:after="0"/>
            </w:pPr>
            <w:r/>
            <w:r>
              <w:rPr>
                <w:rFonts w:ascii="Aptos" w:hAnsi="Aptos"/>
                <w:b w:val="0"/>
                <w:sz w:val="16"/>
              </w:rPr>
              <w:t>Price</w:t>
            </w:r>
          </w:p>
        </w:tc>
        <w:tc>
          <w:tcPr>
            <w:tcW w:type="dxa" w:w="6624"/>
            <w:vAlign w:val="center"/>
          </w:tcPr>
          <w:p>
            <w:pPr>
              <w:spacing w:after="0"/>
            </w:pPr>
            <w:r/>
            <w:r>
              <w:rPr>
                <w:rFonts w:ascii="Aptos" w:hAnsi="Aptos"/>
                <w:b w:val="0"/>
                <w:sz w:val="16"/>
              </w:rPr>
              <w:t>€250,000 upfront field-of-use license + 6.0% royalty on defined licensee net sales; minimum annual royalty €100,000</w:t>
            </w:r>
          </w:p>
        </w:tc>
      </w:tr>
      <w:tr>
        <w:tc>
          <w:tcPr>
            <w:tcW w:type="dxa" w:w="2448"/>
            <w:vAlign w:val="center"/>
          </w:tcPr>
          <w:p>
            <w:pPr>
              <w:spacing w:after="0"/>
            </w:pPr>
            <w:r/>
            <w:r>
              <w:rPr>
                <w:rFonts w:ascii="Aptos" w:hAnsi="Aptos"/>
                <w:b w:val="0"/>
                <w:sz w:val="16"/>
              </w:rPr>
              <w:t>Direct delivery economics</w:t>
            </w:r>
          </w:p>
        </w:tc>
        <w:tc>
          <w:tcPr>
            <w:tcW w:type="dxa" w:w="6624"/>
            <w:vAlign w:val="center"/>
          </w:tcPr>
          <w:p>
            <w:pPr>
              <w:spacing w:after="0"/>
            </w:pPr>
            <w:r/>
            <w:r>
              <w:rPr>
                <w:rFonts w:ascii="Aptos" w:hAnsi="Aptos"/>
                <w:b w:val="0"/>
                <w:sz w:val="16"/>
              </w:rPr>
              <w:t>€20,000 average legal / enablement cost for standard agreement</w:t>
            </w:r>
          </w:p>
        </w:tc>
      </w:tr>
      <w:tr>
        <w:tc>
          <w:tcPr>
            <w:tcW w:type="dxa" w:w="2448"/>
            <w:vAlign w:val="center"/>
          </w:tcPr>
          <w:p>
            <w:pPr>
              <w:spacing w:after="0"/>
            </w:pPr>
            <w:r/>
            <w:r>
              <w:rPr>
                <w:rFonts w:ascii="Aptos" w:hAnsi="Aptos"/>
                <w:b w:val="0"/>
                <w:sz w:val="16"/>
              </w:rPr>
              <w:t>Gross margin</w:t>
            </w:r>
          </w:p>
        </w:tc>
        <w:tc>
          <w:tcPr>
            <w:tcW w:type="dxa" w:w="6624"/>
            <w:vAlign w:val="center"/>
          </w:tcPr>
          <w:p>
            <w:pPr>
              <w:spacing w:after="0"/>
            </w:pPr>
            <w:r/>
            <w:r>
              <w:rPr>
                <w:rFonts w:ascii="Aptos" w:hAnsi="Aptos"/>
                <w:b w:val="0"/>
                <w:sz w:val="16"/>
              </w:rPr>
              <w:t>Primarily IP-margin economics; highly variable</w:t>
            </w:r>
          </w:p>
        </w:tc>
      </w:tr>
      <w:tr>
        <w:tc>
          <w:tcPr>
            <w:tcW w:type="dxa" w:w="2448"/>
            <w:vAlign w:val="center"/>
          </w:tcPr>
          <w:p>
            <w:pPr>
              <w:spacing w:after="0"/>
            </w:pPr>
            <w:r/>
            <w:r>
              <w:rPr>
                <w:rFonts w:ascii="Aptos" w:hAnsi="Aptos"/>
                <w:b w:val="0"/>
                <w:sz w:val="16"/>
              </w:rPr>
              <w:t>Cycle</w:t>
            </w:r>
          </w:p>
        </w:tc>
        <w:tc>
          <w:tcPr>
            <w:tcW w:type="dxa" w:w="6624"/>
            <w:vAlign w:val="center"/>
          </w:tcPr>
          <w:p>
            <w:pPr>
              <w:spacing w:after="0"/>
            </w:pPr>
            <w:r/>
            <w:r>
              <w:rPr>
                <w:rFonts w:ascii="Aptos" w:hAnsi="Aptos"/>
                <w:b w:val="0"/>
                <w:sz w:val="16"/>
              </w:rPr>
              <w:t>3–9 months negotiation / qualification</w:t>
            </w:r>
          </w:p>
        </w:tc>
      </w:tr>
    </w:tbl>
    <w:p>
      <w:pPr>
        <w:spacing w:after="40"/>
      </w:pPr>
    </w:p>
    <w:p>
      <w:pPr>
        <w:pStyle w:val="Heading1"/>
      </w:pPr>
      <w:r>
        <w:t>5. How a RAS sale actually happens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0B0D10"/>
          </w:tcPr>
          <w:p>
            <w:pPr>
              <w:spacing w:after="0"/>
            </w:pPr>
            <w:r/>
            <w:r>
              <w:rPr>
                <w:rFonts w:ascii="Aptos" w:hAnsi="Aptos"/>
                <w:b/>
                <w:color w:val="FFFFFF"/>
                <w:sz w:val="16"/>
              </w:rPr>
              <w:t>Stage</w:t>
            </w:r>
          </w:p>
        </w:tc>
        <w:tc>
          <w:tcPr>
            <w:tcW w:type="dxa" w:w="7200"/>
            <w:vAlign w:val="center"/>
            <w:shd w:fill="0B0D10"/>
          </w:tcPr>
          <w:p>
            <w:pPr>
              <w:spacing w:after="0"/>
            </w:pPr>
            <w:r/>
            <w:r>
              <w:rPr>
                <w:rFonts w:ascii="Aptos" w:hAnsi="Aptos"/>
                <w:b/>
                <w:color w:val="FFFFFF"/>
                <w:sz w:val="16"/>
              </w:rPr>
              <w:t>Operating reality</w:t>
            </w:r>
          </w:p>
        </w:tc>
      </w:tr>
      <w:tr>
        <w:tc>
          <w:tcPr>
            <w:tcW w:type="dxa" w:w="2160"/>
            <w:vAlign w:val="center"/>
          </w:tcPr>
          <w:p>
            <w:pPr>
              <w:spacing w:after="0"/>
            </w:pPr>
            <w:r/>
            <w:r>
              <w:rPr>
                <w:rFonts w:ascii="Aptos" w:hAnsi="Aptos"/>
                <w:b w:val="0"/>
                <w:sz w:val="16"/>
              </w:rPr>
              <w:t>1. Qualification</w:t>
            </w:r>
          </w:p>
        </w:tc>
        <w:tc>
          <w:tcPr>
            <w:tcW w:type="dxa" w:w="7200"/>
            <w:vAlign w:val="center"/>
          </w:tcPr>
          <w:p>
            <w:pPr>
              <w:spacing w:after="0"/>
            </w:pPr>
            <w:r/>
            <w:r>
              <w:rPr>
                <w:rFonts w:ascii="Aptos" w:hAnsi="Aptos"/>
                <w:b w:val="0"/>
                <w:sz w:val="16"/>
              </w:rPr>
              <w:t>RAS identifies a process where autonomy or industrial perception has measurable economic value.</w:t>
            </w:r>
          </w:p>
        </w:tc>
      </w:tr>
      <w:tr>
        <w:tc>
          <w:tcPr>
            <w:tcW w:type="dxa" w:w="2160"/>
            <w:vAlign w:val="center"/>
          </w:tcPr>
          <w:p>
            <w:pPr>
              <w:spacing w:after="0"/>
            </w:pPr>
            <w:r/>
            <w:r>
              <w:rPr>
                <w:rFonts w:ascii="Aptos" w:hAnsi="Aptos"/>
                <w:b w:val="0"/>
                <w:sz w:val="16"/>
              </w:rPr>
              <w:t>2. Discovery</w:t>
            </w:r>
          </w:p>
        </w:tc>
        <w:tc>
          <w:tcPr>
            <w:tcW w:type="dxa" w:w="7200"/>
            <w:vAlign w:val="center"/>
          </w:tcPr>
          <w:p>
            <w:pPr>
              <w:spacing w:after="0"/>
            </w:pPr>
            <w:r/>
            <w:r>
              <w:rPr>
                <w:rFonts w:ascii="Aptos" w:hAnsi="Aptos"/>
                <w:b w:val="0"/>
                <w:sz w:val="16"/>
              </w:rPr>
              <w:t>SRV-001 maps the site, assets, safety constraints, interfaces, process cycle and target KPIs.</w:t>
            </w:r>
          </w:p>
        </w:tc>
      </w:tr>
      <w:tr>
        <w:tc>
          <w:tcPr>
            <w:tcW w:type="dxa" w:w="2160"/>
            <w:vAlign w:val="center"/>
          </w:tcPr>
          <w:p>
            <w:pPr>
              <w:spacing w:after="0"/>
            </w:pPr>
            <w:r/>
            <w:r>
              <w:rPr>
                <w:rFonts w:ascii="Aptos" w:hAnsi="Aptos"/>
                <w:b w:val="0"/>
                <w:sz w:val="16"/>
              </w:rPr>
              <w:t>3. Architecture</w:t>
            </w:r>
          </w:p>
        </w:tc>
        <w:tc>
          <w:tcPr>
            <w:tcW w:type="dxa" w:w="7200"/>
            <w:vAlign w:val="center"/>
          </w:tcPr>
          <w:p>
            <w:pPr>
              <w:spacing w:after="0"/>
            </w:pPr>
            <w:r/>
            <w:r>
              <w:rPr>
                <w:rFonts w:ascii="Aptos" w:hAnsi="Aptos"/>
                <w:b w:val="0"/>
                <w:sz w:val="16"/>
              </w:rPr>
              <w:t>RAS defines which products + services are needed; customer hardware remains customer-owned unless a separate procurement agreement says otherwise.</w:t>
            </w:r>
          </w:p>
        </w:tc>
      </w:tr>
      <w:tr>
        <w:tc>
          <w:tcPr>
            <w:tcW w:type="dxa" w:w="2160"/>
            <w:vAlign w:val="center"/>
          </w:tcPr>
          <w:p>
            <w:pPr>
              <w:spacing w:after="0"/>
            </w:pPr>
            <w:r/>
            <w:r>
              <w:rPr>
                <w:rFonts w:ascii="Aptos" w:hAnsi="Aptos"/>
                <w:b w:val="0"/>
                <w:sz w:val="16"/>
              </w:rPr>
              <w:t>4. Commercial proposal</w:t>
            </w:r>
          </w:p>
        </w:tc>
        <w:tc>
          <w:tcPr>
            <w:tcW w:type="dxa" w:w="7200"/>
            <w:vAlign w:val="center"/>
          </w:tcPr>
          <w:p>
            <w:pPr>
              <w:spacing w:after="0"/>
            </w:pPr>
            <w:r/>
            <w:r>
              <w:rPr>
                <w:rFonts w:ascii="Aptos" w:hAnsi="Aptos"/>
                <w:b w:val="0"/>
                <w:sz w:val="16"/>
              </w:rPr>
              <w:t>Annual software recurring fee + implementation + engineering + optional support/data services.</w:t>
            </w:r>
          </w:p>
        </w:tc>
      </w:tr>
      <w:tr>
        <w:tc>
          <w:tcPr>
            <w:tcW w:type="dxa" w:w="2160"/>
            <w:vAlign w:val="center"/>
          </w:tcPr>
          <w:p>
            <w:pPr>
              <w:spacing w:after="0"/>
            </w:pPr>
            <w:r/>
            <w:r>
              <w:rPr>
                <w:rFonts w:ascii="Aptos" w:hAnsi="Aptos"/>
                <w:b w:val="0"/>
                <w:sz w:val="16"/>
              </w:rPr>
              <w:t>5. Deployment</w:t>
            </w:r>
          </w:p>
        </w:tc>
        <w:tc>
          <w:tcPr>
            <w:tcW w:type="dxa" w:w="7200"/>
            <w:vAlign w:val="center"/>
          </w:tcPr>
          <w:p>
            <w:pPr>
              <w:spacing w:after="0"/>
            </w:pPr>
            <w:r/>
            <w:r>
              <w:rPr>
                <w:rFonts w:ascii="Aptos" w:hAnsi="Aptos"/>
                <w:b w:val="0"/>
                <w:sz w:val="16"/>
              </w:rPr>
              <w:t>Engineering team integrates the stack with robots, PLCs, sensors, MES/SCADA and customer infrastructure.</w:t>
            </w:r>
          </w:p>
        </w:tc>
      </w:tr>
      <w:tr>
        <w:tc>
          <w:tcPr>
            <w:tcW w:type="dxa" w:w="2160"/>
            <w:vAlign w:val="center"/>
          </w:tcPr>
          <w:p>
            <w:pPr>
              <w:spacing w:after="0"/>
            </w:pPr>
            <w:r/>
            <w:r>
              <w:rPr>
                <w:rFonts w:ascii="Aptos" w:hAnsi="Aptos"/>
                <w:b w:val="0"/>
                <w:sz w:val="16"/>
              </w:rPr>
              <w:t>6. Acceptance</w:t>
            </w:r>
          </w:p>
        </w:tc>
        <w:tc>
          <w:tcPr>
            <w:tcW w:type="dxa" w:w="7200"/>
            <w:vAlign w:val="center"/>
          </w:tcPr>
          <w:p>
            <w:pPr>
              <w:spacing w:after="0"/>
            </w:pPr>
            <w:r/>
            <w:r>
              <w:rPr>
                <w:rFonts w:ascii="Aptos" w:hAnsi="Aptos"/>
                <w:b w:val="0"/>
                <w:sz w:val="16"/>
              </w:rPr>
              <w:t>RAS and customer measure agreed KPIs: quality, cycle time, intervention, uptime, recovery, etc.</w:t>
            </w:r>
          </w:p>
        </w:tc>
      </w:tr>
      <w:tr>
        <w:tc>
          <w:tcPr>
            <w:tcW w:type="dxa" w:w="2160"/>
            <w:vAlign w:val="center"/>
          </w:tcPr>
          <w:p>
            <w:pPr>
              <w:spacing w:after="0"/>
            </w:pPr>
            <w:r/>
            <w:r>
              <w:rPr>
                <w:rFonts w:ascii="Aptos" w:hAnsi="Aptos"/>
                <w:b w:val="0"/>
                <w:sz w:val="16"/>
              </w:rPr>
              <w:t>7. Production</w:t>
            </w:r>
          </w:p>
        </w:tc>
        <w:tc>
          <w:tcPr>
            <w:tcW w:type="dxa" w:w="7200"/>
            <w:vAlign w:val="center"/>
          </w:tcPr>
          <w:p>
            <w:pPr>
              <w:spacing w:after="0"/>
            </w:pPr>
            <w:r/>
            <w:r>
              <w:rPr>
                <w:rFonts w:ascii="Aptos" w:hAnsi="Aptos"/>
                <w:b w:val="0"/>
                <w:sz w:val="16"/>
              </w:rPr>
              <w:t>Subscription starts or moves to production billing; data and telemetry flow to Fleet Intelligence if contracted.</w:t>
            </w:r>
          </w:p>
        </w:tc>
      </w:tr>
      <w:tr>
        <w:tc>
          <w:tcPr>
            <w:tcW w:type="dxa" w:w="2160"/>
            <w:vAlign w:val="center"/>
          </w:tcPr>
          <w:p>
            <w:pPr>
              <w:spacing w:after="0"/>
            </w:pPr>
            <w:r/>
            <w:r>
              <w:rPr>
                <w:rFonts w:ascii="Aptos" w:hAnsi="Aptos"/>
                <w:b w:val="0"/>
                <w:sz w:val="16"/>
              </w:rPr>
              <w:t>8. Continuous improvement</w:t>
            </w:r>
          </w:p>
        </w:tc>
        <w:tc>
          <w:tcPr>
            <w:tcW w:type="dxa" w:w="7200"/>
            <w:vAlign w:val="center"/>
          </w:tcPr>
          <w:p>
            <w:pPr>
              <w:spacing w:after="0"/>
            </w:pPr>
            <w:r/>
            <w:r>
              <w:rPr>
                <w:rFonts w:ascii="Aptos" w:hAnsi="Aptos"/>
                <w:b w:val="0"/>
                <w:sz w:val="16"/>
              </w:rPr>
              <w:t>Support, data operations and policy updates create recurring revenue and additional deployment data.</w:t>
            </w:r>
          </w:p>
        </w:tc>
      </w:tr>
      <w:tr>
        <w:tc>
          <w:tcPr>
            <w:tcW w:type="dxa" w:w="2160"/>
            <w:vAlign w:val="center"/>
          </w:tcPr>
          <w:p>
            <w:pPr>
              <w:spacing w:after="0"/>
            </w:pPr>
            <w:r/>
            <w:r>
              <w:rPr>
                <w:rFonts w:ascii="Aptos" w:hAnsi="Aptos"/>
                <w:b w:val="0"/>
                <w:sz w:val="16"/>
              </w:rPr>
              <w:t>9. Expansion</w:t>
            </w:r>
          </w:p>
        </w:tc>
        <w:tc>
          <w:tcPr>
            <w:tcW w:type="dxa" w:w="7200"/>
            <w:vAlign w:val="center"/>
          </w:tcPr>
          <w:p>
            <w:pPr>
              <w:spacing w:after="0"/>
            </w:pPr>
            <w:r/>
            <w:r>
              <w:rPr>
                <w:rFonts w:ascii="Aptos" w:hAnsi="Aptos"/>
                <w:b w:val="0"/>
                <w:sz w:val="16"/>
              </w:rPr>
              <w:t>Successful cell/site deployments create adjacent lines, additional sites or OEM licensing opportunities.</w:t>
            </w:r>
          </w:p>
        </w:tc>
      </w:tr>
    </w:tbl>
    <w:p>
      <w:pPr>
        <w:spacing w:after="40"/>
      </w:pPr>
    </w:p>
    <w:p>
      <w:pPr>
        <w:pStyle w:val="Heading2"/>
      </w:pPr>
      <w:r>
        <w:t>5.1 Commercial decision rule</w:t>
      </w:r>
    </w:p>
    <w:p>
      <w:r>
        <w:t>RAS does not sell software by abstract “AI capability.” Every deal must be attached to a physical workflow, a measurable KPI, a deployment boundary and an accountable owner. This prevents the company from becoming a consulting-heavy AI integrator with no reusable product layer.</w:t>
      </w:r>
    </w:p>
    <w:p>
      <w:pPr>
        <w:pStyle w:val="Heading1"/>
      </w:pPr>
      <w:r>
        <w:t>6. Economics of production and delivery</w:t>
      </w:r>
    </w:p>
    <w:p>
      <w:r>
        <w:t xml:space="preserve">The most important distinction in the model is between direct cost of delivering a customer product and company-wide R&amp;D. RAS can have a high gross margin while still losing money because it deliberately spends heavily on research and platform development. The 2026 YTD financial statement already reflects this: €7.9436M revenue, €6.16715M gross profit, €4.1063M R&amp;D and a -€1.0847M EBITDA result. </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880"/>
            <w:vAlign w:val="center"/>
            <w:shd w:fill="0B0D10"/>
          </w:tcPr>
          <w:p>
            <w:pPr>
              <w:spacing w:after="0"/>
            </w:pPr>
            <w:r/>
            <w:r>
              <w:rPr>
                <w:rFonts w:ascii="Aptos" w:hAnsi="Aptos"/>
                <w:b/>
                <w:color w:val="FFFFFF"/>
                <w:sz w:val="15"/>
              </w:rPr>
              <w:t>2026 YTD stream</w:t>
            </w:r>
          </w:p>
        </w:tc>
        <w:tc>
          <w:tcPr>
            <w:tcW w:type="dxa" w:w="1728"/>
            <w:vAlign w:val="center"/>
            <w:shd w:fill="0B0D10"/>
          </w:tcPr>
          <w:p>
            <w:pPr>
              <w:spacing w:after="0"/>
            </w:pPr>
            <w:r/>
            <w:r>
              <w:rPr>
                <w:rFonts w:ascii="Aptos" w:hAnsi="Aptos"/>
                <w:b/>
                <w:color w:val="FFFFFF"/>
                <w:sz w:val="15"/>
              </w:rPr>
              <w:t>Revenue</w:t>
            </w:r>
          </w:p>
        </w:tc>
        <w:tc>
          <w:tcPr>
            <w:tcW w:type="dxa" w:w="1944"/>
            <w:vAlign w:val="center"/>
            <w:shd w:fill="0B0D10"/>
          </w:tcPr>
          <w:p>
            <w:pPr>
              <w:spacing w:after="0"/>
            </w:pPr>
            <w:r/>
            <w:r>
              <w:rPr>
                <w:rFonts w:ascii="Aptos" w:hAnsi="Aptos"/>
                <w:b/>
                <w:color w:val="FFFFFF"/>
                <w:sz w:val="15"/>
              </w:rPr>
              <w:t>Direct COGS model</w:t>
            </w:r>
          </w:p>
        </w:tc>
        <w:tc>
          <w:tcPr>
            <w:tcW w:type="dxa" w:w="1944"/>
            <w:vAlign w:val="center"/>
            <w:shd w:fill="0B0D10"/>
          </w:tcPr>
          <w:p>
            <w:pPr>
              <w:spacing w:after="0"/>
            </w:pPr>
            <w:r/>
            <w:r>
              <w:rPr>
                <w:rFonts w:ascii="Aptos" w:hAnsi="Aptos"/>
                <w:b/>
                <w:color w:val="FFFFFF"/>
                <w:sz w:val="15"/>
              </w:rPr>
              <w:t>Gross profit</w:t>
            </w:r>
          </w:p>
        </w:tc>
        <w:tc>
          <w:tcPr>
            <w:tcW w:type="dxa" w:w="1440"/>
            <w:vAlign w:val="center"/>
            <w:shd w:fill="0B0D10"/>
          </w:tcPr>
          <w:p>
            <w:pPr>
              <w:spacing w:after="0"/>
            </w:pPr>
            <w:r/>
            <w:r>
              <w:rPr>
                <w:rFonts w:ascii="Aptos" w:hAnsi="Aptos"/>
                <w:b/>
                <w:color w:val="FFFFFF"/>
                <w:sz w:val="15"/>
              </w:rPr>
              <w:t>Gross margin</w:t>
            </w:r>
          </w:p>
        </w:tc>
      </w:tr>
      <w:tr>
        <w:tc>
          <w:tcPr>
            <w:tcW w:type="dxa" w:w="2880"/>
            <w:vAlign w:val="center"/>
          </w:tcPr>
          <w:p>
            <w:pPr>
              <w:spacing w:after="0"/>
            </w:pPr>
            <w:r/>
            <w:r>
              <w:rPr>
                <w:rFonts w:ascii="Aptos" w:hAnsi="Aptos"/>
                <w:b w:val="0"/>
                <w:sz w:val="15"/>
              </w:rPr>
              <w:t>Subscriptions / licences</w:t>
            </w:r>
          </w:p>
        </w:tc>
        <w:tc>
          <w:tcPr>
            <w:tcW w:type="dxa" w:w="1728"/>
            <w:vAlign w:val="center"/>
          </w:tcPr>
          <w:p>
            <w:pPr>
              <w:spacing w:after="0"/>
            </w:pPr>
            <w:r/>
            <w:r>
              <w:rPr>
                <w:rFonts w:ascii="Aptos" w:hAnsi="Aptos"/>
                <w:b w:val="0"/>
                <w:sz w:val="15"/>
              </w:rPr>
              <w:t>€1,862,400</w:t>
            </w:r>
          </w:p>
        </w:tc>
        <w:tc>
          <w:tcPr>
            <w:tcW w:type="dxa" w:w="1944"/>
            <w:vAlign w:val="center"/>
          </w:tcPr>
          <w:p>
            <w:pPr>
              <w:spacing w:after="0"/>
            </w:pPr>
            <w:r/>
            <w:r>
              <w:rPr>
                <w:rFonts w:ascii="Aptos" w:hAnsi="Aptos"/>
                <w:b w:val="0"/>
                <w:sz w:val="15"/>
              </w:rPr>
              <w:t>€205,464</w:t>
            </w:r>
          </w:p>
        </w:tc>
        <w:tc>
          <w:tcPr>
            <w:tcW w:type="dxa" w:w="1944"/>
            <w:vAlign w:val="center"/>
          </w:tcPr>
          <w:p>
            <w:pPr>
              <w:spacing w:after="0"/>
            </w:pPr>
            <w:r/>
            <w:r>
              <w:rPr>
                <w:rFonts w:ascii="Aptos" w:hAnsi="Aptos"/>
                <w:b w:val="0"/>
                <w:sz w:val="15"/>
              </w:rPr>
              <w:t>€1,656,936</w:t>
            </w:r>
          </w:p>
        </w:tc>
        <w:tc>
          <w:tcPr>
            <w:tcW w:type="dxa" w:w="1440"/>
            <w:vAlign w:val="center"/>
          </w:tcPr>
          <w:p>
            <w:pPr>
              <w:spacing w:after="0"/>
            </w:pPr>
            <w:r/>
            <w:r>
              <w:rPr>
                <w:rFonts w:ascii="Aptos" w:hAnsi="Aptos"/>
                <w:b w:val="0"/>
                <w:sz w:val="15"/>
              </w:rPr>
              <w:t>89.0%</w:t>
            </w:r>
          </w:p>
        </w:tc>
      </w:tr>
      <w:tr>
        <w:tc>
          <w:tcPr>
            <w:tcW w:type="dxa" w:w="2880"/>
            <w:vAlign w:val="center"/>
          </w:tcPr>
          <w:p>
            <w:pPr>
              <w:spacing w:after="0"/>
            </w:pPr>
            <w:r/>
            <w:r>
              <w:rPr>
                <w:rFonts w:ascii="Aptos" w:hAnsi="Aptos"/>
                <w:b w:val="0"/>
                <w:sz w:val="15"/>
              </w:rPr>
              <w:t>Deployment / integration</w:t>
            </w:r>
          </w:p>
        </w:tc>
        <w:tc>
          <w:tcPr>
            <w:tcW w:type="dxa" w:w="1728"/>
            <w:vAlign w:val="center"/>
          </w:tcPr>
          <w:p>
            <w:pPr>
              <w:spacing w:after="0"/>
            </w:pPr>
            <w:r/>
            <w:r>
              <w:rPr>
                <w:rFonts w:ascii="Aptos" w:hAnsi="Aptos"/>
                <w:b w:val="0"/>
                <w:sz w:val="15"/>
              </w:rPr>
              <w:t>€2,744,600</w:t>
            </w:r>
          </w:p>
        </w:tc>
        <w:tc>
          <w:tcPr>
            <w:tcW w:type="dxa" w:w="1944"/>
            <w:vAlign w:val="center"/>
          </w:tcPr>
          <w:p>
            <w:pPr>
              <w:spacing w:after="0"/>
            </w:pPr>
            <w:r/>
            <w:r>
              <w:rPr>
                <w:rFonts w:ascii="Aptos" w:hAnsi="Aptos"/>
                <w:b w:val="0"/>
                <w:sz w:val="15"/>
              </w:rPr>
              <w:t>€1,052,844</w:t>
            </w:r>
          </w:p>
        </w:tc>
        <w:tc>
          <w:tcPr>
            <w:tcW w:type="dxa" w:w="1944"/>
            <w:vAlign w:val="center"/>
          </w:tcPr>
          <w:p>
            <w:pPr>
              <w:spacing w:after="0"/>
            </w:pPr>
            <w:r/>
            <w:r>
              <w:rPr>
                <w:rFonts w:ascii="Aptos" w:hAnsi="Aptos"/>
                <w:b w:val="0"/>
                <w:sz w:val="15"/>
              </w:rPr>
              <w:t>€1,691,756</w:t>
            </w:r>
          </w:p>
        </w:tc>
        <w:tc>
          <w:tcPr>
            <w:tcW w:type="dxa" w:w="1440"/>
            <w:vAlign w:val="center"/>
          </w:tcPr>
          <w:p>
            <w:pPr>
              <w:spacing w:after="0"/>
            </w:pPr>
            <w:r/>
            <w:r>
              <w:rPr>
                <w:rFonts w:ascii="Aptos" w:hAnsi="Aptos"/>
                <w:b w:val="0"/>
                <w:sz w:val="15"/>
              </w:rPr>
              <w:t>61.6%</w:t>
            </w:r>
          </w:p>
        </w:tc>
      </w:tr>
      <w:tr>
        <w:tc>
          <w:tcPr>
            <w:tcW w:type="dxa" w:w="2880"/>
            <w:vAlign w:val="center"/>
          </w:tcPr>
          <w:p>
            <w:pPr>
              <w:spacing w:after="0"/>
            </w:pPr>
            <w:r/>
            <w:r>
              <w:rPr>
                <w:rFonts w:ascii="Aptos" w:hAnsi="Aptos"/>
                <w:b w:val="0"/>
                <w:sz w:val="15"/>
              </w:rPr>
              <w:t>Robotics engineering</w:t>
            </w:r>
          </w:p>
        </w:tc>
        <w:tc>
          <w:tcPr>
            <w:tcW w:type="dxa" w:w="1728"/>
            <w:vAlign w:val="center"/>
          </w:tcPr>
          <w:p>
            <w:pPr>
              <w:spacing w:after="0"/>
            </w:pPr>
            <w:r/>
            <w:r>
              <w:rPr>
                <w:rFonts w:ascii="Aptos" w:hAnsi="Aptos"/>
                <w:b w:val="0"/>
                <w:sz w:val="15"/>
              </w:rPr>
              <w:t>€1,214,800</w:t>
            </w:r>
          </w:p>
        </w:tc>
        <w:tc>
          <w:tcPr>
            <w:tcW w:type="dxa" w:w="1944"/>
            <w:vAlign w:val="center"/>
          </w:tcPr>
          <w:p>
            <w:pPr>
              <w:spacing w:after="0"/>
            </w:pPr>
            <w:r/>
            <w:r>
              <w:rPr>
                <w:rFonts w:ascii="Aptos" w:hAnsi="Aptos"/>
                <w:b w:val="0"/>
                <w:sz w:val="15"/>
              </w:rPr>
              <w:t>€352,292</w:t>
            </w:r>
          </w:p>
        </w:tc>
        <w:tc>
          <w:tcPr>
            <w:tcW w:type="dxa" w:w="1944"/>
            <w:vAlign w:val="center"/>
          </w:tcPr>
          <w:p>
            <w:pPr>
              <w:spacing w:after="0"/>
            </w:pPr>
            <w:r/>
            <w:r>
              <w:rPr>
                <w:rFonts w:ascii="Aptos" w:hAnsi="Aptos"/>
                <w:b w:val="0"/>
                <w:sz w:val="15"/>
              </w:rPr>
              <w:t>€862,508</w:t>
            </w:r>
          </w:p>
        </w:tc>
        <w:tc>
          <w:tcPr>
            <w:tcW w:type="dxa" w:w="1440"/>
            <w:vAlign w:val="center"/>
          </w:tcPr>
          <w:p>
            <w:pPr>
              <w:spacing w:after="0"/>
            </w:pPr>
            <w:r/>
            <w:r>
              <w:rPr>
                <w:rFonts w:ascii="Aptos" w:hAnsi="Aptos"/>
                <w:b w:val="0"/>
                <w:sz w:val="15"/>
              </w:rPr>
              <w:t>71.0%</w:t>
            </w:r>
          </w:p>
        </w:tc>
      </w:tr>
      <w:tr>
        <w:tc>
          <w:tcPr>
            <w:tcW w:type="dxa" w:w="2880"/>
            <w:vAlign w:val="center"/>
          </w:tcPr>
          <w:p>
            <w:pPr>
              <w:spacing w:after="0"/>
            </w:pPr>
            <w:r/>
            <w:r>
              <w:rPr>
                <w:rFonts w:ascii="Aptos" w:hAnsi="Aptos"/>
                <w:b w:val="0"/>
                <w:sz w:val="15"/>
              </w:rPr>
              <w:t>Data / fleet intelligence</w:t>
            </w:r>
          </w:p>
        </w:tc>
        <w:tc>
          <w:tcPr>
            <w:tcW w:type="dxa" w:w="1728"/>
            <w:vAlign w:val="center"/>
          </w:tcPr>
          <w:p>
            <w:pPr>
              <w:spacing w:after="0"/>
            </w:pPr>
            <w:r/>
            <w:r>
              <w:rPr>
                <w:rFonts w:ascii="Aptos" w:hAnsi="Aptos"/>
                <w:b w:val="0"/>
                <w:sz w:val="15"/>
              </w:rPr>
              <w:t>€1,018,900</w:t>
            </w:r>
          </w:p>
        </w:tc>
        <w:tc>
          <w:tcPr>
            <w:tcW w:type="dxa" w:w="1944"/>
            <w:vAlign w:val="center"/>
          </w:tcPr>
          <w:p>
            <w:pPr>
              <w:spacing w:after="0"/>
            </w:pPr>
            <w:r/>
            <w:r>
              <w:rPr>
                <w:rFonts w:ascii="Aptos" w:hAnsi="Aptos"/>
                <w:b w:val="0"/>
                <w:sz w:val="15"/>
              </w:rPr>
              <w:t>€101,800</w:t>
            </w:r>
          </w:p>
        </w:tc>
        <w:tc>
          <w:tcPr>
            <w:tcW w:type="dxa" w:w="1944"/>
            <w:vAlign w:val="center"/>
          </w:tcPr>
          <w:p>
            <w:pPr>
              <w:spacing w:after="0"/>
            </w:pPr>
            <w:r/>
            <w:r>
              <w:rPr>
                <w:rFonts w:ascii="Aptos" w:hAnsi="Aptos"/>
                <w:b w:val="0"/>
                <w:sz w:val="15"/>
              </w:rPr>
              <w:t>€917,100</w:t>
            </w:r>
          </w:p>
        </w:tc>
        <w:tc>
          <w:tcPr>
            <w:tcW w:type="dxa" w:w="1440"/>
            <w:vAlign w:val="center"/>
          </w:tcPr>
          <w:p>
            <w:pPr>
              <w:spacing w:after="0"/>
            </w:pPr>
            <w:r/>
            <w:r>
              <w:rPr>
                <w:rFonts w:ascii="Aptos" w:hAnsi="Aptos"/>
                <w:b w:val="0"/>
                <w:sz w:val="15"/>
              </w:rPr>
              <w:t>90.0%</w:t>
            </w:r>
          </w:p>
        </w:tc>
      </w:tr>
      <w:tr>
        <w:tc>
          <w:tcPr>
            <w:tcW w:type="dxa" w:w="2880"/>
            <w:vAlign w:val="center"/>
          </w:tcPr>
          <w:p>
            <w:pPr>
              <w:spacing w:after="0"/>
            </w:pPr>
            <w:r/>
            <w:r>
              <w:rPr>
                <w:rFonts w:ascii="Aptos" w:hAnsi="Aptos"/>
                <w:b w:val="0"/>
                <w:sz w:val="15"/>
              </w:rPr>
              <w:t>Licensing / royalties</w:t>
            </w:r>
          </w:p>
        </w:tc>
        <w:tc>
          <w:tcPr>
            <w:tcW w:type="dxa" w:w="1728"/>
            <w:vAlign w:val="center"/>
          </w:tcPr>
          <w:p>
            <w:pPr>
              <w:spacing w:after="0"/>
            </w:pPr>
            <w:r/>
            <w:r>
              <w:rPr>
                <w:rFonts w:ascii="Aptos" w:hAnsi="Aptos"/>
                <w:b w:val="0"/>
                <w:sz w:val="15"/>
              </w:rPr>
              <w:t>€642,500</w:t>
            </w:r>
          </w:p>
        </w:tc>
        <w:tc>
          <w:tcPr>
            <w:tcW w:type="dxa" w:w="1944"/>
            <w:vAlign w:val="center"/>
          </w:tcPr>
          <w:p>
            <w:pPr>
              <w:spacing w:after="0"/>
            </w:pPr>
            <w:r/>
            <w:r>
              <w:rPr>
                <w:rFonts w:ascii="Aptos" w:hAnsi="Aptos"/>
                <w:b w:val="0"/>
                <w:sz w:val="15"/>
              </w:rPr>
              <w:t>€12,850</w:t>
            </w:r>
          </w:p>
        </w:tc>
        <w:tc>
          <w:tcPr>
            <w:tcW w:type="dxa" w:w="1944"/>
            <w:vAlign w:val="center"/>
          </w:tcPr>
          <w:p>
            <w:pPr>
              <w:spacing w:after="0"/>
            </w:pPr>
            <w:r/>
            <w:r>
              <w:rPr>
                <w:rFonts w:ascii="Aptos" w:hAnsi="Aptos"/>
                <w:b w:val="0"/>
                <w:sz w:val="15"/>
              </w:rPr>
              <w:t>€629,650</w:t>
            </w:r>
          </w:p>
        </w:tc>
        <w:tc>
          <w:tcPr>
            <w:tcW w:type="dxa" w:w="1440"/>
            <w:vAlign w:val="center"/>
          </w:tcPr>
          <w:p>
            <w:pPr>
              <w:spacing w:after="0"/>
            </w:pPr>
            <w:r/>
            <w:r>
              <w:rPr>
                <w:rFonts w:ascii="Aptos" w:hAnsi="Aptos"/>
                <w:b w:val="0"/>
                <w:sz w:val="15"/>
              </w:rPr>
              <w:t>98.0%</w:t>
            </w:r>
          </w:p>
        </w:tc>
      </w:tr>
      <w:tr>
        <w:tc>
          <w:tcPr>
            <w:tcW w:type="dxa" w:w="2880"/>
            <w:vAlign w:val="center"/>
          </w:tcPr>
          <w:p>
            <w:pPr>
              <w:spacing w:after="0"/>
            </w:pPr>
            <w:r/>
            <w:r>
              <w:rPr>
                <w:rFonts w:ascii="Aptos" w:hAnsi="Aptos"/>
                <w:b w:val="0"/>
                <w:sz w:val="15"/>
              </w:rPr>
              <w:t>Support / maintenance</w:t>
            </w:r>
          </w:p>
        </w:tc>
        <w:tc>
          <w:tcPr>
            <w:tcW w:type="dxa" w:w="1728"/>
            <w:vAlign w:val="center"/>
          </w:tcPr>
          <w:p>
            <w:pPr>
              <w:spacing w:after="0"/>
            </w:pPr>
            <w:r/>
            <w:r>
              <w:rPr>
                <w:rFonts w:ascii="Aptos" w:hAnsi="Aptos"/>
                <w:b w:val="0"/>
                <w:sz w:val="15"/>
              </w:rPr>
              <w:t>€460,400</w:t>
            </w:r>
          </w:p>
        </w:tc>
        <w:tc>
          <w:tcPr>
            <w:tcW w:type="dxa" w:w="1944"/>
            <w:vAlign w:val="center"/>
          </w:tcPr>
          <w:p>
            <w:pPr>
              <w:spacing w:after="0"/>
            </w:pPr>
            <w:r/>
            <w:r>
              <w:rPr>
                <w:rFonts w:ascii="Aptos" w:hAnsi="Aptos"/>
                <w:b w:val="0"/>
                <w:sz w:val="15"/>
              </w:rPr>
              <w:t>€51,200</w:t>
            </w:r>
          </w:p>
        </w:tc>
        <w:tc>
          <w:tcPr>
            <w:tcW w:type="dxa" w:w="1944"/>
            <w:vAlign w:val="center"/>
          </w:tcPr>
          <w:p>
            <w:pPr>
              <w:spacing w:after="0"/>
            </w:pPr>
            <w:r/>
            <w:r>
              <w:rPr>
                <w:rFonts w:ascii="Aptos" w:hAnsi="Aptos"/>
                <w:b w:val="0"/>
                <w:sz w:val="15"/>
              </w:rPr>
              <w:t>€409,200</w:t>
            </w:r>
          </w:p>
        </w:tc>
        <w:tc>
          <w:tcPr>
            <w:tcW w:type="dxa" w:w="1440"/>
            <w:vAlign w:val="center"/>
          </w:tcPr>
          <w:p>
            <w:pPr>
              <w:spacing w:after="0"/>
            </w:pPr>
            <w:r/>
            <w:r>
              <w:rPr>
                <w:rFonts w:ascii="Aptos" w:hAnsi="Aptos"/>
                <w:b w:val="0"/>
                <w:sz w:val="15"/>
              </w:rPr>
              <w:t>88.9%</w:t>
            </w:r>
          </w:p>
        </w:tc>
      </w:tr>
      <w:tr>
        <w:tc>
          <w:tcPr>
            <w:tcW w:type="dxa" w:w="2880"/>
            <w:vAlign w:val="center"/>
          </w:tcPr>
          <w:p>
            <w:pPr>
              <w:spacing w:after="0"/>
            </w:pPr>
            <w:r/>
            <w:r>
              <w:rPr>
                <w:rFonts w:ascii="Aptos" w:hAnsi="Aptos"/>
                <w:b w:val="0"/>
                <w:sz w:val="15"/>
              </w:rPr>
              <w:t>TOTAL</w:t>
            </w:r>
          </w:p>
        </w:tc>
        <w:tc>
          <w:tcPr>
            <w:tcW w:type="dxa" w:w="1728"/>
            <w:vAlign w:val="center"/>
          </w:tcPr>
          <w:p>
            <w:pPr>
              <w:spacing w:after="0"/>
            </w:pPr>
            <w:r/>
            <w:r>
              <w:rPr>
                <w:rFonts w:ascii="Aptos" w:hAnsi="Aptos"/>
                <w:b w:val="0"/>
                <w:sz w:val="15"/>
              </w:rPr>
              <w:t>€7,943,600</w:t>
            </w:r>
          </w:p>
        </w:tc>
        <w:tc>
          <w:tcPr>
            <w:tcW w:type="dxa" w:w="1944"/>
            <w:vAlign w:val="center"/>
          </w:tcPr>
          <w:p>
            <w:pPr>
              <w:spacing w:after="0"/>
            </w:pPr>
            <w:r/>
            <w:r>
              <w:rPr>
                <w:rFonts w:ascii="Aptos" w:hAnsi="Aptos"/>
                <w:b w:val="0"/>
                <w:sz w:val="15"/>
              </w:rPr>
              <w:t>€1,776,450</w:t>
            </w:r>
          </w:p>
        </w:tc>
        <w:tc>
          <w:tcPr>
            <w:tcW w:type="dxa" w:w="1944"/>
            <w:vAlign w:val="center"/>
          </w:tcPr>
          <w:p>
            <w:pPr>
              <w:spacing w:after="0"/>
            </w:pPr>
            <w:r/>
            <w:r>
              <w:rPr>
                <w:rFonts w:ascii="Aptos" w:hAnsi="Aptos"/>
                <w:b w:val="0"/>
                <w:sz w:val="15"/>
              </w:rPr>
              <w:t>€6,167,150</w:t>
            </w:r>
          </w:p>
        </w:tc>
        <w:tc>
          <w:tcPr>
            <w:tcW w:type="dxa" w:w="1440"/>
            <w:vAlign w:val="center"/>
          </w:tcPr>
          <w:p>
            <w:pPr>
              <w:spacing w:after="0"/>
            </w:pPr>
            <w:r/>
            <w:r>
              <w:rPr>
                <w:rFonts w:ascii="Aptos" w:hAnsi="Aptos"/>
                <w:b w:val="0"/>
                <w:sz w:val="15"/>
              </w:rPr>
              <w:t>77.6%</w:t>
            </w:r>
          </w:p>
        </w:tc>
      </w:tr>
    </w:tbl>
    <w:p>
      <w:pPr>
        <w:spacing w:after="40"/>
      </w:pPr>
    </w:p>
    <w:p>
      <w:pPr>
        <w:spacing w:before="60" w:after="80"/>
      </w:pPr>
      <w:r>
        <w:rPr>
          <w:i/>
          <w:color w:val="8C9198"/>
          <w:sz w:val="16"/>
        </w:rPr>
        <w:t>These direct COGS allocations are a new canonical [SIM/DERIVED] operating sub-ledger designed to reconcile exactly to the already-canonized 2026 gross profit. They do not change the frozen company P&amp;L.</w:t>
      </w:r>
    </w:p>
    <w:p>
      <w:pPr>
        <w:pStyle w:val="Heading2"/>
      </w:pPr>
      <w:r>
        <w:t>6.1 What direct cost actually contains</w:t>
      </w:r>
    </w:p>
    <w:p>
      <w:pPr>
        <w:pStyle w:val="ListBullet"/>
        <w:spacing w:after="40"/>
        <w:ind w:left="259"/>
      </w:pPr>
      <w:r>
        <w:t>Cloud compute, storage and data transfer directly attributable to customer deployments.</w:t>
      </w:r>
    </w:p>
    <w:p>
      <w:pPr>
        <w:pStyle w:val="ListBullet"/>
        <w:spacing w:after="40"/>
        <w:ind w:left="259"/>
      </w:pPr>
      <w:r>
        <w:t>Third-party model/API costs when RAS uses an external model for part of a deployment.</w:t>
      </w:r>
    </w:p>
    <w:p>
      <w:pPr>
        <w:pStyle w:val="ListBullet"/>
        <w:spacing w:after="40"/>
        <w:ind w:left="259"/>
      </w:pPr>
      <w:r>
        <w:t>Field engineering time, commissioning and on-site travel directly tied to delivery.</w:t>
      </w:r>
    </w:p>
    <w:p>
      <w:pPr>
        <w:pStyle w:val="ListBullet"/>
        <w:spacing w:after="40"/>
        <w:ind w:left="259"/>
      </w:pPr>
      <w:r>
        <w:t>Prototype and replacement hardware consumed by deployment projects.</w:t>
      </w:r>
    </w:p>
    <w:p>
      <w:pPr>
        <w:pStyle w:val="ListBullet"/>
        <w:spacing w:after="40"/>
        <w:ind w:left="259"/>
      </w:pPr>
      <w:r>
        <w:t>Customer-specific calibration, testing and validation.</w:t>
      </w:r>
    </w:p>
    <w:p>
      <w:pPr>
        <w:pStyle w:val="ListBullet"/>
        <w:spacing w:after="40"/>
        <w:ind w:left="259"/>
      </w:pPr>
      <w:r>
        <w:t>Third-party software, connectors, tools and licenses required for a live contract.</w:t>
      </w:r>
    </w:p>
    <w:p>
      <w:pPr>
        <w:pStyle w:val="ListBullet"/>
        <w:spacing w:after="40"/>
        <w:ind w:left="259"/>
      </w:pPr>
      <w:r>
        <w:t>Customer support labour directly attributable to contracted SLAs.</w:t>
      </w:r>
    </w:p>
    <w:p>
      <w:pPr>
        <w:pStyle w:val="Heading2"/>
      </w:pPr>
      <w:r>
        <w:t>6.2 What is not direct COGS</w:t>
      </w:r>
    </w:p>
    <w:p>
      <w:pPr>
        <w:pStyle w:val="ListBullet"/>
        <w:spacing w:after="40"/>
        <w:ind w:left="259"/>
      </w:pPr>
      <w:r>
        <w:t>Core platform R&amp;D and research salaries.</w:t>
      </w:r>
    </w:p>
    <w:p>
      <w:pPr>
        <w:pStyle w:val="ListBullet"/>
        <w:spacing w:after="40"/>
        <w:ind w:left="259"/>
      </w:pPr>
      <w:r>
        <w:t>Long-term model research whose output may support many products.</w:t>
      </w:r>
    </w:p>
    <w:p>
      <w:pPr>
        <w:pStyle w:val="ListBullet"/>
        <w:spacing w:after="40"/>
        <w:ind w:left="259"/>
      </w:pPr>
      <w:r>
        <w:t>General product development.</w:t>
      </w:r>
    </w:p>
    <w:p>
      <w:pPr>
        <w:pStyle w:val="ListBullet"/>
        <w:spacing w:after="40"/>
        <w:ind w:left="259"/>
      </w:pPr>
      <w:r>
        <w:t>Corporate sales and marketing.</w:t>
      </w:r>
    </w:p>
    <w:p>
      <w:pPr>
        <w:pStyle w:val="ListBullet"/>
        <w:spacing w:after="40"/>
        <w:ind w:left="259"/>
      </w:pPr>
      <w:r>
        <w:t>Finance, legal, HR and executive overhead.</w:t>
      </w:r>
    </w:p>
    <w:p>
      <w:pPr>
        <w:pStyle w:val="ListBullet"/>
        <w:spacing w:after="40"/>
        <w:ind w:left="259"/>
      </w:pPr>
      <w:r>
        <w:t>Corporate facilities not directly attributable to one customer engagement.</w:t>
      </w:r>
    </w:p>
    <w:p>
      <w:pPr>
        <w:pStyle w:val="Heading1"/>
      </w:pPr>
      <w:r>
        <w:t>7. Standard unit economics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024"/>
            <w:vAlign w:val="center"/>
            <w:shd w:fill="0B0D10"/>
          </w:tcPr>
          <w:p>
            <w:pPr>
              <w:spacing w:after="0"/>
            </w:pPr>
            <w:r/>
            <w:r>
              <w:rPr>
                <w:rFonts w:ascii="Aptos" w:hAnsi="Aptos"/>
                <w:b/>
                <w:color w:val="FFFFFF"/>
                <w:sz w:val="15"/>
              </w:rPr>
              <w:t>Offer</w:t>
            </w:r>
          </w:p>
        </w:tc>
        <w:tc>
          <w:tcPr>
            <w:tcW w:type="dxa" w:w="1584"/>
            <w:vAlign w:val="center"/>
            <w:shd w:fill="0B0D10"/>
          </w:tcPr>
          <w:p>
            <w:pPr>
              <w:spacing w:after="0"/>
            </w:pPr>
            <w:r/>
            <w:r>
              <w:rPr>
                <w:rFonts w:ascii="Aptos" w:hAnsi="Aptos"/>
                <w:b/>
                <w:color w:val="FFFFFF"/>
                <w:sz w:val="15"/>
              </w:rPr>
              <w:t>Customer price</w:t>
            </w:r>
          </w:p>
        </w:tc>
        <w:tc>
          <w:tcPr>
            <w:tcW w:type="dxa" w:w="1584"/>
            <w:vAlign w:val="center"/>
            <w:shd w:fill="0B0D10"/>
          </w:tcPr>
          <w:p>
            <w:pPr>
              <w:spacing w:after="0"/>
            </w:pPr>
            <w:r/>
            <w:r>
              <w:rPr>
                <w:rFonts w:ascii="Aptos" w:hAnsi="Aptos"/>
                <w:b/>
                <w:color w:val="FFFFFF"/>
                <w:sz w:val="15"/>
              </w:rPr>
              <w:t>Direct cost</w:t>
            </w:r>
          </w:p>
        </w:tc>
        <w:tc>
          <w:tcPr>
            <w:tcW w:type="dxa" w:w="1584"/>
            <w:vAlign w:val="center"/>
            <w:shd w:fill="0B0D10"/>
          </w:tcPr>
          <w:p>
            <w:pPr>
              <w:spacing w:after="0"/>
            </w:pPr>
            <w:r/>
            <w:r>
              <w:rPr>
                <w:rFonts w:ascii="Aptos" w:hAnsi="Aptos"/>
                <w:b/>
                <w:color w:val="FFFFFF"/>
                <w:sz w:val="15"/>
              </w:rPr>
              <w:t>Gross profit</w:t>
            </w:r>
          </w:p>
        </w:tc>
        <w:tc>
          <w:tcPr>
            <w:tcW w:type="dxa" w:w="1440"/>
            <w:vAlign w:val="center"/>
            <w:shd w:fill="0B0D10"/>
          </w:tcPr>
          <w:p>
            <w:pPr>
              <w:spacing w:after="0"/>
            </w:pPr>
            <w:r/>
            <w:r>
              <w:rPr>
                <w:rFonts w:ascii="Aptos" w:hAnsi="Aptos"/>
                <w:b/>
                <w:color w:val="FFFFFF"/>
                <w:sz w:val="15"/>
              </w:rPr>
              <w:t>Gross margin</w:t>
            </w:r>
          </w:p>
        </w:tc>
      </w:tr>
      <w:tr>
        <w:tc>
          <w:tcPr>
            <w:tcW w:type="dxa" w:w="3024"/>
            <w:vAlign w:val="center"/>
          </w:tcPr>
          <w:p>
            <w:pPr>
              <w:spacing w:after="0"/>
            </w:pPr>
            <w:r/>
            <w:r>
              <w:rPr>
                <w:rFonts w:ascii="Aptos" w:hAnsi="Aptos"/>
                <w:b w:val="0"/>
                <w:sz w:val="15"/>
              </w:rPr>
              <w:t>Perception site / year</w:t>
            </w:r>
          </w:p>
        </w:tc>
        <w:tc>
          <w:tcPr>
            <w:tcW w:type="dxa" w:w="1584"/>
            <w:vAlign w:val="center"/>
          </w:tcPr>
          <w:p>
            <w:pPr>
              <w:spacing w:after="0"/>
            </w:pPr>
            <w:r/>
            <w:r>
              <w:rPr>
                <w:rFonts w:ascii="Aptos" w:hAnsi="Aptos"/>
                <w:b w:val="0"/>
                <w:sz w:val="15"/>
              </w:rPr>
              <w:t>€150,000</w:t>
            </w:r>
          </w:p>
        </w:tc>
        <w:tc>
          <w:tcPr>
            <w:tcW w:type="dxa" w:w="1584"/>
            <w:vAlign w:val="center"/>
          </w:tcPr>
          <w:p>
            <w:pPr>
              <w:spacing w:after="0"/>
            </w:pPr>
            <w:r/>
            <w:r>
              <w:rPr>
                <w:rFonts w:ascii="Aptos" w:hAnsi="Aptos"/>
                <w:b w:val="0"/>
                <w:sz w:val="15"/>
              </w:rPr>
              <w:t>€28,000</w:t>
            </w:r>
          </w:p>
        </w:tc>
        <w:tc>
          <w:tcPr>
            <w:tcW w:type="dxa" w:w="1584"/>
            <w:vAlign w:val="center"/>
          </w:tcPr>
          <w:p>
            <w:pPr>
              <w:spacing w:after="0"/>
            </w:pPr>
            <w:r/>
            <w:r>
              <w:rPr>
                <w:rFonts w:ascii="Aptos" w:hAnsi="Aptos"/>
                <w:b w:val="0"/>
                <w:sz w:val="15"/>
              </w:rPr>
              <w:t>€122,000</w:t>
            </w:r>
          </w:p>
        </w:tc>
        <w:tc>
          <w:tcPr>
            <w:tcW w:type="dxa" w:w="1440"/>
            <w:vAlign w:val="center"/>
          </w:tcPr>
          <w:p>
            <w:pPr>
              <w:spacing w:after="0"/>
            </w:pPr>
            <w:r/>
            <w:r>
              <w:rPr>
                <w:rFonts w:ascii="Aptos" w:hAnsi="Aptos"/>
                <w:b w:val="0"/>
                <w:sz w:val="15"/>
              </w:rPr>
              <w:t>81.3%</w:t>
            </w:r>
          </w:p>
        </w:tc>
      </w:tr>
      <w:tr>
        <w:tc>
          <w:tcPr>
            <w:tcW w:type="dxa" w:w="3024"/>
            <w:vAlign w:val="center"/>
          </w:tcPr>
          <w:p>
            <w:pPr>
              <w:spacing w:after="0"/>
            </w:pPr>
            <w:r/>
            <w:r>
              <w:rPr>
                <w:rFonts w:ascii="Aptos" w:hAnsi="Aptos"/>
                <w:b w:val="0"/>
                <w:sz w:val="15"/>
              </w:rPr>
              <w:t>Motion cell / year</w:t>
            </w:r>
          </w:p>
        </w:tc>
        <w:tc>
          <w:tcPr>
            <w:tcW w:type="dxa" w:w="1584"/>
            <w:vAlign w:val="center"/>
          </w:tcPr>
          <w:p>
            <w:pPr>
              <w:spacing w:after="0"/>
            </w:pPr>
            <w:r/>
            <w:r>
              <w:rPr>
                <w:rFonts w:ascii="Aptos" w:hAnsi="Aptos"/>
                <w:b w:val="0"/>
                <w:sz w:val="15"/>
              </w:rPr>
              <w:t>€180,000</w:t>
            </w:r>
          </w:p>
        </w:tc>
        <w:tc>
          <w:tcPr>
            <w:tcW w:type="dxa" w:w="1584"/>
            <w:vAlign w:val="center"/>
          </w:tcPr>
          <w:p>
            <w:pPr>
              <w:spacing w:after="0"/>
            </w:pPr>
            <w:r/>
            <w:r>
              <w:rPr>
                <w:rFonts w:ascii="Aptos" w:hAnsi="Aptos"/>
                <w:b w:val="0"/>
                <w:sz w:val="15"/>
              </w:rPr>
              <w:t>€36,000</w:t>
            </w:r>
          </w:p>
        </w:tc>
        <w:tc>
          <w:tcPr>
            <w:tcW w:type="dxa" w:w="1584"/>
            <w:vAlign w:val="center"/>
          </w:tcPr>
          <w:p>
            <w:pPr>
              <w:spacing w:after="0"/>
            </w:pPr>
            <w:r/>
            <w:r>
              <w:rPr>
                <w:rFonts w:ascii="Aptos" w:hAnsi="Aptos"/>
                <w:b w:val="0"/>
                <w:sz w:val="15"/>
              </w:rPr>
              <w:t>€144,000</w:t>
            </w:r>
          </w:p>
        </w:tc>
        <w:tc>
          <w:tcPr>
            <w:tcW w:type="dxa" w:w="1440"/>
            <w:vAlign w:val="center"/>
          </w:tcPr>
          <w:p>
            <w:pPr>
              <w:spacing w:after="0"/>
            </w:pPr>
            <w:r/>
            <w:r>
              <w:rPr>
                <w:rFonts w:ascii="Aptos" w:hAnsi="Aptos"/>
                <w:b w:val="0"/>
                <w:sz w:val="15"/>
              </w:rPr>
              <w:t>80.0%</w:t>
            </w:r>
          </w:p>
        </w:tc>
      </w:tr>
      <w:tr>
        <w:tc>
          <w:tcPr>
            <w:tcW w:type="dxa" w:w="3024"/>
            <w:vAlign w:val="center"/>
          </w:tcPr>
          <w:p>
            <w:pPr>
              <w:spacing w:after="0"/>
            </w:pPr>
            <w:r/>
            <w:r>
              <w:rPr>
                <w:rFonts w:ascii="Aptos" w:hAnsi="Aptos"/>
                <w:b w:val="0"/>
                <w:sz w:val="15"/>
              </w:rPr>
              <w:t>Fleet base / site / year</w:t>
            </w:r>
          </w:p>
        </w:tc>
        <w:tc>
          <w:tcPr>
            <w:tcW w:type="dxa" w:w="1584"/>
            <w:vAlign w:val="center"/>
          </w:tcPr>
          <w:p>
            <w:pPr>
              <w:spacing w:after="0"/>
            </w:pPr>
            <w:r/>
            <w:r>
              <w:rPr>
                <w:rFonts w:ascii="Aptos" w:hAnsi="Aptos"/>
                <w:b w:val="0"/>
                <w:sz w:val="15"/>
              </w:rPr>
              <w:t>€48,000</w:t>
            </w:r>
          </w:p>
        </w:tc>
        <w:tc>
          <w:tcPr>
            <w:tcW w:type="dxa" w:w="1584"/>
            <w:vAlign w:val="center"/>
          </w:tcPr>
          <w:p>
            <w:pPr>
              <w:spacing w:after="0"/>
            </w:pPr>
            <w:r/>
            <w:r>
              <w:rPr>
                <w:rFonts w:ascii="Aptos" w:hAnsi="Aptos"/>
                <w:b w:val="0"/>
                <w:sz w:val="15"/>
              </w:rPr>
              <w:t>€14,000</w:t>
            </w:r>
          </w:p>
        </w:tc>
        <w:tc>
          <w:tcPr>
            <w:tcW w:type="dxa" w:w="1584"/>
            <w:vAlign w:val="center"/>
          </w:tcPr>
          <w:p>
            <w:pPr>
              <w:spacing w:after="0"/>
            </w:pPr>
            <w:r/>
            <w:r>
              <w:rPr>
                <w:rFonts w:ascii="Aptos" w:hAnsi="Aptos"/>
                <w:b w:val="0"/>
                <w:sz w:val="15"/>
              </w:rPr>
              <w:t>€34,000</w:t>
            </w:r>
          </w:p>
        </w:tc>
        <w:tc>
          <w:tcPr>
            <w:tcW w:type="dxa" w:w="1440"/>
            <w:vAlign w:val="center"/>
          </w:tcPr>
          <w:p>
            <w:pPr>
              <w:spacing w:after="0"/>
            </w:pPr>
            <w:r/>
            <w:r>
              <w:rPr>
                <w:rFonts w:ascii="Aptos" w:hAnsi="Aptos"/>
                <w:b w:val="0"/>
                <w:sz w:val="15"/>
              </w:rPr>
              <w:t>70.8% before per-robot cost</w:t>
            </w:r>
          </w:p>
        </w:tc>
      </w:tr>
      <w:tr>
        <w:tc>
          <w:tcPr>
            <w:tcW w:type="dxa" w:w="3024"/>
            <w:vAlign w:val="center"/>
          </w:tcPr>
          <w:p>
            <w:pPr>
              <w:spacing w:after="0"/>
            </w:pPr>
            <w:r/>
            <w:r>
              <w:rPr>
                <w:rFonts w:ascii="Aptos" w:hAnsi="Aptos"/>
                <w:b w:val="0"/>
                <w:sz w:val="15"/>
              </w:rPr>
              <w:t>Simulation site / year</w:t>
            </w:r>
          </w:p>
        </w:tc>
        <w:tc>
          <w:tcPr>
            <w:tcW w:type="dxa" w:w="1584"/>
            <w:vAlign w:val="center"/>
          </w:tcPr>
          <w:p>
            <w:pPr>
              <w:spacing w:after="0"/>
            </w:pPr>
            <w:r/>
            <w:r>
              <w:rPr>
                <w:rFonts w:ascii="Aptos" w:hAnsi="Aptos"/>
                <w:b w:val="0"/>
                <w:sz w:val="15"/>
              </w:rPr>
              <w:t>€120,000</w:t>
            </w:r>
          </w:p>
        </w:tc>
        <w:tc>
          <w:tcPr>
            <w:tcW w:type="dxa" w:w="1584"/>
            <w:vAlign w:val="center"/>
          </w:tcPr>
          <w:p>
            <w:pPr>
              <w:spacing w:after="0"/>
            </w:pPr>
            <w:r/>
            <w:r>
              <w:rPr>
                <w:rFonts w:ascii="Aptos" w:hAnsi="Aptos"/>
                <w:b w:val="0"/>
                <w:sz w:val="15"/>
              </w:rPr>
              <w:t>€22,000</w:t>
            </w:r>
          </w:p>
        </w:tc>
        <w:tc>
          <w:tcPr>
            <w:tcW w:type="dxa" w:w="1584"/>
            <w:vAlign w:val="center"/>
          </w:tcPr>
          <w:p>
            <w:pPr>
              <w:spacing w:after="0"/>
            </w:pPr>
            <w:r/>
            <w:r>
              <w:rPr>
                <w:rFonts w:ascii="Aptos" w:hAnsi="Aptos"/>
                <w:b w:val="0"/>
                <w:sz w:val="15"/>
              </w:rPr>
              <w:t>€98,000</w:t>
            </w:r>
          </w:p>
        </w:tc>
        <w:tc>
          <w:tcPr>
            <w:tcW w:type="dxa" w:w="1440"/>
            <w:vAlign w:val="center"/>
          </w:tcPr>
          <w:p>
            <w:pPr>
              <w:spacing w:after="0"/>
            </w:pPr>
            <w:r/>
            <w:r>
              <w:rPr>
                <w:rFonts w:ascii="Aptos" w:hAnsi="Aptos"/>
                <w:b w:val="0"/>
                <w:sz w:val="15"/>
              </w:rPr>
              <w:t>81.7%</w:t>
            </w:r>
          </w:p>
        </w:tc>
      </w:tr>
      <w:tr>
        <w:tc>
          <w:tcPr>
            <w:tcW w:type="dxa" w:w="3024"/>
            <w:vAlign w:val="center"/>
          </w:tcPr>
          <w:p>
            <w:pPr>
              <w:spacing w:after="0"/>
            </w:pPr>
            <w:r/>
            <w:r>
              <w:rPr>
                <w:rFonts w:ascii="Aptos" w:hAnsi="Aptos"/>
                <w:b w:val="0"/>
                <w:sz w:val="15"/>
              </w:rPr>
              <w:t>Manipulation partner / year</w:t>
            </w:r>
          </w:p>
        </w:tc>
        <w:tc>
          <w:tcPr>
            <w:tcW w:type="dxa" w:w="1584"/>
            <w:vAlign w:val="center"/>
          </w:tcPr>
          <w:p>
            <w:pPr>
              <w:spacing w:after="0"/>
            </w:pPr>
            <w:r/>
            <w:r>
              <w:rPr>
                <w:rFonts w:ascii="Aptos" w:hAnsi="Aptos"/>
                <w:b w:val="0"/>
                <w:sz w:val="15"/>
              </w:rPr>
              <w:t>€250,000</w:t>
            </w:r>
          </w:p>
        </w:tc>
        <w:tc>
          <w:tcPr>
            <w:tcW w:type="dxa" w:w="1584"/>
            <w:vAlign w:val="center"/>
          </w:tcPr>
          <w:p>
            <w:pPr>
              <w:spacing w:after="0"/>
            </w:pPr>
            <w:r/>
            <w:r>
              <w:rPr>
                <w:rFonts w:ascii="Aptos" w:hAnsi="Aptos"/>
                <w:b w:val="0"/>
                <w:sz w:val="15"/>
              </w:rPr>
              <w:t>€85,000</w:t>
            </w:r>
          </w:p>
        </w:tc>
        <w:tc>
          <w:tcPr>
            <w:tcW w:type="dxa" w:w="1584"/>
            <w:vAlign w:val="center"/>
          </w:tcPr>
          <w:p>
            <w:pPr>
              <w:spacing w:after="0"/>
            </w:pPr>
            <w:r/>
            <w:r>
              <w:rPr>
                <w:rFonts w:ascii="Aptos" w:hAnsi="Aptos"/>
                <w:b w:val="0"/>
                <w:sz w:val="15"/>
              </w:rPr>
              <w:t>€165,000</w:t>
            </w:r>
          </w:p>
        </w:tc>
        <w:tc>
          <w:tcPr>
            <w:tcW w:type="dxa" w:w="1440"/>
            <w:vAlign w:val="center"/>
          </w:tcPr>
          <w:p>
            <w:pPr>
              <w:spacing w:after="0"/>
            </w:pPr>
            <w:r/>
            <w:r>
              <w:rPr>
                <w:rFonts w:ascii="Aptos" w:hAnsi="Aptos"/>
                <w:b w:val="0"/>
                <w:sz w:val="15"/>
              </w:rPr>
              <w:t>66.0%</w:t>
            </w:r>
          </w:p>
        </w:tc>
      </w:tr>
      <w:tr>
        <w:tc>
          <w:tcPr>
            <w:tcW w:type="dxa" w:w="3024"/>
            <w:vAlign w:val="center"/>
          </w:tcPr>
          <w:p>
            <w:pPr>
              <w:spacing w:after="0"/>
            </w:pPr>
            <w:r/>
            <w:r>
              <w:rPr>
                <w:rFonts w:ascii="Aptos" w:hAnsi="Aptos"/>
                <w:b w:val="0"/>
                <w:sz w:val="15"/>
              </w:rPr>
              <w:t>Deployment project</w:t>
            </w:r>
          </w:p>
        </w:tc>
        <w:tc>
          <w:tcPr>
            <w:tcW w:type="dxa" w:w="1584"/>
            <w:vAlign w:val="center"/>
          </w:tcPr>
          <w:p>
            <w:pPr>
              <w:spacing w:after="0"/>
            </w:pPr>
            <w:r/>
            <w:r>
              <w:rPr>
                <w:rFonts w:ascii="Aptos" w:hAnsi="Aptos"/>
                <w:b w:val="0"/>
                <w:sz w:val="15"/>
              </w:rPr>
              <w:t>€120,000</w:t>
            </w:r>
          </w:p>
        </w:tc>
        <w:tc>
          <w:tcPr>
            <w:tcW w:type="dxa" w:w="1584"/>
            <w:vAlign w:val="center"/>
          </w:tcPr>
          <w:p>
            <w:pPr>
              <w:spacing w:after="0"/>
            </w:pPr>
            <w:r/>
            <w:r>
              <w:rPr>
                <w:rFonts w:ascii="Aptos" w:hAnsi="Aptos"/>
                <w:b w:val="0"/>
                <w:sz w:val="15"/>
              </w:rPr>
              <w:t>€72,000</w:t>
            </w:r>
          </w:p>
        </w:tc>
        <w:tc>
          <w:tcPr>
            <w:tcW w:type="dxa" w:w="1584"/>
            <w:vAlign w:val="center"/>
          </w:tcPr>
          <w:p>
            <w:pPr>
              <w:spacing w:after="0"/>
            </w:pPr>
            <w:r/>
            <w:r>
              <w:rPr>
                <w:rFonts w:ascii="Aptos" w:hAnsi="Aptos"/>
                <w:b w:val="0"/>
                <w:sz w:val="15"/>
              </w:rPr>
              <w:t>€48,000</w:t>
            </w:r>
          </w:p>
        </w:tc>
        <w:tc>
          <w:tcPr>
            <w:tcW w:type="dxa" w:w="1440"/>
            <w:vAlign w:val="center"/>
          </w:tcPr>
          <w:p>
            <w:pPr>
              <w:spacing w:after="0"/>
            </w:pPr>
            <w:r/>
            <w:r>
              <w:rPr>
                <w:rFonts w:ascii="Aptos" w:hAnsi="Aptos"/>
                <w:b w:val="0"/>
                <w:sz w:val="15"/>
              </w:rPr>
              <w:t>40.0%</w:t>
            </w:r>
          </w:p>
        </w:tc>
      </w:tr>
      <w:tr>
        <w:tc>
          <w:tcPr>
            <w:tcW w:type="dxa" w:w="3024"/>
            <w:vAlign w:val="center"/>
          </w:tcPr>
          <w:p>
            <w:pPr>
              <w:spacing w:after="0"/>
            </w:pPr>
            <w:r/>
            <w:r>
              <w:rPr>
                <w:rFonts w:ascii="Aptos" w:hAnsi="Aptos"/>
                <w:b w:val="0"/>
                <w:sz w:val="15"/>
              </w:rPr>
              <w:t>Robotics engineering block</w:t>
            </w:r>
          </w:p>
        </w:tc>
        <w:tc>
          <w:tcPr>
            <w:tcW w:type="dxa" w:w="1584"/>
            <w:vAlign w:val="center"/>
          </w:tcPr>
          <w:p>
            <w:pPr>
              <w:spacing w:after="0"/>
            </w:pPr>
            <w:r/>
            <w:r>
              <w:rPr>
                <w:rFonts w:ascii="Aptos" w:hAnsi="Aptos"/>
                <w:b w:val="0"/>
                <w:sz w:val="15"/>
              </w:rPr>
              <w:t>€25,000</w:t>
            </w:r>
          </w:p>
        </w:tc>
        <w:tc>
          <w:tcPr>
            <w:tcW w:type="dxa" w:w="1584"/>
            <w:vAlign w:val="center"/>
          </w:tcPr>
          <w:p>
            <w:pPr>
              <w:spacing w:after="0"/>
            </w:pPr>
            <w:r/>
            <w:r>
              <w:rPr>
                <w:rFonts w:ascii="Aptos" w:hAnsi="Aptos"/>
                <w:b w:val="0"/>
                <w:sz w:val="15"/>
              </w:rPr>
              <w:t>€18,500</w:t>
            </w:r>
          </w:p>
        </w:tc>
        <w:tc>
          <w:tcPr>
            <w:tcW w:type="dxa" w:w="1584"/>
            <w:vAlign w:val="center"/>
          </w:tcPr>
          <w:p>
            <w:pPr>
              <w:spacing w:after="0"/>
            </w:pPr>
            <w:r/>
            <w:r>
              <w:rPr>
                <w:rFonts w:ascii="Aptos" w:hAnsi="Aptos"/>
                <w:b w:val="0"/>
                <w:sz w:val="15"/>
              </w:rPr>
              <w:t>€6,500</w:t>
            </w:r>
          </w:p>
        </w:tc>
        <w:tc>
          <w:tcPr>
            <w:tcW w:type="dxa" w:w="1440"/>
            <w:vAlign w:val="center"/>
          </w:tcPr>
          <w:p>
            <w:pPr>
              <w:spacing w:after="0"/>
            </w:pPr>
            <w:r/>
            <w:r>
              <w:rPr>
                <w:rFonts w:ascii="Aptos" w:hAnsi="Aptos"/>
                <w:b w:val="0"/>
                <w:sz w:val="15"/>
              </w:rPr>
              <w:t>26.0%</w:t>
            </w:r>
          </w:p>
        </w:tc>
      </w:tr>
      <w:tr>
        <w:tc>
          <w:tcPr>
            <w:tcW w:type="dxa" w:w="3024"/>
            <w:vAlign w:val="center"/>
          </w:tcPr>
          <w:p>
            <w:pPr>
              <w:spacing w:after="0"/>
            </w:pPr>
            <w:r/>
            <w:r>
              <w:rPr>
                <w:rFonts w:ascii="Aptos" w:hAnsi="Aptos"/>
                <w:b w:val="0"/>
                <w:sz w:val="15"/>
              </w:rPr>
              <w:t>Data &amp; Fleet Operations</w:t>
            </w:r>
          </w:p>
        </w:tc>
        <w:tc>
          <w:tcPr>
            <w:tcW w:type="dxa" w:w="1584"/>
            <w:vAlign w:val="center"/>
          </w:tcPr>
          <w:p>
            <w:pPr>
              <w:spacing w:after="0"/>
            </w:pPr>
            <w:r/>
            <w:r>
              <w:rPr>
                <w:rFonts w:ascii="Aptos" w:hAnsi="Aptos"/>
                <w:b w:val="0"/>
                <w:sz w:val="15"/>
              </w:rPr>
              <w:t>€85,000</w:t>
            </w:r>
          </w:p>
        </w:tc>
        <w:tc>
          <w:tcPr>
            <w:tcW w:type="dxa" w:w="1584"/>
            <w:vAlign w:val="center"/>
          </w:tcPr>
          <w:p>
            <w:pPr>
              <w:spacing w:after="0"/>
            </w:pPr>
            <w:r/>
            <w:r>
              <w:rPr>
                <w:rFonts w:ascii="Aptos" w:hAnsi="Aptos"/>
                <w:b w:val="0"/>
                <w:sz w:val="15"/>
              </w:rPr>
              <w:t>€42,000</w:t>
            </w:r>
          </w:p>
        </w:tc>
        <w:tc>
          <w:tcPr>
            <w:tcW w:type="dxa" w:w="1584"/>
            <w:vAlign w:val="center"/>
          </w:tcPr>
          <w:p>
            <w:pPr>
              <w:spacing w:after="0"/>
            </w:pPr>
            <w:r/>
            <w:r>
              <w:rPr>
                <w:rFonts w:ascii="Aptos" w:hAnsi="Aptos"/>
                <w:b w:val="0"/>
                <w:sz w:val="15"/>
              </w:rPr>
              <w:t>€43,000</w:t>
            </w:r>
          </w:p>
        </w:tc>
        <w:tc>
          <w:tcPr>
            <w:tcW w:type="dxa" w:w="1440"/>
            <w:vAlign w:val="center"/>
          </w:tcPr>
          <w:p>
            <w:pPr>
              <w:spacing w:after="0"/>
            </w:pPr>
            <w:r/>
            <w:r>
              <w:rPr>
                <w:rFonts w:ascii="Aptos" w:hAnsi="Aptos"/>
                <w:b w:val="0"/>
                <w:sz w:val="15"/>
              </w:rPr>
              <w:t>50.6%</w:t>
            </w:r>
          </w:p>
        </w:tc>
      </w:tr>
      <w:tr>
        <w:tc>
          <w:tcPr>
            <w:tcW w:type="dxa" w:w="3024"/>
            <w:vAlign w:val="center"/>
          </w:tcPr>
          <w:p>
            <w:pPr>
              <w:spacing w:after="0"/>
            </w:pPr>
            <w:r/>
            <w:r>
              <w:rPr>
                <w:rFonts w:ascii="Aptos" w:hAnsi="Aptos"/>
                <w:b w:val="0"/>
                <w:sz w:val="15"/>
              </w:rPr>
              <w:t>Support Silver</w:t>
            </w:r>
          </w:p>
        </w:tc>
        <w:tc>
          <w:tcPr>
            <w:tcW w:type="dxa" w:w="1584"/>
            <w:vAlign w:val="center"/>
          </w:tcPr>
          <w:p>
            <w:pPr>
              <w:spacing w:after="0"/>
            </w:pPr>
            <w:r/>
            <w:r>
              <w:rPr>
                <w:rFonts w:ascii="Aptos" w:hAnsi="Aptos"/>
                <w:b w:val="0"/>
                <w:sz w:val="15"/>
              </w:rPr>
              <w:t>€72,000</w:t>
            </w:r>
          </w:p>
        </w:tc>
        <w:tc>
          <w:tcPr>
            <w:tcW w:type="dxa" w:w="1584"/>
            <w:vAlign w:val="center"/>
          </w:tcPr>
          <w:p>
            <w:pPr>
              <w:spacing w:after="0"/>
            </w:pPr>
            <w:r/>
            <w:r>
              <w:rPr>
                <w:rFonts w:ascii="Aptos" w:hAnsi="Aptos"/>
                <w:b w:val="0"/>
                <w:sz w:val="15"/>
              </w:rPr>
              <w:t>€31,000</w:t>
            </w:r>
          </w:p>
        </w:tc>
        <w:tc>
          <w:tcPr>
            <w:tcW w:type="dxa" w:w="1584"/>
            <w:vAlign w:val="center"/>
          </w:tcPr>
          <w:p>
            <w:pPr>
              <w:spacing w:after="0"/>
            </w:pPr>
            <w:r/>
            <w:r>
              <w:rPr>
                <w:rFonts w:ascii="Aptos" w:hAnsi="Aptos"/>
                <w:b w:val="0"/>
                <w:sz w:val="15"/>
              </w:rPr>
              <w:t>€41,000</w:t>
            </w:r>
          </w:p>
        </w:tc>
        <w:tc>
          <w:tcPr>
            <w:tcW w:type="dxa" w:w="1440"/>
            <w:vAlign w:val="center"/>
          </w:tcPr>
          <w:p>
            <w:pPr>
              <w:spacing w:after="0"/>
            </w:pPr>
            <w:r/>
            <w:r>
              <w:rPr>
                <w:rFonts w:ascii="Aptos" w:hAnsi="Aptos"/>
                <w:b w:val="0"/>
                <w:sz w:val="15"/>
              </w:rPr>
              <w:t>56.9%</w:t>
            </w:r>
          </w:p>
        </w:tc>
      </w:tr>
      <w:tr>
        <w:tc>
          <w:tcPr>
            <w:tcW w:type="dxa" w:w="3024"/>
            <w:vAlign w:val="center"/>
          </w:tcPr>
          <w:p>
            <w:pPr>
              <w:spacing w:after="0"/>
            </w:pPr>
            <w:r/>
            <w:r>
              <w:rPr>
                <w:rFonts w:ascii="Aptos" w:hAnsi="Aptos"/>
                <w:b w:val="0"/>
                <w:sz w:val="15"/>
              </w:rPr>
              <w:t>IP license upfront</w:t>
            </w:r>
          </w:p>
        </w:tc>
        <w:tc>
          <w:tcPr>
            <w:tcW w:type="dxa" w:w="1584"/>
            <w:vAlign w:val="center"/>
          </w:tcPr>
          <w:p>
            <w:pPr>
              <w:spacing w:after="0"/>
            </w:pPr>
            <w:r/>
            <w:r>
              <w:rPr>
                <w:rFonts w:ascii="Aptos" w:hAnsi="Aptos"/>
                <w:b w:val="0"/>
                <w:sz w:val="15"/>
              </w:rPr>
              <w:t>€250,000</w:t>
            </w:r>
          </w:p>
        </w:tc>
        <w:tc>
          <w:tcPr>
            <w:tcW w:type="dxa" w:w="1584"/>
            <w:vAlign w:val="center"/>
          </w:tcPr>
          <w:p>
            <w:pPr>
              <w:spacing w:after="0"/>
            </w:pPr>
            <w:r/>
            <w:r>
              <w:rPr>
                <w:rFonts w:ascii="Aptos" w:hAnsi="Aptos"/>
                <w:b w:val="0"/>
                <w:sz w:val="15"/>
              </w:rPr>
              <w:t>€20,000</w:t>
            </w:r>
          </w:p>
        </w:tc>
        <w:tc>
          <w:tcPr>
            <w:tcW w:type="dxa" w:w="1584"/>
            <w:vAlign w:val="center"/>
          </w:tcPr>
          <w:p>
            <w:pPr>
              <w:spacing w:after="0"/>
            </w:pPr>
            <w:r/>
            <w:r>
              <w:rPr>
                <w:rFonts w:ascii="Aptos" w:hAnsi="Aptos"/>
                <w:b w:val="0"/>
                <w:sz w:val="15"/>
              </w:rPr>
              <w:t>€230,000</w:t>
            </w:r>
          </w:p>
        </w:tc>
        <w:tc>
          <w:tcPr>
            <w:tcW w:type="dxa" w:w="1440"/>
            <w:vAlign w:val="center"/>
          </w:tcPr>
          <w:p>
            <w:pPr>
              <w:spacing w:after="0"/>
            </w:pPr>
            <w:r/>
            <w:r>
              <w:rPr>
                <w:rFonts w:ascii="Aptos" w:hAnsi="Aptos"/>
                <w:b w:val="0"/>
                <w:sz w:val="15"/>
              </w:rPr>
              <w:t>92.0% before royalty economics</w:t>
            </w:r>
          </w:p>
        </w:tc>
      </w:tr>
    </w:tbl>
    <w:p>
      <w:pPr>
        <w:spacing w:after="40"/>
      </w:pPr>
    </w:p>
    <w:p>
      <w:r>
        <w:t>The business deliberately accepts lower-margin deployment and engineering work because those activities generate the operational data, customer access and reference deployments that feed the higher-margin software and licensing layers.</w:t>
      </w:r>
    </w:p>
    <w:p>
      <w:pPr>
        <w:pStyle w:val="Heading1"/>
      </w:pPr>
      <w:r>
        <w:t>8. 2026 commercial ledger — exact revenue bridge</w:t>
      </w:r>
    </w:p>
    <w:p>
      <w:r>
        <w:t>The v3.8 contract expansion previously noted that the individual contract ledger had to reconcile back to the authoritative €7,943,600 corporate revenue number. This section freezes that reconciliation as the canonical sub-ledger for simulation play. The underlying counterparties remain [REAL company / SIM contract] unless independently documented.</w:t>
      </w:r>
    </w:p>
    <w:p>
      <w:pPr>
        <w:pStyle w:val="Heading2"/>
      </w:pPr>
      <w:r>
        <w:t>CL-001 · ArcelorMittal Luxembourg · €1.540.000</w:t>
      </w:r>
    </w:p>
    <w:tbl>
      <w:tblPr>
        <w:tblStyle w:val="TableGrid"/>
        <w:tblW w:type="auto" w:w="0"/>
        <w:jc w:val="center"/>
        <w:tblLook w:firstColumn="1" w:firstRow="1" w:lastColumn="0" w:lastRow="0" w:noHBand="0" w:noVBand="1" w:val="04A0"/>
      </w:tblPr>
      <w:tblGrid>
        <w:gridCol w:w="5083"/>
        <w:gridCol w:w="5083"/>
      </w:tblGrid>
      <w:tr>
        <w:tc>
          <w:tcPr>
            <w:tcW w:type="dxa" w:w="6480"/>
            <w:vAlign w:val="center"/>
            <w:shd w:fill="0B0D10"/>
          </w:tcPr>
          <w:p>
            <w:pPr>
              <w:spacing w:after="0"/>
            </w:pPr>
            <w:r/>
            <w:r>
              <w:rPr>
                <w:rFonts w:ascii="Aptos" w:hAnsi="Aptos"/>
                <w:b/>
                <w:color w:val="FFFFFF"/>
                <w:sz w:val="16"/>
              </w:rPr>
              <w:t>Revenue component</w:t>
            </w:r>
          </w:p>
        </w:tc>
        <w:tc>
          <w:tcPr>
            <w:tcW w:type="dxa" w:w="2304"/>
            <w:vAlign w:val="center"/>
            <w:shd w:fill="0B0D10"/>
          </w:tcPr>
          <w:p>
            <w:pPr>
              <w:spacing w:after="0"/>
            </w:pPr>
            <w:r/>
            <w:r>
              <w:rPr>
                <w:rFonts w:ascii="Aptos" w:hAnsi="Aptos"/>
                <w:b/>
                <w:color w:val="FFFFFF"/>
                <w:sz w:val="16"/>
              </w:rPr>
              <w:t>2026 recognized</w:t>
            </w:r>
          </w:p>
        </w:tc>
      </w:tr>
      <w:tr>
        <w:tc>
          <w:tcPr>
            <w:tcW w:type="dxa" w:w="6480"/>
            <w:vAlign w:val="center"/>
          </w:tcPr>
          <w:p>
            <w:pPr>
              <w:spacing w:after="0"/>
            </w:pPr>
            <w:r/>
            <w:r>
              <w:rPr>
                <w:rFonts w:ascii="Aptos" w:hAnsi="Aptos"/>
                <w:b w:val="0"/>
                <w:sz w:val="16"/>
              </w:rPr>
              <w:t>Subscriptions / licences</w:t>
            </w:r>
          </w:p>
        </w:tc>
        <w:tc>
          <w:tcPr>
            <w:tcW w:type="dxa" w:w="2304"/>
            <w:vAlign w:val="center"/>
          </w:tcPr>
          <w:p>
            <w:pPr>
              <w:spacing w:after="0"/>
            </w:pPr>
            <w:r/>
            <w:r>
              <w:rPr>
                <w:rFonts w:ascii="Aptos" w:hAnsi="Aptos"/>
                <w:b w:val="0"/>
                <w:sz w:val="16"/>
              </w:rPr>
              <w:t>€300.000</w:t>
            </w:r>
          </w:p>
        </w:tc>
      </w:tr>
      <w:tr>
        <w:tc>
          <w:tcPr>
            <w:tcW w:type="dxa" w:w="6480"/>
            <w:vAlign w:val="center"/>
          </w:tcPr>
          <w:p>
            <w:pPr>
              <w:spacing w:after="0"/>
            </w:pPr>
            <w:r/>
            <w:r>
              <w:rPr>
                <w:rFonts w:ascii="Aptos" w:hAnsi="Aptos"/>
                <w:b w:val="0"/>
                <w:sz w:val="16"/>
              </w:rPr>
              <w:t>Deployment / integration</w:t>
            </w:r>
          </w:p>
        </w:tc>
        <w:tc>
          <w:tcPr>
            <w:tcW w:type="dxa" w:w="2304"/>
            <w:vAlign w:val="center"/>
          </w:tcPr>
          <w:p>
            <w:pPr>
              <w:spacing w:after="0"/>
            </w:pPr>
            <w:r/>
            <w:r>
              <w:rPr>
                <w:rFonts w:ascii="Aptos" w:hAnsi="Aptos"/>
                <w:b w:val="0"/>
                <w:sz w:val="16"/>
              </w:rPr>
              <w:t>€600.000</w:t>
            </w:r>
          </w:p>
        </w:tc>
      </w:tr>
      <w:tr>
        <w:tc>
          <w:tcPr>
            <w:tcW w:type="dxa" w:w="6480"/>
            <w:vAlign w:val="center"/>
          </w:tcPr>
          <w:p>
            <w:pPr>
              <w:spacing w:after="0"/>
            </w:pPr>
            <w:r/>
            <w:r>
              <w:rPr>
                <w:rFonts w:ascii="Aptos" w:hAnsi="Aptos"/>
                <w:b w:val="0"/>
                <w:sz w:val="16"/>
              </w:rPr>
              <w:t>Robotics engineering</w:t>
            </w:r>
          </w:p>
        </w:tc>
        <w:tc>
          <w:tcPr>
            <w:tcW w:type="dxa" w:w="2304"/>
            <w:vAlign w:val="center"/>
          </w:tcPr>
          <w:p>
            <w:pPr>
              <w:spacing w:after="0"/>
            </w:pPr>
            <w:r/>
            <w:r>
              <w:rPr>
                <w:rFonts w:ascii="Aptos" w:hAnsi="Aptos"/>
                <w:b w:val="0"/>
                <w:sz w:val="16"/>
              </w:rPr>
              <w:t>€200.000</w:t>
            </w:r>
          </w:p>
        </w:tc>
      </w:tr>
      <w:tr>
        <w:tc>
          <w:tcPr>
            <w:tcW w:type="dxa" w:w="6480"/>
            <w:vAlign w:val="center"/>
          </w:tcPr>
          <w:p>
            <w:pPr>
              <w:spacing w:after="0"/>
            </w:pPr>
            <w:r/>
            <w:r>
              <w:rPr>
                <w:rFonts w:ascii="Aptos" w:hAnsi="Aptos"/>
                <w:b w:val="0"/>
                <w:sz w:val="16"/>
              </w:rPr>
              <w:t>Data / fleet intelligence</w:t>
            </w:r>
          </w:p>
        </w:tc>
        <w:tc>
          <w:tcPr>
            <w:tcW w:type="dxa" w:w="2304"/>
            <w:vAlign w:val="center"/>
          </w:tcPr>
          <w:p>
            <w:pPr>
              <w:spacing w:after="0"/>
            </w:pPr>
            <w:r/>
            <w:r>
              <w:rPr>
                <w:rFonts w:ascii="Aptos" w:hAnsi="Aptos"/>
                <w:b w:val="0"/>
                <w:sz w:val="16"/>
              </w:rPr>
              <w:t>€300.000</w:t>
            </w:r>
          </w:p>
        </w:tc>
      </w:tr>
      <w:tr>
        <w:tc>
          <w:tcPr>
            <w:tcW w:type="dxa" w:w="6480"/>
            <w:vAlign w:val="center"/>
          </w:tcPr>
          <w:p>
            <w:pPr>
              <w:spacing w:after="0"/>
            </w:pPr>
            <w:r/>
            <w:r>
              <w:rPr>
                <w:rFonts w:ascii="Aptos" w:hAnsi="Aptos"/>
                <w:b w:val="0"/>
                <w:sz w:val="16"/>
              </w:rPr>
              <w:t>Support / maintenance</w:t>
            </w:r>
          </w:p>
        </w:tc>
        <w:tc>
          <w:tcPr>
            <w:tcW w:type="dxa" w:w="2304"/>
            <w:vAlign w:val="center"/>
          </w:tcPr>
          <w:p>
            <w:pPr>
              <w:spacing w:after="0"/>
            </w:pPr>
            <w:r/>
            <w:r>
              <w:rPr>
                <w:rFonts w:ascii="Aptos" w:hAnsi="Aptos"/>
                <w:b w:val="0"/>
                <w:sz w:val="16"/>
              </w:rPr>
              <w:t>€140.000</w:t>
            </w:r>
          </w:p>
        </w:tc>
      </w:tr>
      <w:tr>
        <w:tc>
          <w:tcPr>
            <w:tcW w:type="dxa" w:w="6480"/>
            <w:vAlign w:val="center"/>
          </w:tcPr>
          <w:p>
            <w:pPr>
              <w:spacing w:after="0"/>
            </w:pPr>
            <w:r/>
            <w:r>
              <w:rPr>
                <w:rFonts w:ascii="Aptos" w:hAnsi="Aptos"/>
                <w:b w:val="0"/>
                <w:sz w:val="16"/>
              </w:rPr>
              <w:t>TOTAL</w:t>
            </w:r>
          </w:p>
        </w:tc>
        <w:tc>
          <w:tcPr>
            <w:tcW w:type="dxa" w:w="2304"/>
            <w:vAlign w:val="center"/>
          </w:tcPr>
          <w:p>
            <w:pPr>
              <w:spacing w:after="0"/>
            </w:pPr>
            <w:r/>
            <w:r>
              <w:rPr>
                <w:rFonts w:ascii="Aptos" w:hAnsi="Aptos"/>
                <w:b w:val="0"/>
                <w:sz w:val="16"/>
              </w:rPr>
              <w:t>€1.540.000</w:t>
            </w:r>
          </w:p>
        </w:tc>
      </w:tr>
    </w:tbl>
    <w:p>
      <w:pPr>
        <w:spacing w:after="40"/>
      </w:pPr>
    </w:p>
    <w:p>
      <w:pPr>
        <w:pStyle w:val="Heading2"/>
      </w:pPr>
      <w:r>
        <w:t>CL-002 · Goodyear Luxembourg · €1.380.000</w:t>
      </w:r>
    </w:p>
    <w:tbl>
      <w:tblPr>
        <w:tblStyle w:val="TableGrid"/>
        <w:tblW w:type="auto" w:w="0"/>
        <w:jc w:val="center"/>
        <w:tblLook w:firstColumn="1" w:firstRow="1" w:lastColumn="0" w:lastRow="0" w:noHBand="0" w:noVBand="1" w:val="04A0"/>
      </w:tblPr>
      <w:tblGrid>
        <w:gridCol w:w="5083"/>
        <w:gridCol w:w="5083"/>
      </w:tblGrid>
      <w:tr>
        <w:tc>
          <w:tcPr>
            <w:tcW w:type="dxa" w:w="6480"/>
            <w:vAlign w:val="center"/>
            <w:shd w:fill="0B0D10"/>
          </w:tcPr>
          <w:p>
            <w:pPr>
              <w:spacing w:after="0"/>
            </w:pPr>
            <w:r/>
            <w:r>
              <w:rPr>
                <w:rFonts w:ascii="Aptos" w:hAnsi="Aptos"/>
                <w:b/>
                <w:color w:val="FFFFFF"/>
                <w:sz w:val="16"/>
              </w:rPr>
              <w:t>Revenue component</w:t>
            </w:r>
          </w:p>
        </w:tc>
        <w:tc>
          <w:tcPr>
            <w:tcW w:type="dxa" w:w="2304"/>
            <w:vAlign w:val="center"/>
            <w:shd w:fill="0B0D10"/>
          </w:tcPr>
          <w:p>
            <w:pPr>
              <w:spacing w:after="0"/>
            </w:pPr>
            <w:r/>
            <w:r>
              <w:rPr>
                <w:rFonts w:ascii="Aptos" w:hAnsi="Aptos"/>
                <w:b/>
                <w:color w:val="FFFFFF"/>
                <w:sz w:val="16"/>
              </w:rPr>
              <w:t>2026 recognized</w:t>
            </w:r>
          </w:p>
        </w:tc>
      </w:tr>
      <w:tr>
        <w:tc>
          <w:tcPr>
            <w:tcW w:type="dxa" w:w="6480"/>
            <w:vAlign w:val="center"/>
          </w:tcPr>
          <w:p>
            <w:pPr>
              <w:spacing w:after="0"/>
            </w:pPr>
            <w:r/>
            <w:r>
              <w:rPr>
                <w:rFonts w:ascii="Aptos" w:hAnsi="Aptos"/>
                <w:b w:val="0"/>
                <w:sz w:val="16"/>
              </w:rPr>
              <w:t>Subscriptions / licences</w:t>
            </w:r>
          </w:p>
        </w:tc>
        <w:tc>
          <w:tcPr>
            <w:tcW w:type="dxa" w:w="2304"/>
            <w:vAlign w:val="center"/>
          </w:tcPr>
          <w:p>
            <w:pPr>
              <w:spacing w:after="0"/>
            </w:pPr>
            <w:r/>
            <w:r>
              <w:rPr>
                <w:rFonts w:ascii="Aptos" w:hAnsi="Aptos"/>
                <w:b w:val="0"/>
                <w:sz w:val="16"/>
              </w:rPr>
              <w:t>€270.000</w:t>
            </w:r>
          </w:p>
        </w:tc>
      </w:tr>
      <w:tr>
        <w:tc>
          <w:tcPr>
            <w:tcW w:type="dxa" w:w="6480"/>
            <w:vAlign w:val="center"/>
          </w:tcPr>
          <w:p>
            <w:pPr>
              <w:spacing w:after="0"/>
            </w:pPr>
            <w:r/>
            <w:r>
              <w:rPr>
                <w:rFonts w:ascii="Aptos" w:hAnsi="Aptos"/>
                <w:b w:val="0"/>
                <w:sz w:val="16"/>
              </w:rPr>
              <w:t>Deployment / integration</w:t>
            </w:r>
          </w:p>
        </w:tc>
        <w:tc>
          <w:tcPr>
            <w:tcW w:type="dxa" w:w="2304"/>
            <w:vAlign w:val="center"/>
          </w:tcPr>
          <w:p>
            <w:pPr>
              <w:spacing w:after="0"/>
            </w:pPr>
            <w:r/>
            <w:r>
              <w:rPr>
                <w:rFonts w:ascii="Aptos" w:hAnsi="Aptos"/>
                <w:b w:val="0"/>
                <w:sz w:val="16"/>
              </w:rPr>
              <w:t>€450.000</w:t>
            </w:r>
          </w:p>
        </w:tc>
      </w:tr>
      <w:tr>
        <w:tc>
          <w:tcPr>
            <w:tcW w:type="dxa" w:w="6480"/>
            <w:vAlign w:val="center"/>
          </w:tcPr>
          <w:p>
            <w:pPr>
              <w:spacing w:after="0"/>
            </w:pPr>
            <w:r/>
            <w:r>
              <w:rPr>
                <w:rFonts w:ascii="Aptos" w:hAnsi="Aptos"/>
                <w:b w:val="0"/>
                <w:sz w:val="16"/>
              </w:rPr>
              <w:t>Robotics engineering</w:t>
            </w:r>
          </w:p>
        </w:tc>
        <w:tc>
          <w:tcPr>
            <w:tcW w:type="dxa" w:w="2304"/>
            <w:vAlign w:val="center"/>
          </w:tcPr>
          <w:p>
            <w:pPr>
              <w:spacing w:after="0"/>
            </w:pPr>
            <w:r/>
            <w:r>
              <w:rPr>
                <w:rFonts w:ascii="Aptos" w:hAnsi="Aptos"/>
                <w:b w:val="0"/>
                <w:sz w:val="16"/>
              </w:rPr>
              <w:t>€220.000</w:t>
            </w:r>
          </w:p>
        </w:tc>
      </w:tr>
      <w:tr>
        <w:tc>
          <w:tcPr>
            <w:tcW w:type="dxa" w:w="6480"/>
            <w:vAlign w:val="center"/>
          </w:tcPr>
          <w:p>
            <w:pPr>
              <w:spacing w:after="0"/>
            </w:pPr>
            <w:r/>
            <w:r>
              <w:rPr>
                <w:rFonts w:ascii="Aptos" w:hAnsi="Aptos"/>
                <w:b w:val="0"/>
                <w:sz w:val="16"/>
              </w:rPr>
              <w:t>Data / fleet intelligence</w:t>
            </w:r>
          </w:p>
        </w:tc>
        <w:tc>
          <w:tcPr>
            <w:tcW w:type="dxa" w:w="2304"/>
            <w:vAlign w:val="center"/>
          </w:tcPr>
          <w:p>
            <w:pPr>
              <w:spacing w:after="0"/>
            </w:pPr>
            <w:r/>
            <w:r>
              <w:rPr>
                <w:rFonts w:ascii="Aptos" w:hAnsi="Aptos"/>
                <w:b w:val="0"/>
                <w:sz w:val="16"/>
              </w:rPr>
              <w:t>€320.000</w:t>
            </w:r>
          </w:p>
        </w:tc>
      </w:tr>
      <w:tr>
        <w:tc>
          <w:tcPr>
            <w:tcW w:type="dxa" w:w="6480"/>
            <w:vAlign w:val="center"/>
          </w:tcPr>
          <w:p>
            <w:pPr>
              <w:spacing w:after="0"/>
            </w:pPr>
            <w:r/>
            <w:r>
              <w:rPr>
                <w:rFonts w:ascii="Aptos" w:hAnsi="Aptos"/>
                <w:b w:val="0"/>
                <w:sz w:val="16"/>
              </w:rPr>
              <w:t>Support / maintenance</w:t>
            </w:r>
          </w:p>
        </w:tc>
        <w:tc>
          <w:tcPr>
            <w:tcW w:type="dxa" w:w="2304"/>
            <w:vAlign w:val="center"/>
          </w:tcPr>
          <w:p>
            <w:pPr>
              <w:spacing w:after="0"/>
            </w:pPr>
            <w:r/>
            <w:r>
              <w:rPr>
                <w:rFonts w:ascii="Aptos" w:hAnsi="Aptos"/>
                <w:b w:val="0"/>
                <w:sz w:val="16"/>
              </w:rPr>
              <w:t>€120.000</w:t>
            </w:r>
          </w:p>
        </w:tc>
      </w:tr>
      <w:tr>
        <w:tc>
          <w:tcPr>
            <w:tcW w:type="dxa" w:w="6480"/>
            <w:vAlign w:val="center"/>
          </w:tcPr>
          <w:p>
            <w:pPr>
              <w:spacing w:after="0"/>
            </w:pPr>
            <w:r/>
            <w:r>
              <w:rPr>
                <w:rFonts w:ascii="Aptos" w:hAnsi="Aptos"/>
                <w:b w:val="0"/>
                <w:sz w:val="16"/>
              </w:rPr>
              <w:t>TOTAL</w:t>
            </w:r>
          </w:p>
        </w:tc>
        <w:tc>
          <w:tcPr>
            <w:tcW w:type="dxa" w:w="2304"/>
            <w:vAlign w:val="center"/>
          </w:tcPr>
          <w:p>
            <w:pPr>
              <w:spacing w:after="0"/>
            </w:pPr>
            <w:r/>
            <w:r>
              <w:rPr>
                <w:rFonts w:ascii="Aptos" w:hAnsi="Aptos"/>
                <w:b w:val="0"/>
                <w:sz w:val="16"/>
              </w:rPr>
              <w:t>€1.380.000</w:t>
            </w:r>
          </w:p>
        </w:tc>
      </w:tr>
    </w:tbl>
    <w:p>
      <w:pPr>
        <w:spacing w:after="40"/>
      </w:pPr>
    </w:p>
    <w:p>
      <w:pPr>
        <w:pStyle w:val="Heading2"/>
      </w:pPr>
      <w:r>
        <w:t>CL-003 · Husky Technologies Luxembourg · €890.000</w:t>
      </w:r>
    </w:p>
    <w:tbl>
      <w:tblPr>
        <w:tblStyle w:val="TableGrid"/>
        <w:tblW w:type="auto" w:w="0"/>
        <w:jc w:val="center"/>
        <w:tblLook w:firstColumn="1" w:firstRow="1" w:lastColumn="0" w:lastRow="0" w:noHBand="0" w:noVBand="1" w:val="04A0"/>
      </w:tblPr>
      <w:tblGrid>
        <w:gridCol w:w="5083"/>
        <w:gridCol w:w="5083"/>
      </w:tblGrid>
      <w:tr>
        <w:tc>
          <w:tcPr>
            <w:tcW w:type="dxa" w:w="6480"/>
            <w:vAlign w:val="center"/>
            <w:shd w:fill="0B0D10"/>
          </w:tcPr>
          <w:p>
            <w:pPr>
              <w:spacing w:after="0"/>
            </w:pPr>
            <w:r/>
            <w:r>
              <w:rPr>
                <w:rFonts w:ascii="Aptos" w:hAnsi="Aptos"/>
                <w:b/>
                <w:color w:val="FFFFFF"/>
                <w:sz w:val="16"/>
              </w:rPr>
              <w:t>Revenue component</w:t>
            </w:r>
          </w:p>
        </w:tc>
        <w:tc>
          <w:tcPr>
            <w:tcW w:type="dxa" w:w="2304"/>
            <w:vAlign w:val="center"/>
            <w:shd w:fill="0B0D10"/>
          </w:tcPr>
          <w:p>
            <w:pPr>
              <w:spacing w:after="0"/>
            </w:pPr>
            <w:r/>
            <w:r>
              <w:rPr>
                <w:rFonts w:ascii="Aptos" w:hAnsi="Aptos"/>
                <w:b/>
                <w:color w:val="FFFFFF"/>
                <w:sz w:val="16"/>
              </w:rPr>
              <w:t>2026 recognized</w:t>
            </w:r>
          </w:p>
        </w:tc>
      </w:tr>
      <w:tr>
        <w:tc>
          <w:tcPr>
            <w:tcW w:type="dxa" w:w="6480"/>
            <w:vAlign w:val="center"/>
          </w:tcPr>
          <w:p>
            <w:pPr>
              <w:spacing w:after="0"/>
            </w:pPr>
            <w:r/>
            <w:r>
              <w:rPr>
                <w:rFonts w:ascii="Aptos" w:hAnsi="Aptos"/>
                <w:b w:val="0"/>
                <w:sz w:val="16"/>
              </w:rPr>
              <w:t>Subscriptions / licences</w:t>
            </w:r>
          </w:p>
        </w:tc>
        <w:tc>
          <w:tcPr>
            <w:tcW w:type="dxa" w:w="2304"/>
            <w:vAlign w:val="center"/>
          </w:tcPr>
          <w:p>
            <w:pPr>
              <w:spacing w:after="0"/>
            </w:pPr>
            <w:r/>
            <w:r>
              <w:rPr>
                <w:rFonts w:ascii="Aptos" w:hAnsi="Aptos"/>
                <w:b w:val="0"/>
                <w:sz w:val="16"/>
              </w:rPr>
              <w:t>€180.000</w:t>
            </w:r>
          </w:p>
        </w:tc>
      </w:tr>
      <w:tr>
        <w:tc>
          <w:tcPr>
            <w:tcW w:type="dxa" w:w="6480"/>
            <w:vAlign w:val="center"/>
          </w:tcPr>
          <w:p>
            <w:pPr>
              <w:spacing w:after="0"/>
            </w:pPr>
            <w:r/>
            <w:r>
              <w:rPr>
                <w:rFonts w:ascii="Aptos" w:hAnsi="Aptos"/>
                <w:b w:val="0"/>
                <w:sz w:val="16"/>
              </w:rPr>
              <w:t>Deployment / integration</w:t>
            </w:r>
          </w:p>
        </w:tc>
        <w:tc>
          <w:tcPr>
            <w:tcW w:type="dxa" w:w="2304"/>
            <w:vAlign w:val="center"/>
          </w:tcPr>
          <w:p>
            <w:pPr>
              <w:spacing w:after="0"/>
            </w:pPr>
            <w:r/>
            <w:r>
              <w:rPr>
                <w:rFonts w:ascii="Aptos" w:hAnsi="Aptos"/>
                <w:b w:val="0"/>
                <w:sz w:val="16"/>
              </w:rPr>
              <w:t>€300.000</w:t>
            </w:r>
          </w:p>
        </w:tc>
      </w:tr>
      <w:tr>
        <w:tc>
          <w:tcPr>
            <w:tcW w:type="dxa" w:w="6480"/>
            <w:vAlign w:val="center"/>
          </w:tcPr>
          <w:p>
            <w:pPr>
              <w:spacing w:after="0"/>
            </w:pPr>
            <w:r/>
            <w:r>
              <w:rPr>
                <w:rFonts w:ascii="Aptos" w:hAnsi="Aptos"/>
                <w:b w:val="0"/>
                <w:sz w:val="16"/>
              </w:rPr>
              <w:t>Robotics engineering</w:t>
            </w:r>
          </w:p>
        </w:tc>
        <w:tc>
          <w:tcPr>
            <w:tcW w:type="dxa" w:w="2304"/>
            <w:vAlign w:val="center"/>
          </w:tcPr>
          <w:p>
            <w:pPr>
              <w:spacing w:after="0"/>
            </w:pPr>
            <w:r/>
            <w:r>
              <w:rPr>
                <w:rFonts w:ascii="Aptos" w:hAnsi="Aptos"/>
                <w:b w:val="0"/>
                <w:sz w:val="16"/>
              </w:rPr>
              <w:t>€180.000</w:t>
            </w:r>
          </w:p>
        </w:tc>
      </w:tr>
      <w:tr>
        <w:tc>
          <w:tcPr>
            <w:tcW w:type="dxa" w:w="6480"/>
            <w:vAlign w:val="center"/>
          </w:tcPr>
          <w:p>
            <w:pPr>
              <w:spacing w:after="0"/>
            </w:pPr>
            <w:r/>
            <w:r>
              <w:rPr>
                <w:rFonts w:ascii="Aptos" w:hAnsi="Aptos"/>
                <w:b w:val="0"/>
                <w:sz w:val="16"/>
              </w:rPr>
              <w:t>Data / fleet intelligence</w:t>
            </w:r>
          </w:p>
        </w:tc>
        <w:tc>
          <w:tcPr>
            <w:tcW w:type="dxa" w:w="2304"/>
            <w:vAlign w:val="center"/>
          </w:tcPr>
          <w:p>
            <w:pPr>
              <w:spacing w:after="0"/>
            </w:pPr>
            <w:r/>
            <w:r>
              <w:rPr>
                <w:rFonts w:ascii="Aptos" w:hAnsi="Aptos"/>
                <w:b w:val="0"/>
                <w:sz w:val="16"/>
              </w:rPr>
              <w:t>€170.000</w:t>
            </w:r>
          </w:p>
        </w:tc>
      </w:tr>
      <w:tr>
        <w:tc>
          <w:tcPr>
            <w:tcW w:type="dxa" w:w="6480"/>
            <w:vAlign w:val="center"/>
          </w:tcPr>
          <w:p>
            <w:pPr>
              <w:spacing w:after="0"/>
            </w:pPr>
            <w:r/>
            <w:r>
              <w:rPr>
                <w:rFonts w:ascii="Aptos" w:hAnsi="Aptos"/>
                <w:b w:val="0"/>
                <w:sz w:val="16"/>
              </w:rPr>
              <w:t>Support / maintenance</w:t>
            </w:r>
          </w:p>
        </w:tc>
        <w:tc>
          <w:tcPr>
            <w:tcW w:type="dxa" w:w="2304"/>
            <w:vAlign w:val="center"/>
          </w:tcPr>
          <w:p>
            <w:pPr>
              <w:spacing w:after="0"/>
            </w:pPr>
            <w:r/>
            <w:r>
              <w:rPr>
                <w:rFonts w:ascii="Aptos" w:hAnsi="Aptos"/>
                <w:b w:val="0"/>
                <w:sz w:val="16"/>
              </w:rPr>
              <w:t>€60.000</w:t>
            </w:r>
          </w:p>
        </w:tc>
      </w:tr>
      <w:tr>
        <w:tc>
          <w:tcPr>
            <w:tcW w:type="dxa" w:w="6480"/>
            <w:vAlign w:val="center"/>
          </w:tcPr>
          <w:p>
            <w:pPr>
              <w:spacing w:after="0"/>
            </w:pPr>
            <w:r/>
            <w:r>
              <w:rPr>
                <w:rFonts w:ascii="Aptos" w:hAnsi="Aptos"/>
                <w:b w:val="0"/>
                <w:sz w:val="16"/>
              </w:rPr>
              <w:t>TOTAL</w:t>
            </w:r>
          </w:p>
        </w:tc>
        <w:tc>
          <w:tcPr>
            <w:tcW w:type="dxa" w:w="2304"/>
            <w:vAlign w:val="center"/>
          </w:tcPr>
          <w:p>
            <w:pPr>
              <w:spacing w:after="0"/>
            </w:pPr>
            <w:r/>
            <w:r>
              <w:rPr>
                <w:rFonts w:ascii="Aptos" w:hAnsi="Aptos"/>
                <w:b w:val="0"/>
                <w:sz w:val="16"/>
              </w:rPr>
              <w:t>€890.000</w:t>
            </w:r>
          </w:p>
        </w:tc>
      </w:tr>
    </w:tbl>
    <w:p>
      <w:pPr>
        <w:spacing w:after="40"/>
      </w:pPr>
    </w:p>
    <w:p>
      <w:pPr>
        <w:pStyle w:val="Heading2"/>
      </w:pPr>
      <w:r>
        <w:t>CL-004 · CERATIZIT S.A. · €620.000</w:t>
      </w:r>
    </w:p>
    <w:tbl>
      <w:tblPr>
        <w:tblStyle w:val="TableGrid"/>
        <w:tblW w:type="auto" w:w="0"/>
        <w:jc w:val="center"/>
        <w:tblLook w:firstColumn="1" w:firstRow="1" w:lastColumn="0" w:lastRow="0" w:noHBand="0" w:noVBand="1" w:val="04A0"/>
      </w:tblPr>
      <w:tblGrid>
        <w:gridCol w:w="5083"/>
        <w:gridCol w:w="5083"/>
      </w:tblGrid>
      <w:tr>
        <w:tc>
          <w:tcPr>
            <w:tcW w:type="dxa" w:w="6480"/>
            <w:vAlign w:val="center"/>
            <w:shd w:fill="0B0D10"/>
          </w:tcPr>
          <w:p>
            <w:pPr>
              <w:spacing w:after="0"/>
            </w:pPr>
            <w:r/>
            <w:r>
              <w:rPr>
                <w:rFonts w:ascii="Aptos" w:hAnsi="Aptos"/>
                <w:b/>
                <w:color w:val="FFFFFF"/>
                <w:sz w:val="16"/>
              </w:rPr>
              <w:t>Revenue component</w:t>
            </w:r>
          </w:p>
        </w:tc>
        <w:tc>
          <w:tcPr>
            <w:tcW w:type="dxa" w:w="2304"/>
            <w:vAlign w:val="center"/>
            <w:shd w:fill="0B0D10"/>
          </w:tcPr>
          <w:p>
            <w:pPr>
              <w:spacing w:after="0"/>
            </w:pPr>
            <w:r/>
            <w:r>
              <w:rPr>
                <w:rFonts w:ascii="Aptos" w:hAnsi="Aptos"/>
                <w:b/>
                <w:color w:val="FFFFFF"/>
                <w:sz w:val="16"/>
              </w:rPr>
              <w:t>2026 recognized</w:t>
            </w:r>
          </w:p>
        </w:tc>
      </w:tr>
      <w:tr>
        <w:tc>
          <w:tcPr>
            <w:tcW w:type="dxa" w:w="6480"/>
            <w:vAlign w:val="center"/>
          </w:tcPr>
          <w:p>
            <w:pPr>
              <w:spacing w:after="0"/>
            </w:pPr>
            <w:r/>
            <w:r>
              <w:rPr>
                <w:rFonts w:ascii="Aptos" w:hAnsi="Aptos"/>
                <w:b w:val="0"/>
                <w:sz w:val="16"/>
              </w:rPr>
              <w:t>Subscriptions / licences</w:t>
            </w:r>
          </w:p>
        </w:tc>
        <w:tc>
          <w:tcPr>
            <w:tcW w:type="dxa" w:w="2304"/>
            <w:vAlign w:val="center"/>
          </w:tcPr>
          <w:p>
            <w:pPr>
              <w:spacing w:after="0"/>
            </w:pPr>
            <w:r/>
            <w:r>
              <w:rPr>
                <w:rFonts w:ascii="Aptos" w:hAnsi="Aptos"/>
                <w:b w:val="0"/>
                <w:sz w:val="16"/>
              </w:rPr>
              <w:t>€130.000</w:t>
            </w:r>
          </w:p>
        </w:tc>
      </w:tr>
      <w:tr>
        <w:tc>
          <w:tcPr>
            <w:tcW w:type="dxa" w:w="6480"/>
            <w:vAlign w:val="center"/>
          </w:tcPr>
          <w:p>
            <w:pPr>
              <w:spacing w:after="0"/>
            </w:pPr>
            <w:r/>
            <w:r>
              <w:rPr>
                <w:rFonts w:ascii="Aptos" w:hAnsi="Aptos"/>
                <w:b w:val="0"/>
                <w:sz w:val="16"/>
              </w:rPr>
              <w:t>Deployment / integration</w:t>
            </w:r>
          </w:p>
        </w:tc>
        <w:tc>
          <w:tcPr>
            <w:tcW w:type="dxa" w:w="2304"/>
            <w:vAlign w:val="center"/>
          </w:tcPr>
          <w:p>
            <w:pPr>
              <w:spacing w:after="0"/>
            </w:pPr>
            <w:r/>
            <w:r>
              <w:rPr>
                <w:rFonts w:ascii="Aptos" w:hAnsi="Aptos"/>
                <w:b w:val="0"/>
                <w:sz w:val="16"/>
              </w:rPr>
              <w:t>€180.000</w:t>
            </w:r>
          </w:p>
        </w:tc>
      </w:tr>
      <w:tr>
        <w:tc>
          <w:tcPr>
            <w:tcW w:type="dxa" w:w="6480"/>
            <w:vAlign w:val="center"/>
          </w:tcPr>
          <w:p>
            <w:pPr>
              <w:spacing w:after="0"/>
            </w:pPr>
            <w:r/>
            <w:r>
              <w:rPr>
                <w:rFonts w:ascii="Aptos" w:hAnsi="Aptos"/>
                <w:b w:val="0"/>
                <w:sz w:val="16"/>
              </w:rPr>
              <w:t>Robotics engineering</w:t>
            </w:r>
          </w:p>
        </w:tc>
        <w:tc>
          <w:tcPr>
            <w:tcW w:type="dxa" w:w="2304"/>
            <w:vAlign w:val="center"/>
          </w:tcPr>
          <w:p>
            <w:pPr>
              <w:spacing w:after="0"/>
            </w:pPr>
            <w:r/>
            <w:r>
              <w:rPr>
                <w:rFonts w:ascii="Aptos" w:hAnsi="Aptos"/>
                <w:b w:val="0"/>
                <w:sz w:val="16"/>
              </w:rPr>
              <w:t>€120.000</w:t>
            </w:r>
          </w:p>
        </w:tc>
      </w:tr>
      <w:tr>
        <w:tc>
          <w:tcPr>
            <w:tcW w:type="dxa" w:w="6480"/>
            <w:vAlign w:val="center"/>
          </w:tcPr>
          <w:p>
            <w:pPr>
              <w:spacing w:after="0"/>
            </w:pPr>
            <w:r/>
            <w:r>
              <w:rPr>
                <w:rFonts w:ascii="Aptos" w:hAnsi="Aptos"/>
                <w:b w:val="0"/>
                <w:sz w:val="16"/>
              </w:rPr>
              <w:t>Data / fleet intelligence</w:t>
            </w:r>
          </w:p>
        </w:tc>
        <w:tc>
          <w:tcPr>
            <w:tcW w:type="dxa" w:w="2304"/>
            <w:vAlign w:val="center"/>
          </w:tcPr>
          <w:p>
            <w:pPr>
              <w:spacing w:after="0"/>
            </w:pPr>
            <w:r/>
            <w:r>
              <w:rPr>
                <w:rFonts w:ascii="Aptos" w:hAnsi="Aptos"/>
                <w:b w:val="0"/>
                <w:sz w:val="16"/>
              </w:rPr>
              <w:t>€140.000</w:t>
            </w:r>
          </w:p>
        </w:tc>
      </w:tr>
      <w:tr>
        <w:tc>
          <w:tcPr>
            <w:tcW w:type="dxa" w:w="6480"/>
            <w:vAlign w:val="center"/>
          </w:tcPr>
          <w:p>
            <w:pPr>
              <w:spacing w:after="0"/>
            </w:pPr>
            <w:r/>
            <w:r>
              <w:rPr>
                <w:rFonts w:ascii="Aptos" w:hAnsi="Aptos"/>
                <w:b w:val="0"/>
                <w:sz w:val="16"/>
              </w:rPr>
              <w:t>Support / maintenance</w:t>
            </w:r>
          </w:p>
        </w:tc>
        <w:tc>
          <w:tcPr>
            <w:tcW w:type="dxa" w:w="2304"/>
            <w:vAlign w:val="center"/>
          </w:tcPr>
          <w:p>
            <w:pPr>
              <w:spacing w:after="0"/>
            </w:pPr>
            <w:r/>
            <w:r>
              <w:rPr>
                <w:rFonts w:ascii="Aptos" w:hAnsi="Aptos"/>
                <w:b w:val="0"/>
                <w:sz w:val="16"/>
              </w:rPr>
              <w:t>€50.000</w:t>
            </w:r>
          </w:p>
        </w:tc>
      </w:tr>
      <w:tr>
        <w:tc>
          <w:tcPr>
            <w:tcW w:type="dxa" w:w="6480"/>
            <w:vAlign w:val="center"/>
          </w:tcPr>
          <w:p>
            <w:pPr>
              <w:spacing w:after="0"/>
            </w:pPr>
            <w:r/>
            <w:r>
              <w:rPr>
                <w:rFonts w:ascii="Aptos" w:hAnsi="Aptos"/>
                <w:b w:val="0"/>
                <w:sz w:val="16"/>
              </w:rPr>
              <w:t>TOTAL</w:t>
            </w:r>
          </w:p>
        </w:tc>
        <w:tc>
          <w:tcPr>
            <w:tcW w:type="dxa" w:w="2304"/>
            <w:vAlign w:val="center"/>
          </w:tcPr>
          <w:p>
            <w:pPr>
              <w:spacing w:after="0"/>
            </w:pPr>
            <w:r/>
            <w:r>
              <w:rPr>
                <w:rFonts w:ascii="Aptos" w:hAnsi="Aptos"/>
                <w:b w:val="0"/>
                <w:sz w:val="16"/>
              </w:rPr>
              <w:t>€620.000</w:t>
            </w:r>
          </w:p>
        </w:tc>
      </w:tr>
    </w:tbl>
    <w:p>
      <w:pPr>
        <w:spacing w:after="40"/>
      </w:pPr>
    </w:p>
    <w:p>
      <w:pPr>
        <w:pStyle w:val="Heading2"/>
      </w:pPr>
      <w:r>
        <w:t>CL-005 · Cargolux · €410.000</w:t>
      </w:r>
    </w:p>
    <w:tbl>
      <w:tblPr>
        <w:tblStyle w:val="TableGrid"/>
        <w:tblW w:type="auto" w:w="0"/>
        <w:jc w:val="center"/>
        <w:tblLook w:firstColumn="1" w:firstRow="1" w:lastColumn="0" w:lastRow="0" w:noHBand="0" w:noVBand="1" w:val="04A0"/>
      </w:tblPr>
      <w:tblGrid>
        <w:gridCol w:w="5083"/>
        <w:gridCol w:w="5083"/>
      </w:tblGrid>
      <w:tr>
        <w:tc>
          <w:tcPr>
            <w:tcW w:type="dxa" w:w="6480"/>
            <w:vAlign w:val="center"/>
            <w:shd w:fill="0B0D10"/>
          </w:tcPr>
          <w:p>
            <w:pPr>
              <w:spacing w:after="0"/>
            </w:pPr>
            <w:r/>
            <w:r>
              <w:rPr>
                <w:rFonts w:ascii="Aptos" w:hAnsi="Aptos"/>
                <w:b/>
                <w:color w:val="FFFFFF"/>
                <w:sz w:val="16"/>
              </w:rPr>
              <w:t>Revenue component</w:t>
            </w:r>
          </w:p>
        </w:tc>
        <w:tc>
          <w:tcPr>
            <w:tcW w:type="dxa" w:w="2304"/>
            <w:vAlign w:val="center"/>
            <w:shd w:fill="0B0D10"/>
          </w:tcPr>
          <w:p>
            <w:pPr>
              <w:spacing w:after="0"/>
            </w:pPr>
            <w:r/>
            <w:r>
              <w:rPr>
                <w:rFonts w:ascii="Aptos" w:hAnsi="Aptos"/>
                <w:b/>
                <w:color w:val="FFFFFF"/>
                <w:sz w:val="16"/>
              </w:rPr>
              <w:t>2026 recognized</w:t>
            </w:r>
          </w:p>
        </w:tc>
      </w:tr>
      <w:tr>
        <w:tc>
          <w:tcPr>
            <w:tcW w:type="dxa" w:w="6480"/>
            <w:vAlign w:val="center"/>
          </w:tcPr>
          <w:p>
            <w:pPr>
              <w:spacing w:after="0"/>
            </w:pPr>
            <w:r/>
            <w:r>
              <w:rPr>
                <w:rFonts w:ascii="Aptos" w:hAnsi="Aptos"/>
                <w:b w:val="0"/>
                <w:sz w:val="16"/>
              </w:rPr>
              <w:t>Subscriptions / licences</w:t>
            </w:r>
          </w:p>
        </w:tc>
        <w:tc>
          <w:tcPr>
            <w:tcW w:type="dxa" w:w="2304"/>
            <w:vAlign w:val="center"/>
          </w:tcPr>
          <w:p>
            <w:pPr>
              <w:spacing w:after="0"/>
            </w:pPr>
            <w:r/>
            <w:r>
              <w:rPr>
                <w:rFonts w:ascii="Aptos" w:hAnsi="Aptos"/>
                <w:b w:val="0"/>
                <w:sz w:val="16"/>
              </w:rPr>
              <w:t>€90.000</w:t>
            </w:r>
          </w:p>
        </w:tc>
      </w:tr>
      <w:tr>
        <w:tc>
          <w:tcPr>
            <w:tcW w:type="dxa" w:w="6480"/>
            <w:vAlign w:val="center"/>
          </w:tcPr>
          <w:p>
            <w:pPr>
              <w:spacing w:after="0"/>
            </w:pPr>
            <w:r/>
            <w:r>
              <w:rPr>
                <w:rFonts w:ascii="Aptos" w:hAnsi="Aptos"/>
                <w:b w:val="0"/>
                <w:sz w:val="16"/>
              </w:rPr>
              <w:t>Deployment / integration</w:t>
            </w:r>
          </w:p>
        </w:tc>
        <w:tc>
          <w:tcPr>
            <w:tcW w:type="dxa" w:w="2304"/>
            <w:vAlign w:val="center"/>
          </w:tcPr>
          <w:p>
            <w:pPr>
              <w:spacing w:after="0"/>
            </w:pPr>
            <w:r/>
            <w:r>
              <w:rPr>
                <w:rFonts w:ascii="Aptos" w:hAnsi="Aptos"/>
                <w:b w:val="0"/>
                <w:sz w:val="16"/>
              </w:rPr>
              <w:t>€120.000</w:t>
            </w:r>
          </w:p>
        </w:tc>
      </w:tr>
      <w:tr>
        <w:tc>
          <w:tcPr>
            <w:tcW w:type="dxa" w:w="6480"/>
            <w:vAlign w:val="center"/>
          </w:tcPr>
          <w:p>
            <w:pPr>
              <w:spacing w:after="0"/>
            </w:pPr>
            <w:r/>
            <w:r>
              <w:rPr>
                <w:rFonts w:ascii="Aptos" w:hAnsi="Aptos"/>
                <w:b w:val="0"/>
                <w:sz w:val="16"/>
              </w:rPr>
              <w:t>Robotics engineering</w:t>
            </w:r>
          </w:p>
        </w:tc>
        <w:tc>
          <w:tcPr>
            <w:tcW w:type="dxa" w:w="2304"/>
            <w:vAlign w:val="center"/>
          </w:tcPr>
          <w:p>
            <w:pPr>
              <w:spacing w:after="0"/>
            </w:pPr>
            <w:r/>
            <w:r>
              <w:rPr>
                <w:rFonts w:ascii="Aptos" w:hAnsi="Aptos"/>
                <w:b w:val="0"/>
                <w:sz w:val="16"/>
              </w:rPr>
              <w:t>€60.000</w:t>
            </w:r>
          </w:p>
        </w:tc>
      </w:tr>
      <w:tr>
        <w:tc>
          <w:tcPr>
            <w:tcW w:type="dxa" w:w="6480"/>
            <w:vAlign w:val="center"/>
          </w:tcPr>
          <w:p>
            <w:pPr>
              <w:spacing w:after="0"/>
            </w:pPr>
            <w:r/>
            <w:r>
              <w:rPr>
                <w:rFonts w:ascii="Aptos" w:hAnsi="Aptos"/>
                <w:b w:val="0"/>
                <w:sz w:val="16"/>
              </w:rPr>
              <w:t>Data / fleet intelligence</w:t>
            </w:r>
          </w:p>
        </w:tc>
        <w:tc>
          <w:tcPr>
            <w:tcW w:type="dxa" w:w="2304"/>
            <w:vAlign w:val="center"/>
          </w:tcPr>
          <w:p>
            <w:pPr>
              <w:spacing w:after="0"/>
            </w:pPr>
            <w:r/>
            <w:r>
              <w:rPr>
                <w:rFonts w:ascii="Aptos" w:hAnsi="Aptos"/>
                <w:b w:val="0"/>
                <w:sz w:val="16"/>
              </w:rPr>
              <w:t>€78.900</w:t>
            </w:r>
          </w:p>
        </w:tc>
      </w:tr>
      <w:tr>
        <w:tc>
          <w:tcPr>
            <w:tcW w:type="dxa" w:w="6480"/>
            <w:vAlign w:val="center"/>
          </w:tcPr>
          <w:p>
            <w:pPr>
              <w:spacing w:after="0"/>
            </w:pPr>
            <w:r/>
            <w:r>
              <w:rPr>
                <w:rFonts w:ascii="Aptos" w:hAnsi="Aptos"/>
                <w:b w:val="0"/>
                <w:sz w:val="16"/>
              </w:rPr>
              <w:t>Support / maintenance</w:t>
            </w:r>
          </w:p>
        </w:tc>
        <w:tc>
          <w:tcPr>
            <w:tcW w:type="dxa" w:w="2304"/>
            <w:vAlign w:val="center"/>
          </w:tcPr>
          <w:p>
            <w:pPr>
              <w:spacing w:after="0"/>
            </w:pPr>
            <w:r/>
            <w:r>
              <w:rPr>
                <w:rFonts w:ascii="Aptos" w:hAnsi="Aptos"/>
                <w:b w:val="0"/>
                <w:sz w:val="16"/>
              </w:rPr>
              <w:t>€61.100</w:t>
            </w:r>
          </w:p>
        </w:tc>
      </w:tr>
      <w:tr>
        <w:tc>
          <w:tcPr>
            <w:tcW w:type="dxa" w:w="6480"/>
            <w:vAlign w:val="center"/>
          </w:tcPr>
          <w:p>
            <w:pPr>
              <w:spacing w:after="0"/>
            </w:pPr>
            <w:r/>
            <w:r>
              <w:rPr>
                <w:rFonts w:ascii="Aptos" w:hAnsi="Aptos"/>
                <w:b w:val="0"/>
                <w:sz w:val="16"/>
              </w:rPr>
              <w:t>TOTAL</w:t>
            </w:r>
          </w:p>
        </w:tc>
        <w:tc>
          <w:tcPr>
            <w:tcW w:type="dxa" w:w="2304"/>
            <w:vAlign w:val="center"/>
          </w:tcPr>
          <w:p>
            <w:pPr>
              <w:spacing w:after="0"/>
            </w:pPr>
            <w:r/>
            <w:r>
              <w:rPr>
                <w:rFonts w:ascii="Aptos" w:hAnsi="Aptos"/>
                <w:b w:val="0"/>
                <w:sz w:val="16"/>
              </w:rPr>
              <w:t>€410.000</w:t>
            </w:r>
          </w:p>
        </w:tc>
      </w:tr>
    </w:tbl>
    <w:p>
      <w:pPr>
        <w:spacing w:after="40"/>
      </w:pPr>
    </w:p>
    <w:p>
      <w:pPr>
        <w:pStyle w:val="Heading2"/>
      </w:pPr>
      <w:r>
        <w:t>CL-006 · Luxembourg industrial mid-market base · €1.103.600</w:t>
      </w:r>
    </w:p>
    <w:tbl>
      <w:tblPr>
        <w:tblStyle w:val="TableGrid"/>
        <w:tblW w:type="auto" w:w="0"/>
        <w:jc w:val="center"/>
        <w:tblLook w:firstColumn="1" w:firstRow="1" w:lastColumn="0" w:lastRow="0" w:noHBand="0" w:noVBand="1" w:val="04A0"/>
      </w:tblPr>
      <w:tblGrid>
        <w:gridCol w:w="5083"/>
        <w:gridCol w:w="5083"/>
      </w:tblGrid>
      <w:tr>
        <w:tc>
          <w:tcPr>
            <w:tcW w:type="dxa" w:w="6480"/>
            <w:vAlign w:val="center"/>
            <w:shd w:fill="0B0D10"/>
          </w:tcPr>
          <w:p>
            <w:pPr>
              <w:spacing w:after="0"/>
            </w:pPr>
            <w:r/>
            <w:r>
              <w:rPr>
                <w:rFonts w:ascii="Aptos" w:hAnsi="Aptos"/>
                <w:b/>
                <w:color w:val="FFFFFF"/>
                <w:sz w:val="16"/>
              </w:rPr>
              <w:t>Revenue component</w:t>
            </w:r>
          </w:p>
        </w:tc>
        <w:tc>
          <w:tcPr>
            <w:tcW w:type="dxa" w:w="2304"/>
            <w:vAlign w:val="center"/>
            <w:shd w:fill="0B0D10"/>
          </w:tcPr>
          <w:p>
            <w:pPr>
              <w:spacing w:after="0"/>
            </w:pPr>
            <w:r/>
            <w:r>
              <w:rPr>
                <w:rFonts w:ascii="Aptos" w:hAnsi="Aptos"/>
                <w:b/>
                <w:color w:val="FFFFFF"/>
                <w:sz w:val="16"/>
              </w:rPr>
              <w:t>2026 recognized</w:t>
            </w:r>
          </w:p>
        </w:tc>
      </w:tr>
      <w:tr>
        <w:tc>
          <w:tcPr>
            <w:tcW w:type="dxa" w:w="6480"/>
            <w:vAlign w:val="center"/>
          </w:tcPr>
          <w:p>
            <w:pPr>
              <w:spacing w:after="0"/>
            </w:pPr>
            <w:r/>
            <w:r>
              <w:rPr>
                <w:rFonts w:ascii="Aptos" w:hAnsi="Aptos"/>
                <w:b w:val="0"/>
                <w:sz w:val="16"/>
              </w:rPr>
              <w:t>Subscriptions / licences</w:t>
            </w:r>
          </w:p>
        </w:tc>
        <w:tc>
          <w:tcPr>
            <w:tcW w:type="dxa" w:w="2304"/>
            <w:vAlign w:val="center"/>
          </w:tcPr>
          <w:p>
            <w:pPr>
              <w:spacing w:after="0"/>
            </w:pPr>
            <w:r/>
            <w:r>
              <w:rPr>
                <w:rFonts w:ascii="Aptos" w:hAnsi="Aptos"/>
                <w:b w:val="0"/>
                <w:sz w:val="16"/>
              </w:rPr>
              <w:t>€350.000</w:t>
            </w:r>
          </w:p>
        </w:tc>
      </w:tr>
      <w:tr>
        <w:tc>
          <w:tcPr>
            <w:tcW w:type="dxa" w:w="6480"/>
            <w:vAlign w:val="center"/>
          </w:tcPr>
          <w:p>
            <w:pPr>
              <w:spacing w:after="0"/>
            </w:pPr>
            <w:r/>
            <w:r>
              <w:rPr>
                <w:rFonts w:ascii="Aptos" w:hAnsi="Aptos"/>
                <w:b w:val="0"/>
                <w:sz w:val="16"/>
              </w:rPr>
              <w:t>Deployment / integration</w:t>
            </w:r>
          </w:p>
        </w:tc>
        <w:tc>
          <w:tcPr>
            <w:tcW w:type="dxa" w:w="2304"/>
            <w:vAlign w:val="center"/>
          </w:tcPr>
          <w:p>
            <w:pPr>
              <w:spacing w:after="0"/>
            </w:pPr>
            <w:r/>
            <w:r>
              <w:rPr>
                <w:rFonts w:ascii="Aptos" w:hAnsi="Aptos"/>
                <w:b w:val="0"/>
                <w:sz w:val="16"/>
              </w:rPr>
              <w:t>€350.000</w:t>
            </w:r>
          </w:p>
        </w:tc>
      </w:tr>
      <w:tr>
        <w:tc>
          <w:tcPr>
            <w:tcW w:type="dxa" w:w="6480"/>
            <w:vAlign w:val="center"/>
          </w:tcPr>
          <w:p>
            <w:pPr>
              <w:spacing w:after="0"/>
            </w:pPr>
            <w:r/>
            <w:r>
              <w:rPr>
                <w:rFonts w:ascii="Aptos" w:hAnsi="Aptos"/>
                <w:b w:val="0"/>
                <w:sz w:val="16"/>
              </w:rPr>
              <w:t>Robotics engineering</w:t>
            </w:r>
          </w:p>
        </w:tc>
        <w:tc>
          <w:tcPr>
            <w:tcW w:type="dxa" w:w="2304"/>
            <w:vAlign w:val="center"/>
          </w:tcPr>
          <w:p>
            <w:pPr>
              <w:spacing w:after="0"/>
            </w:pPr>
            <w:r/>
            <w:r>
              <w:rPr>
                <w:rFonts w:ascii="Aptos" w:hAnsi="Aptos"/>
                <w:b w:val="0"/>
                <w:sz w:val="16"/>
              </w:rPr>
              <w:t>€150.000</w:t>
            </w:r>
          </w:p>
        </w:tc>
      </w:tr>
      <w:tr>
        <w:tc>
          <w:tcPr>
            <w:tcW w:type="dxa" w:w="6480"/>
            <w:vAlign w:val="center"/>
          </w:tcPr>
          <w:p>
            <w:pPr>
              <w:spacing w:after="0"/>
            </w:pPr>
            <w:r/>
            <w:r>
              <w:rPr>
                <w:rFonts w:ascii="Aptos" w:hAnsi="Aptos"/>
                <w:b w:val="0"/>
                <w:sz w:val="16"/>
              </w:rPr>
              <w:t>Data / fleet intelligence</w:t>
            </w:r>
          </w:p>
        </w:tc>
        <w:tc>
          <w:tcPr>
            <w:tcW w:type="dxa" w:w="2304"/>
            <w:vAlign w:val="center"/>
          </w:tcPr>
          <w:p>
            <w:pPr>
              <w:spacing w:after="0"/>
            </w:pPr>
            <w:r/>
            <w:r>
              <w:rPr>
                <w:rFonts w:ascii="Aptos" w:hAnsi="Aptos"/>
                <w:b w:val="0"/>
                <w:sz w:val="16"/>
              </w:rPr>
              <w:t>€10.000</w:t>
            </w:r>
          </w:p>
        </w:tc>
      </w:tr>
      <w:tr>
        <w:tc>
          <w:tcPr>
            <w:tcW w:type="dxa" w:w="6480"/>
            <w:vAlign w:val="center"/>
          </w:tcPr>
          <w:p>
            <w:pPr>
              <w:spacing w:after="0"/>
            </w:pPr>
            <w:r/>
            <w:r>
              <w:rPr>
                <w:rFonts w:ascii="Aptos" w:hAnsi="Aptos"/>
                <w:b w:val="0"/>
                <w:sz w:val="16"/>
              </w:rPr>
              <w:t>Licensing / royalties</w:t>
            </w:r>
          </w:p>
        </w:tc>
        <w:tc>
          <w:tcPr>
            <w:tcW w:type="dxa" w:w="2304"/>
            <w:vAlign w:val="center"/>
          </w:tcPr>
          <w:p>
            <w:pPr>
              <w:spacing w:after="0"/>
            </w:pPr>
            <w:r/>
            <w:r>
              <w:rPr>
                <w:rFonts w:ascii="Aptos" w:hAnsi="Aptos"/>
                <w:b w:val="0"/>
                <w:sz w:val="16"/>
              </w:rPr>
              <w:t>€214.300</w:t>
            </w:r>
          </w:p>
        </w:tc>
      </w:tr>
      <w:tr>
        <w:tc>
          <w:tcPr>
            <w:tcW w:type="dxa" w:w="6480"/>
            <w:vAlign w:val="center"/>
          </w:tcPr>
          <w:p>
            <w:pPr>
              <w:spacing w:after="0"/>
            </w:pPr>
            <w:r/>
            <w:r>
              <w:rPr>
                <w:rFonts w:ascii="Aptos" w:hAnsi="Aptos"/>
                <w:b w:val="0"/>
                <w:sz w:val="16"/>
              </w:rPr>
              <w:t>Support / maintenance</w:t>
            </w:r>
          </w:p>
        </w:tc>
        <w:tc>
          <w:tcPr>
            <w:tcW w:type="dxa" w:w="2304"/>
            <w:vAlign w:val="center"/>
          </w:tcPr>
          <w:p>
            <w:pPr>
              <w:spacing w:after="0"/>
            </w:pPr>
            <w:r/>
            <w:r>
              <w:rPr>
                <w:rFonts w:ascii="Aptos" w:hAnsi="Aptos"/>
                <w:b w:val="0"/>
                <w:sz w:val="16"/>
              </w:rPr>
              <w:t>€29.300</w:t>
            </w:r>
          </w:p>
        </w:tc>
      </w:tr>
      <w:tr>
        <w:tc>
          <w:tcPr>
            <w:tcW w:type="dxa" w:w="6480"/>
            <w:vAlign w:val="center"/>
          </w:tcPr>
          <w:p>
            <w:pPr>
              <w:spacing w:after="0"/>
            </w:pPr>
            <w:r/>
            <w:r>
              <w:rPr>
                <w:rFonts w:ascii="Aptos" w:hAnsi="Aptos"/>
                <w:b w:val="0"/>
                <w:sz w:val="16"/>
              </w:rPr>
              <w:t>TOTAL</w:t>
            </w:r>
          </w:p>
        </w:tc>
        <w:tc>
          <w:tcPr>
            <w:tcW w:type="dxa" w:w="2304"/>
            <w:vAlign w:val="center"/>
          </w:tcPr>
          <w:p>
            <w:pPr>
              <w:spacing w:after="0"/>
            </w:pPr>
            <w:r/>
            <w:r>
              <w:rPr>
                <w:rFonts w:ascii="Aptos" w:hAnsi="Aptos"/>
                <w:b w:val="0"/>
                <w:sz w:val="16"/>
              </w:rPr>
              <w:t>€1.103.600</w:t>
            </w:r>
          </w:p>
        </w:tc>
      </w:tr>
    </w:tbl>
    <w:p>
      <w:pPr>
        <w:spacing w:after="40"/>
      </w:pPr>
    </w:p>
    <w:p>
      <w:pPr>
        <w:pStyle w:val="Heading2"/>
      </w:pPr>
      <w:r>
        <w:t>CL-007 · Smaller platform base · €2.000.000</w:t>
      </w:r>
    </w:p>
    <w:tbl>
      <w:tblPr>
        <w:tblStyle w:val="TableGrid"/>
        <w:tblW w:type="auto" w:w="0"/>
        <w:jc w:val="center"/>
        <w:tblLook w:firstColumn="1" w:firstRow="1" w:lastColumn="0" w:lastRow="0" w:noHBand="0" w:noVBand="1" w:val="04A0"/>
      </w:tblPr>
      <w:tblGrid>
        <w:gridCol w:w="5083"/>
        <w:gridCol w:w="5083"/>
      </w:tblGrid>
      <w:tr>
        <w:tc>
          <w:tcPr>
            <w:tcW w:type="dxa" w:w="6480"/>
            <w:vAlign w:val="center"/>
            <w:shd w:fill="0B0D10"/>
          </w:tcPr>
          <w:p>
            <w:pPr>
              <w:spacing w:after="0"/>
            </w:pPr>
            <w:r/>
            <w:r>
              <w:rPr>
                <w:rFonts w:ascii="Aptos" w:hAnsi="Aptos"/>
                <w:b/>
                <w:color w:val="FFFFFF"/>
                <w:sz w:val="16"/>
              </w:rPr>
              <w:t>Revenue component</w:t>
            </w:r>
          </w:p>
        </w:tc>
        <w:tc>
          <w:tcPr>
            <w:tcW w:type="dxa" w:w="2304"/>
            <w:vAlign w:val="center"/>
            <w:shd w:fill="0B0D10"/>
          </w:tcPr>
          <w:p>
            <w:pPr>
              <w:spacing w:after="0"/>
            </w:pPr>
            <w:r/>
            <w:r>
              <w:rPr>
                <w:rFonts w:ascii="Aptos" w:hAnsi="Aptos"/>
                <w:b/>
                <w:color w:val="FFFFFF"/>
                <w:sz w:val="16"/>
              </w:rPr>
              <w:t>2026 recognized</w:t>
            </w:r>
          </w:p>
        </w:tc>
      </w:tr>
      <w:tr>
        <w:tc>
          <w:tcPr>
            <w:tcW w:type="dxa" w:w="6480"/>
            <w:vAlign w:val="center"/>
          </w:tcPr>
          <w:p>
            <w:pPr>
              <w:spacing w:after="0"/>
            </w:pPr>
            <w:r/>
            <w:r>
              <w:rPr>
                <w:rFonts w:ascii="Aptos" w:hAnsi="Aptos"/>
                <w:b w:val="0"/>
                <w:sz w:val="16"/>
              </w:rPr>
              <w:t>Subscriptions / licences</w:t>
            </w:r>
          </w:p>
        </w:tc>
        <w:tc>
          <w:tcPr>
            <w:tcW w:type="dxa" w:w="2304"/>
            <w:vAlign w:val="center"/>
          </w:tcPr>
          <w:p>
            <w:pPr>
              <w:spacing w:after="0"/>
            </w:pPr>
            <w:r/>
            <w:r>
              <w:rPr>
                <w:rFonts w:ascii="Aptos" w:hAnsi="Aptos"/>
                <w:b w:val="0"/>
                <w:sz w:val="16"/>
              </w:rPr>
              <w:t>€542.400</w:t>
            </w:r>
          </w:p>
        </w:tc>
      </w:tr>
      <w:tr>
        <w:tc>
          <w:tcPr>
            <w:tcW w:type="dxa" w:w="6480"/>
            <w:vAlign w:val="center"/>
          </w:tcPr>
          <w:p>
            <w:pPr>
              <w:spacing w:after="0"/>
            </w:pPr>
            <w:r/>
            <w:r>
              <w:rPr>
                <w:rFonts w:ascii="Aptos" w:hAnsi="Aptos"/>
                <w:b w:val="0"/>
                <w:sz w:val="16"/>
              </w:rPr>
              <w:t>Deployment / integration</w:t>
            </w:r>
          </w:p>
        </w:tc>
        <w:tc>
          <w:tcPr>
            <w:tcW w:type="dxa" w:w="2304"/>
            <w:vAlign w:val="center"/>
          </w:tcPr>
          <w:p>
            <w:pPr>
              <w:spacing w:after="0"/>
            </w:pPr>
            <w:r/>
            <w:r>
              <w:rPr>
                <w:rFonts w:ascii="Aptos" w:hAnsi="Aptos"/>
                <w:b w:val="0"/>
                <w:sz w:val="16"/>
              </w:rPr>
              <w:t>€744.600</w:t>
            </w:r>
          </w:p>
        </w:tc>
      </w:tr>
      <w:tr>
        <w:tc>
          <w:tcPr>
            <w:tcW w:type="dxa" w:w="6480"/>
            <w:vAlign w:val="center"/>
          </w:tcPr>
          <w:p>
            <w:pPr>
              <w:spacing w:after="0"/>
            </w:pPr>
            <w:r/>
            <w:r>
              <w:rPr>
                <w:rFonts w:ascii="Aptos" w:hAnsi="Aptos"/>
                <w:b w:val="0"/>
                <w:sz w:val="16"/>
              </w:rPr>
              <w:t>Robotics engineering</w:t>
            </w:r>
          </w:p>
        </w:tc>
        <w:tc>
          <w:tcPr>
            <w:tcW w:type="dxa" w:w="2304"/>
            <w:vAlign w:val="center"/>
          </w:tcPr>
          <w:p>
            <w:pPr>
              <w:spacing w:after="0"/>
            </w:pPr>
            <w:r/>
            <w:r>
              <w:rPr>
                <w:rFonts w:ascii="Aptos" w:hAnsi="Aptos"/>
                <w:b w:val="0"/>
                <w:sz w:val="16"/>
              </w:rPr>
              <w:t>€284.800</w:t>
            </w:r>
          </w:p>
        </w:tc>
      </w:tr>
      <w:tr>
        <w:tc>
          <w:tcPr>
            <w:tcW w:type="dxa" w:w="6480"/>
            <w:vAlign w:val="center"/>
          </w:tcPr>
          <w:p>
            <w:pPr>
              <w:spacing w:after="0"/>
            </w:pPr>
            <w:r/>
            <w:r>
              <w:rPr>
                <w:rFonts w:ascii="Aptos" w:hAnsi="Aptos"/>
                <w:b w:val="0"/>
                <w:sz w:val="16"/>
              </w:rPr>
              <w:t>Licensing / royalties</w:t>
            </w:r>
          </w:p>
        </w:tc>
        <w:tc>
          <w:tcPr>
            <w:tcW w:type="dxa" w:w="2304"/>
            <w:vAlign w:val="center"/>
          </w:tcPr>
          <w:p>
            <w:pPr>
              <w:spacing w:after="0"/>
            </w:pPr>
            <w:r/>
            <w:r>
              <w:rPr>
                <w:rFonts w:ascii="Aptos" w:hAnsi="Aptos"/>
                <w:b w:val="0"/>
                <w:sz w:val="16"/>
              </w:rPr>
              <w:t>€428.200</w:t>
            </w:r>
          </w:p>
        </w:tc>
      </w:tr>
      <w:tr>
        <w:tc>
          <w:tcPr>
            <w:tcW w:type="dxa" w:w="6480"/>
            <w:vAlign w:val="center"/>
          </w:tcPr>
          <w:p>
            <w:pPr>
              <w:spacing w:after="0"/>
            </w:pPr>
            <w:r/>
            <w:r>
              <w:rPr>
                <w:rFonts w:ascii="Aptos" w:hAnsi="Aptos"/>
                <w:b w:val="0"/>
                <w:sz w:val="16"/>
              </w:rPr>
              <w:t>TOTAL</w:t>
            </w:r>
          </w:p>
        </w:tc>
        <w:tc>
          <w:tcPr>
            <w:tcW w:type="dxa" w:w="2304"/>
            <w:vAlign w:val="center"/>
          </w:tcPr>
          <w:p>
            <w:pPr>
              <w:spacing w:after="0"/>
            </w:pPr>
            <w:r/>
            <w:r>
              <w:rPr>
                <w:rFonts w:ascii="Aptos" w:hAnsi="Aptos"/>
                <w:b w:val="0"/>
                <w:sz w:val="16"/>
              </w:rPr>
              <w:t>€2.000.000</w:t>
            </w:r>
          </w:p>
        </w:tc>
      </w:tr>
    </w:tbl>
    <w:p>
      <w:pPr>
        <w:spacing w:after="40"/>
      </w:pPr>
    </w:p>
    <w:p>
      <w:pPr>
        <w:pStyle w:val="Heading2"/>
      </w:pPr>
      <w:r>
        <w:t>8.1 Stream reconciliation check</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888"/>
            <w:vAlign w:val="center"/>
            <w:shd w:fill="0B0D10"/>
          </w:tcPr>
          <w:p>
            <w:pPr>
              <w:spacing w:after="0"/>
            </w:pPr>
            <w:r/>
            <w:r>
              <w:rPr>
                <w:rFonts w:ascii="Aptos" w:hAnsi="Aptos"/>
                <w:b/>
                <w:color w:val="FFFFFF"/>
                <w:sz w:val="16"/>
              </w:rPr>
              <w:t>Stream</w:t>
            </w:r>
          </w:p>
        </w:tc>
        <w:tc>
          <w:tcPr>
            <w:tcW w:type="dxa" w:w="2304"/>
            <w:vAlign w:val="center"/>
            <w:shd w:fill="0B0D10"/>
          </w:tcPr>
          <w:p>
            <w:pPr>
              <w:spacing w:after="0"/>
            </w:pPr>
            <w:r/>
            <w:r>
              <w:rPr>
                <w:rFonts w:ascii="Aptos" w:hAnsi="Aptos"/>
                <w:b/>
                <w:color w:val="FFFFFF"/>
                <w:sz w:val="16"/>
              </w:rPr>
              <w:t>Authoritative target</w:t>
            </w:r>
          </w:p>
        </w:tc>
        <w:tc>
          <w:tcPr>
            <w:tcW w:type="dxa" w:w="2448"/>
            <w:vAlign w:val="center"/>
            <w:shd w:fill="0B0D10"/>
          </w:tcPr>
          <w:p>
            <w:pPr>
              <w:spacing w:after="0"/>
            </w:pPr>
            <w:r/>
            <w:r>
              <w:rPr>
                <w:rFonts w:ascii="Aptos" w:hAnsi="Aptos"/>
                <w:b/>
                <w:color w:val="FFFFFF"/>
                <w:sz w:val="16"/>
              </w:rPr>
              <w:t>Contract sub-ledger</w:t>
            </w:r>
          </w:p>
        </w:tc>
        <w:tc>
          <w:tcPr>
            <w:tcW w:type="dxa" w:w="1152"/>
            <w:vAlign w:val="center"/>
            <w:shd w:fill="0B0D10"/>
          </w:tcPr>
          <w:p>
            <w:pPr>
              <w:spacing w:after="0"/>
            </w:pPr>
            <w:r/>
            <w:r>
              <w:rPr>
                <w:rFonts w:ascii="Aptos" w:hAnsi="Aptos"/>
                <w:b/>
                <w:color w:val="FFFFFF"/>
                <w:sz w:val="16"/>
              </w:rPr>
              <w:t>Check</w:t>
            </w:r>
          </w:p>
        </w:tc>
      </w:tr>
      <w:tr>
        <w:tc>
          <w:tcPr>
            <w:tcW w:type="dxa" w:w="3888"/>
            <w:vAlign w:val="center"/>
          </w:tcPr>
          <w:p>
            <w:pPr>
              <w:spacing w:after="0"/>
            </w:pPr>
            <w:r/>
            <w:r>
              <w:rPr>
                <w:rFonts w:ascii="Aptos" w:hAnsi="Aptos"/>
                <w:b w:val="0"/>
                <w:sz w:val="16"/>
              </w:rPr>
              <w:t>Subscriptions / licences</w:t>
            </w:r>
          </w:p>
        </w:tc>
        <w:tc>
          <w:tcPr>
            <w:tcW w:type="dxa" w:w="2304"/>
            <w:vAlign w:val="center"/>
          </w:tcPr>
          <w:p>
            <w:pPr>
              <w:spacing w:after="0"/>
            </w:pPr>
            <w:r/>
            <w:r>
              <w:rPr>
                <w:rFonts w:ascii="Aptos" w:hAnsi="Aptos"/>
                <w:b w:val="0"/>
                <w:sz w:val="16"/>
              </w:rPr>
              <w:t>€1.862.400</w:t>
            </w:r>
          </w:p>
        </w:tc>
        <w:tc>
          <w:tcPr>
            <w:tcW w:type="dxa" w:w="2448"/>
            <w:vAlign w:val="center"/>
          </w:tcPr>
          <w:p>
            <w:pPr>
              <w:spacing w:after="0"/>
            </w:pPr>
            <w:r/>
            <w:r>
              <w:rPr>
                <w:rFonts w:ascii="Aptos" w:hAnsi="Aptos"/>
                <w:b w:val="0"/>
                <w:sz w:val="16"/>
              </w:rPr>
              <w:t>€1.862.400</w:t>
            </w:r>
          </w:p>
        </w:tc>
        <w:tc>
          <w:tcPr>
            <w:tcW w:type="dxa" w:w="1152"/>
            <w:vAlign w:val="center"/>
          </w:tcPr>
          <w:p>
            <w:pPr>
              <w:spacing w:after="0"/>
            </w:pPr>
            <w:r/>
            <w:r>
              <w:rPr>
                <w:rFonts w:ascii="Aptos" w:hAnsi="Aptos"/>
                <w:b w:val="0"/>
                <w:sz w:val="16"/>
              </w:rPr>
              <w:t>PASS</w:t>
            </w:r>
          </w:p>
        </w:tc>
      </w:tr>
      <w:tr>
        <w:tc>
          <w:tcPr>
            <w:tcW w:type="dxa" w:w="3888"/>
            <w:vAlign w:val="center"/>
          </w:tcPr>
          <w:p>
            <w:pPr>
              <w:spacing w:after="0"/>
            </w:pPr>
            <w:r/>
            <w:r>
              <w:rPr>
                <w:rFonts w:ascii="Aptos" w:hAnsi="Aptos"/>
                <w:b w:val="0"/>
                <w:sz w:val="16"/>
              </w:rPr>
              <w:t>Deployment / integration</w:t>
            </w:r>
          </w:p>
        </w:tc>
        <w:tc>
          <w:tcPr>
            <w:tcW w:type="dxa" w:w="2304"/>
            <w:vAlign w:val="center"/>
          </w:tcPr>
          <w:p>
            <w:pPr>
              <w:spacing w:after="0"/>
            </w:pPr>
            <w:r/>
            <w:r>
              <w:rPr>
                <w:rFonts w:ascii="Aptos" w:hAnsi="Aptos"/>
                <w:b w:val="0"/>
                <w:sz w:val="16"/>
              </w:rPr>
              <w:t>€2.744.600</w:t>
            </w:r>
          </w:p>
        </w:tc>
        <w:tc>
          <w:tcPr>
            <w:tcW w:type="dxa" w:w="2448"/>
            <w:vAlign w:val="center"/>
          </w:tcPr>
          <w:p>
            <w:pPr>
              <w:spacing w:after="0"/>
            </w:pPr>
            <w:r/>
            <w:r>
              <w:rPr>
                <w:rFonts w:ascii="Aptos" w:hAnsi="Aptos"/>
                <w:b w:val="0"/>
                <w:sz w:val="16"/>
              </w:rPr>
              <w:t>€2.744.600</w:t>
            </w:r>
          </w:p>
        </w:tc>
        <w:tc>
          <w:tcPr>
            <w:tcW w:type="dxa" w:w="1152"/>
            <w:vAlign w:val="center"/>
          </w:tcPr>
          <w:p>
            <w:pPr>
              <w:spacing w:after="0"/>
            </w:pPr>
            <w:r/>
            <w:r>
              <w:rPr>
                <w:rFonts w:ascii="Aptos" w:hAnsi="Aptos"/>
                <w:b w:val="0"/>
                <w:sz w:val="16"/>
              </w:rPr>
              <w:t>PASS</w:t>
            </w:r>
          </w:p>
        </w:tc>
      </w:tr>
      <w:tr>
        <w:tc>
          <w:tcPr>
            <w:tcW w:type="dxa" w:w="3888"/>
            <w:vAlign w:val="center"/>
          </w:tcPr>
          <w:p>
            <w:pPr>
              <w:spacing w:after="0"/>
            </w:pPr>
            <w:r/>
            <w:r>
              <w:rPr>
                <w:rFonts w:ascii="Aptos" w:hAnsi="Aptos"/>
                <w:b w:val="0"/>
                <w:sz w:val="16"/>
              </w:rPr>
              <w:t>Robotics engineering</w:t>
            </w:r>
          </w:p>
        </w:tc>
        <w:tc>
          <w:tcPr>
            <w:tcW w:type="dxa" w:w="2304"/>
            <w:vAlign w:val="center"/>
          </w:tcPr>
          <w:p>
            <w:pPr>
              <w:spacing w:after="0"/>
            </w:pPr>
            <w:r/>
            <w:r>
              <w:rPr>
                <w:rFonts w:ascii="Aptos" w:hAnsi="Aptos"/>
                <w:b w:val="0"/>
                <w:sz w:val="16"/>
              </w:rPr>
              <w:t>€1.214.800</w:t>
            </w:r>
          </w:p>
        </w:tc>
        <w:tc>
          <w:tcPr>
            <w:tcW w:type="dxa" w:w="2448"/>
            <w:vAlign w:val="center"/>
          </w:tcPr>
          <w:p>
            <w:pPr>
              <w:spacing w:after="0"/>
            </w:pPr>
            <w:r/>
            <w:r>
              <w:rPr>
                <w:rFonts w:ascii="Aptos" w:hAnsi="Aptos"/>
                <w:b w:val="0"/>
                <w:sz w:val="16"/>
              </w:rPr>
              <w:t>€1.214.800</w:t>
            </w:r>
          </w:p>
        </w:tc>
        <w:tc>
          <w:tcPr>
            <w:tcW w:type="dxa" w:w="1152"/>
            <w:vAlign w:val="center"/>
          </w:tcPr>
          <w:p>
            <w:pPr>
              <w:spacing w:after="0"/>
            </w:pPr>
            <w:r/>
            <w:r>
              <w:rPr>
                <w:rFonts w:ascii="Aptos" w:hAnsi="Aptos"/>
                <w:b w:val="0"/>
                <w:sz w:val="16"/>
              </w:rPr>
              <w:t>PASS</w:t>
            </w:r>
          </w:p>
        </w:tc>
      </w:tr>
      <w:tr>
        <w:tc>
          <w:tcPr>
            <w:tcW w:type="dxa" w:w="3888"/>
            <w:vAlign w:val="center"/>
          </w:tcPr>
          <w:p>
            <w:pPr>
              <w:spacing w:after="0"/>
            </w:pPr>
            <w:r/>
            <w:r>
              <w:rPr>
                <w:rFonts w:ascii="Aptos" w:hAnsi="Aptos"/>
                <w:b w:val="0"/>
                <w:sz w:val="16"/>
              </w:rPr>
              <w:t>Data / fleet intelligence</w:t>
            </w:r>
          </w:p>
        </w:tc>
        <w:tc>
          <w:tcPr>
            <w:tcW w:type="dxa" w:w="2304"/>
            <w:vAlign w:val="center"/>
          </w:tcPr>
          <w:p>
            <w:pPr>
              <w:spacing w:after="0"/>
            </w:pPr>
            <w:r/>
            <w:r>
              <w:rPr>
                <w:rFonts w:ascii="Aptos" w:hAnsi="Aptos"/>
                <w:b w:val="0"/>
                <w:sz w:val="16"/>
              </w:rPr>
              <w:t>€1.018.900</w:t>
            </w:r>
          </w:p>
        </w:tc>
        <w:tc>
          <w:tcPr>
            <w:tcW w:type="dxa" w:w="2448"/>
            <w:vAlign w:val="center"/>
          </w:tcPr>
          <w:p>
            <w:pPr>
              <w:spacing w:after="0"/>
            </w:pPr>
            <w:r/>
            <w:r>
              <w:rPr>
                <w:rFonts w:ascii="Aptos" w:hAnsi="Aptos"/>
                <w:b w:val="0"/>
                <w:sz w:val="16"/>
              </w:rPr>
              <w:t>€1.018.900</w:t>
            </w:r>
          </w:p>
        </w:tc>
        <w:tc>
          <w:tcPr>
            <w:tcW w:type="dxa" w:w="1152"/>
            <w:vAlign w:val="center"/>
          </w:tcPr>
          <w:p>
            <w:pPr>
              <w:spacing w:after="0"/>
            </w:pPr>
            <w:r/>
            <w:r>
              <w:rPr>
                <w:rFonts w:ascii="Aptos" w:hAnsi="Aptos"/>
                <w:b w:val="0"/>
                <w:sz w:val="16"/>
              </w:rPr>
              <w:t>PASS</w:t>
            </w:r>
          </w:p>
        </w:tc>
      </w:tr>
      <w:tr>
        <w:tc>
          <w:tcPr>
            <w:tcW w:type="dxa" w:w="3888"/>
            <w:vAlign w:val="center"/>
          </w:tcPr>
          <w:p>
            <w:pPr>
              <w:spacing w:after="0"/>
            </w:pPr>
            <w:r/>
            <w:r>
              <w:rPr>
                <w:rFonts w:ascii="Aptos" w:hAnsi="Aptos"/>
                <w:b w:val="0"/>
                <w:sz w:val="16"/>
              </w:rPr>
              <w:t>Licensing / royalties</w:t>
            </w:r>
          </w:p>
        </w:tc>
        <w:tc>
          <w:tcPr>
            <w:tcW w:type="dxa" w:w="2304"/>
            <w:vAlign w:val="center"/>
          </w:tcPr>
          <w:p>
            <w:pPr>
              <w:spacing w:after="0"/>
            </w:pPr>
            <w:r/>
            <w:r>
              <w:rPr>
                <w:rFonts w:ascii="Aptos" w:hAnsi="Aptos"/>
                <w:b w:val="0"/>
                <w:sz w:val="16"/>
              </w:rPr>
              <w:t>€642.500</w:t>
            </w:r>
          </w:p>
        </w:tc>
        <w:tc>
          <w:tcPr>
            <w:tcW w:type="dxa" w:w="2448"/>
            <w:vAlign w:val="center"/>
          </w:tcPr>
          <w:p>
            <w:pPr>
              <w:spacing w:after="0"/>
            </w:pPr>
            <w:r/>
            <w:r>
              <w:rPr>
                <w:rFonts w:ascii="Aptos" w:hAnsi="Aptos"/>
                <w:b w:val="0"/>
                <w:sz w:val="16"/>
              </w:rPr>
              <w:t>€642.500</w:t>
            </w:r>
          </w:p>
        </w:tc>
        <w:tc>
          <w:tcPr>
            <w:tcW w:type="dxa" w:w="1152"/>
            <w:vAlign w:val="center"/>
          </w:tcPr>
          <w:p>
            <w:pPr>
              <w:spacing w:after="0"/>
            </w:pPr>
            <w:r/>
            <w:r>
              <w:rPr>
                <w:rFonts w:ascii="Aptos" w:hAnsi="Aptos"/>
                <w:b w:val="0"/>
                <w:sz w:val="16"/>
              </w:rPr>
              <w:t>PASS</w:t>
            </w:r>
          </w:p>
        </w:tc>
      </w:tr>
      <w:tr>
        <w:tc>
          <w:tcPr>
            <w:tcW w:type="dxa" w:w="3888"/>
            <w:vAlign w:val="center"/>
          </w:tcPr>
          <w:p>
            <w:pPr>
              <w:spacing w:after="0"/>
            </w:pPr>
            <w:r/>
            <w:r>
              <w:rPr>
                <w:rFonts w:ascii="Aptos" w:hAnsi="Aptos"/>
                <w:b w:val="0"/>
                <w:sz w:val="16"/>
              </w:rPr>
              <w:t>Support / maintenance</w:t>
            </w:r>
          </w:p>
        </w:tc>
        <w:tc>
          <w:tcPr>
            <w:tcW w:type="dxa" w:w="2304"/>
            <w:vAlign w:val="center"/>
          </w:tcPr>
          <w:p>
            <w:pPr>
              <w:spacing w:after="0"/>
            </w:pPr>
            <w:r/>
            <w:r>
              <w:rPr>
                <w:rFonts w:ascii="Aptos" w:hAnsi="Aptos"/>
                <w:b w:val="0"/>
                <w:sz w:val="16"/>
              </w:rPr>
              <w:t>€460.400</w:t>
            </w:r>
          </w:p>
        </w:tc>
        <w:tc>
          <w:tcPr>
            <w:tcW w:type="dxa" w:w="2448"/>
            <w:vAlign w:val="center"/>
          </w:tcPr>
          <w:p>
            <w:pPr>
              <w:spacing w:after="0"/>
            </w:pPr>
            <w:r/>
            <w:r>
              <w:rPr>
                <w:rFonts w:ascii="Aptos" w:hAnsi="Aptos"/>
                <w:b w:val="0"/>
                <w:sz w:val="16"/>
              </w:rPr>
              <w:t>€460.400</w:t>
            </w:r>
          </w:p>
        </w:tc>
        <w:tc>
          <w:tcPr>
            <w:tcW w:type="dxa" w:w="1152"/>
            <w:vAlign w:val="center"/>
          </w:tcPr>
          <w:p>
            <w:pPr>
              <w:spacing w:after="0"/>
            </w:pPr>
            <w:r/>
            <w:r>
              <w:rPr>
                <w:rFonts w:ascii="Aptos" w:hAnsi="Aptos"/>
                <w:b w:val="0"/>
                <w:sz w:val="16"/>
              </w:rPr>
              <w:t>PASS</w:t>
            </w:r>
          </w:p>
        </w:tc>
      </w:tr>
    </w:tbl>
    <w:p>
      <w:pPr>
        <w:spacing w:after="40"/>
      </w:pPr>
    </w:p>
    <w:p>
      <w:r>
        <w:t>This freezes CL-001 through CL-007 as the commercial revenue map for the launch state. Smaller customer names inside CL-006 and CL-007 remain to be instantiated later as separate contract records; splitting an aggregate does not create new revenue.</w:t>
      </w:r>
    </w:p>
    <w:p>
      <w:pPr>
        <w:pStyle w:val="Heading1"/>
      </w:pPr>
      <w:r>
        <w:t>9. Customer archetypes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0B0D10"/>
          </w:tcPr>
          <w:p>
            <w:pPr>
              <w:spacing w:after="0"/>
            </w:pPr>
            <w:r/>
            <w:r>
              <w:rPr>
                <w:rFonts w:ascii="Aptos" w:hAnsi="Aptos"/>
                <w:b/>
                <w:color w:val="FFFFFF"/>
                <w:sz w:val="16"/>
              </w:rPr>
              <w:t>Customer type</w:t>
            </w:r>
          </w:p>
        </w:tc>
        <w:tc>
          <w:tcPr>
            <w:tcW w:type="dxa" w:w="4176"/>
            <w:vAlign w:val="center"/>
            <w:shd w:fill="0B0D10"/>
          </w:tcPr>
          <w:p>
            <w:pPr>
              <w:spacing w:after="0"/>
            </w:pPr>
            <w:r/>
            <w:r>
              <w:rPr>
                <w:rFonts w:ascii="Aptos" w:hAnsi="Aptos"/>
                <w:b/>
                <w:color w:val="FFFFFF"/>
                <w:sz w:val="16"/>
              </w:rPr>
              <w:t>Typical RAS bundle</w:t>
            </w:r>
          </w:p>
        </w:tc>
        <w:tc>
          <w:tcPr>
            <w:tcW w:type="dxa" w:w="3168"/>
            <w:vAlign w:val="center"/>
            <w:shd w:fill="0B0D10"/>
          </w:tcPr>
          <w:p>
            <w:pPr>
              <w:spacing w:after="0"/>
            </w:pPr>
            <w:r/>
            <w:r>
              <w:rPr>
                <w:rFonts w:ascii="Aptos" w:hAnsi="Aptos"/>
                <w:b/>
                <w:color w:val="FFFFFF"/>
                <w:sz w:val="16"/>
              </w:rPr>
              <w:t>Economic driver</w:t>
            </w:r>
          </w:p>
        </w:tc>
      </w:tr>
      <w:tr>
        <w:tc>
          <w:tcPr>
            <w:tcW w:type="dxa" w:w="2304"/>
            <w:vAlign w:val="center"/>
          </w:tcPr>
          <w:p>
            <w:pPr>
              <w:spacing w:after="0"/>
            </w:pPr>
            <w:r/>
            <w:r>
              <w:rPr>
                <w:rFonts w:ascii="Aptos" w:hAnsi="Aptos"/>
                <w:b w:val="0"/>
                <w:sz w:val="16"/>
              </w:rPr>
              <w:t>Large industrial plant</w:t>
            </w:r>
          </w:p>
        </w:tc>
        <w:tc>
          <w:tcPr>
            <w:tcW w:type="dxa" w:w="4176"/>
            <w:vAlign w:val="center"/>
          </w:tcPr>
          <w:p>
            <w:pPr>
              <w:spacing w:after="0"/>
            </w:pPr>
            <w:r/>
            <w:r>
              <w:rPr>
                <w:rFonts w:ascii="Aptos" w:hAnsi="Aptos"/>
                <w:b w:val="0"/>
                <w:sz w:val="16"/>
              </w:rPr>
              <w:t>Perception + Deployment + Data/Fleet + Support</w:t>
            </w:r>
          </w:p>
        </w:tc>
        <w:tc>
          <w:tcPr>
            <w:tcW w:type="dxa" w:w="3168"/>
            <w:vAlign w:val="center"/>
          </w:tcPr>
          <w:p>
            <w:pPr>
              <w:spacing w:after="0"/>
            </w:pPr>
            <w:r/>
            <w:r>
              <w:rPr>
                <w:rFonts w:ascii="Aptos" w:hAnsi="Aptos"/>
                <w:b w:val="0"/>
                <w:sz w:val="16"/>
              </w:rPr>
              <w:t>Lower defects, less manual inspection, higher uptime</w:t>
            </w:r>
          </w:p>
        </w:tc>
      </w:tr>
      <w:tr>
        <w:tc>
          <w:tcPr>
            <w:tcW w:type="dxa" w:w="2304"/>
            <w:vAlign w:val="center"/>
          </w:tcPr>
          <w:p>
            <w:pPr>
              <w:spacing w:after="0"/>
            </w:pPr>
            <w:r/>
            <w:r>
              <w:rPr>
                <w:rFonts w:ascii="Aptos" w:hAnsi="Aptos"/>
                <w:b w:val="0"/>
                <w:sz w:val="16"/>
              </w:rPr>
              <w:t>Machine OEM</w:t>
            </w:r>
          </w:p>
        </w:tc>
        <w:tc>
          <w:tcPr>
            <w:tcW w:type="dxa" w:w="4176"/>
            <w:vAlign w:val="center"/>
          </w:tcPr>
          <w:p>
            <w:pPr>
              <w:spacing w:after="0"/>
            </w:pPr>
            <w:r/>
            <w:r>
              <w:rPr>
                <w:rFonts w:ascii="Aptos" w:hAnsi="Aptos"/>
                <w:b w:val="0"/>
                <w:sz w:val="16"/>
              </w:rPr>
              <w:t>Motion + Engineering + Simulation + IP license</w:t>
            </w:r>
          </w:p>
        </w:tc>
        <w:tc>
          <w:tcPr>
            <w:tcW w:type="dxa" w:w="3168"/>
            <w:vAlign w:val="center"/>
          </w:tcPr>
          <w:p>
            <w:pPr>
              <w:spacing w:after="0"/>
            </w:pPr>
            <w:r/>
            <w:r>
              <w:rPr>
                <w:rFonts w:ascii="Aptos" w:hAnsi="Aptos"/>
                <w:b w:val="0"/>
                <w:sz w:val="16"/>
              </w:rPr>
              <w:t>Embed autonomy into machines sold to many end customers</w:t>
            </w:r>
          </w:p>
        </w:tc>
      </w:tr>
      <w:tr>
        <w:tc>
          <w:tcPr>
            <w:tcW w:type="dxa" w:w="2304"/>
            <w:vAlign w:val="center"/>
          </w:tcPr>
          <w:p>
            <w:pPr>
              <w:spacing w:after="0"/>
            </w:pPr>
            <w:r/>
            <w:r>
              <w:rPr>
                <w:rFonts w:ascii="Aptos" w:hAnsi="Aptos"/>
                <w:b w:val="0"/>
                <w:sz w:val="16"/>
              </w:rPr>
              <w:t>Multi-site manufacturer</w:t>
            </w:r>
          </w:p>
        </w:tc>
        <w:tc>
          <w:tcPr>
            <w:tcW w:type="dxa" w:w="4176"/>
            <w:vAlign w:val="center"/>
          </w:tcPr>
          <w:p>
            <w:pPr>
              <w:spacing w:after="0"/>
            </w:pPr>
            <w:r/>
            <w:r>
              <w:rPr>
                <w:rFonts w:ascii="Aptos" w:hAnsi="Aptos"/>
                <w:b w:val="0"/>
                <w:sz w:val="16"/>
              </w:rPr>
              <w:t>Fleet + Perception + Support + Data Operations</w:t>
            </w:r>
          </w:p>
        </w:tc>
        <w:tc>
          <w:tcPr>
            <w:tcW w:type="dxa" w:w="3168"/>
            <w:vAlign w:val="center"/>
          </w:tcPr>
          <w:p>
            <w:pPr>
              <w:spacing w:after="0"/>
            </w:pPr>
            <w:r/>
            <w:r>
              <w:rPr>
                <w:rFonts w:ascii="Aptos" w:hAnsi="Aptos"/>
                <w:b w:val="0"/>
                <w:sz w:val="16"/>
              </w:rPr>
              <w:t>Standardize automation and learn across sites</w:t>
            </w:r>
          </w:p>
        </w:tc>
      </w:tr>
      <w:tr>
        <w:tc>
          <w:tcPr>
            <w:tcW w:type="dxa" w:w="2304"/>
            <w:vAlign w:val="center"/>
          </w:tcPr>
          <w:p>
            <w:pPr>
              <w:spacing w:after="0"/>
            </w:pPr>
            <w:r/>
            <w:r>
              <w:rPr>
                <w:rFonts w:ascii="Aptos" w:hAnsi="Aptos"/>
                <w:b w:val="0"/>
                <w:sz w:val="16"/>
              </w:rPr>
              <w:t>Logistics operator</w:t>
            </w:r>
          </w:p>
        </w:tc>
        <w:tc>
          <w:tcPr>
            <w:tcW w:type="dxa" w:w="4176"/>
            <w:vAlign w:val="center"/>
          </w:tcPr>
          <w:p>
            <w:pPr>
              <w:spacing w:after="0"/>
            </w:pPr>
            <w:r/>
            <w:r>
              <w:rPr>
                <w:rFonts w:ascii="Aptos" w:hAnsi="Aptos"/>
                <w:b w:val="0"/>
                <w:sz w:val="16"/>
              </w:rPr>
              <w:t>Perception + Motion + Fleet + Engineering</w:t>
            </w:r>
          </w:p>
        </w:tc>
        <w:tc>
          <w:tcPr>
            <w:tcW w:type="dxa" w:w="3168"/>
            <w:vAlign w:val="center"/>
          </w:tcPr>
          <w:p>
            <w:pPr>
              <w:spacing w:after="0"/>
            </w:pPr>
            <w:r/>
            <w:r>
              <w:rPr>
                <w:rFonts w:ascii="Aptos" w:hAnsi="Aptos"/>
                <w:b w:val="0"/>
                <w:sz w:val="16"/>
              </w:rPr>
              <w:t>Higher throughput and safer material handling</w:t>
            </w:r>
          </w:p>
        </w:tc>
      </w:tr>
      <w:tr>
        <w:tc>
          <w:tcPr>
            <w:tcW w:type="dxa" w:w="2304"/>
            <w:vAlign w:val="center"/>
          </w:tcPr>
          <w:p>
            <w:pPr>
              <w:spacing w:after="0"/>
            </w:pPr>
            <w:r/>
            <w:r>
              <w:rPr>
                <w:rFonts w:ascii="Aptos" w:hAnsi="Aptos"/>
                <w:b w:val="0"/>
                <w:sz w:val="16"/>
              </w:rPr>
              <w:t>Precision manufacturer</w:t>
            </w:r>
          </w:p>
        </w:tc>
        <w:tc>
          <w:tcPr>
            <w:tcW w:type="dxa" w:w="4176"/>
            <w:vAlign w:val="center"/>
          </w:tcPr>
          <w:p>
            <w:pPr>
              <w:spacing w:after="0"/>
            </w:pPr>
            <w:r/>
            <w:r>
              <w:rPr>
                <w:rFonts w:ascii="Aptos" w:hAnsi="Aptos"/>
                <w:b w:val="0"/>
                <w:sz w:val="16"/>
              </w:rPr>
              <w:t>Perception + Motion + Simulation</w:t>
            </w:r>
          </w:p>
        </w:tc>
        <w:tc>
          <w:tcPr>
            <w:tcW w:type="dxa" w:w="3168"/>
            <w:vAlign w:val="center"/>
          </w:tcPr>
          <w:p>
            <w:pPr>
              <w:spacing w:after="0"/>
            </w:pPr>
            <w:r/>
            <w:r>
              <w:rPr>
                <w:rFonts w:ascii="Aptos" w:hAnsi="Aptos"/>
                <w:b w:val="0"/>
                <w:sz w:val="16"/>
              </w:rPr>
              <w:t>Quality assurance and repeatable cell automation</w:t>
            </w:r>
          </w:p>
        </w:tc>
      </w:tr>
      <w:tr>
        <w:tc>
          <w:tcPr>
            <w:tcW w:type="dxa" w:w="2304"/>
            <w:vAlign w:val="center"/>
          </w:tcPr>
          <w:p>
            <w:pPr>
              <w:spacing w:after="0"/>
            </w:pPr>
            <w:r/>
            <w:r>
              <w:rPr>
                <w:rFonts w:ascii="Aptos" w:hAnsi="Aptos"/>
                <w:b w:val="0"/>
                <w:sz w:val="16"/>
              </w:rPr>
              <w:t>Strategic R&amp;D partner</w:t>
            </w:r>
          </w:p>
        </w:tc>
        <w:tc>
          <w:tcPr>
            <w:tcW w:type="dxa" w:w="4176"/>
            <w:vAlign w:val="center"/>
          </w:tcPr>
          <w:p>
            <w:pPr>
              <w:spacing w:after="0"/>
            </w:pPr>
            <w:r/>
            <w:r>
              <w:rPr>
                <w:rFonts w:ascii="Aptos" w:hAnsi="Aptos"/>
                <w:b w:val="0"/>
                <w:sz w:val="16"/>
              </w:rPr>
              <w:t>Manipulation Lab + Simulation + Engineering</w:t>
            </w:r>
          </w:p>
        </w:tc>
        <w:tc>
          <w:tcPr>
            <w:tcW w:type="dxa" w:w="3168"/>
            <w:vAlign w:val="center"/>
          </w:tcPr>
          <w:p>
            <w:pPr>
              <w:spacing w:after="0"/>
            </w:pPr>
            <w:r/>
            <w:r>
              <w:rPr>
                <w:rFonts w:ascii="Aptos" w:hAnsi="Aptos"/>
                <w:b w:val="0"/>
                <w:sz w:val="16"/>
              </w:rPr>
              <w:t>Solve hard physical tasks and create future IP</w:t>
            </w:r>
          </w:p>
        </w:tc>
      </w:tr>
    </w:tbl>
    <w:p>
      <w:pPr>
        <w:spacing w:after="40"/>
      </w:pPr>
    </w:p>
    <w:p>
      <w:pPr>
        <w:pStyle w:val="Heading1"/>
      </w:pPr>
      <w:r>
        <w:t>10. What it takes for RAS to deliver a project</w:t>
      </w:r>
    </w:p>
    <w:p>
      <w:r>
        <w:t xml:space="preserve">RAS is not yet a factory. Its production capacity in 2026 is principally human engineering capacity, software IP and a laboratory equipped with representative industrial robots, sensing, force-control rigs, CNC/prototyping tools and an internal compute cluster. The fixed-asset register and inventory ledger already contain the physical bridge to those capabilities. </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B0D10"/>
          </w:tcPr>
          <w:p>
            <w:pPr>
              <w:spacing w:after="0"/>
            </w:pPr>
            <w:r/>
            <w:r>
              <w:rPr>
                <w:rFonts w:ascii="Aptos" w:hAnsi="Aptos"/>
                <w:b/>
                <w:color w:val="FFFFFF"/>
                <w:sz w:val="16"/>
              </w:rPr>
              <w:t>Resource</w:t>
            </w:r>
          </w:p>
        </w:tc>
        <w:tc>
          <w:tcPr>
            <w:tcW w:type="dxa" w:w="6192"/>
            <w:vAlign w:val="center"/>
            <w:shd w:fill="0B0D10"/>
          </w:tcPr>
          <w:p>
            <w:pPr>
              <w:spacing w:after="0"/>
            </w:pPr>
            <w:r/>
            <w:r>
              <w:rPr>
                <w:rFonts w:ascii="Aptos" w:hAnsi="Aptos"/>
                <w:b/>
                <w:color w:val="FFFFFF"/>
                <w:sz w:val="16"/>
              </w:rPr>
              <w:t>2026 role</w:t>
            </w:r>
          </w:p>
        </w:tc>
      </w:tr>
      <w:tr>
        <w:tc>
          <w:tcPr>
            <w:tcW w:type="dxa" w:w="3168"/>
            <w:vAlign w:val="center"/>
          </w:tcPr>
          <w:p>
            <w:pPr>
              <w:spacing w:after="0"/>
            </w:pPr>
            <w:r/>
            <w:r>
              <w:rPr>
                <w:rFonts w:ascii="Aptos" w:hAnsi="Aptos"/>
                <w:b w:val="0"/>
                <w:sz w:val="16"/>
              </w:rPr>
              <w:t>Software engineers / ML / controls</w:t>
            </w:r>
          </w:p>
        </w:tc>
        <w:tc>
          <w:tcPr>
            <w:tcW w:type="dxa" w:w="6192"/>
            <w:vAlign w:val="center"/>
          </w:tcPr>
          <w:p>
            <w:pPr>
              <w:spacing w:after="0"/>
            </w:pPr>
            <w:r/>
            <w:r>
              <w:rPr>
                <w:rFonts w:ascii="Aptos" w:hAnsi="Aptos"/>
                <w:b w:val="0"/>
                <w:sz w:val="16"/>
              </w:rPr>
              <w:t>Build and maintain products; create customer-specific adapters and policies.</w:t>
            </w:r>
          </w:p>
        </w:tc>
      </w:tr>
      <w:tr>
        <w:tc>
          <w:tcPr>
            <w:tcW w:type="dxa" w:w="3168"/>
            <w:vAlign w:val="center"/>
          </w:tcPr>
          <w:p>
            <w:pPr>
              <w:spacing w:after="0"/>
            </w:pPr>
            <w:r/>
            <w:r>
              <w:rPr>
                <w:rFonts w:ascii="Aptos" w:hAnsi="Aptos"/>
                <w:b w:val="0"/>
                <w:sz w:val="16"/>
              </w:rPr>
              <w:t>Robotics engineers</w:t>
            </w:r>
          </w:p>
        </w:tc>
        <w:tc>
          <w:tcPr>
            <w:tcW w:type="dxa" w:w="6192"/>
            <w:vAlign w:val="center"/>
          </w:tcPr>
          <w:p>
            <w:pPr>
              <w:spacing w:after="0"/>
            </w:pPr>
            <w:r/>
            <w:r>
              <w:rPr>
                <w:rFonts w:ascii="Aptos" w:hAnsi="Aptos"/>
                <w:b w:val="0"/>
                <w:sz w:val="16"/>
              </w:rPr>
              <w:t>Commission physical cells, tune motion and recovery and debug field failures.</w:t>
            </w:r>
          </w:p>
        </w:tc>
      </w:tr>
      <w:tr>
        <w:tc>
          <w:tcPr>
            <w:tcW w:type="dxa" w:w="3168"/>
            <w:vAlign w:val="center"/>
          </w:tcPr>
          <w:p>
            <w:pPr>
              <w:spacing w:after="0"/>
            </w:pPr>
            <w:r/>
            <w:r>
              <w:rPr>
                <w:rFonts w:ascii="Aptos" w:hAnsi="Aptos"/>
                <w:b w:val="0"/>
                <w:sz w:val="16"/>
              </w:rPr>
              <w:t>Lab technicians</w:t>
            </w:r>
          </w:p>
        </w:tc>
        <w:tc>
          <w:tcPr>
            <w:tcW w:type="dxa" w:w="6192"/>
            <w:vAlign w:val="center"/>
          </w:tcPr>
          <w:p>
            <w:pPr>
              <w:spacing w:after="0"/>
            </w:pPr>
            <w:r/>
            <w:r>
              <w:rPr>
                <w:rFonts w:ascii="Aptos" w:hAnsi="Aptos"/>
                <w:b w:val="0"/>
                <w:sz w:val="16"/>
              </w:rPr>
              <w:t>Build fixtures, prototype tooling, maintain test cells and prepare experiments.</w:t>
            </w:r>
          </w:p>
        </w:tc>
      </w:tr>
      <w:tr>
        <w:tc>
          <w:tcPr>
            <w:tcW w:type="dxa" w:w="3168"/>
            <w:vAlign w:val="center"/>
          </w:tcPr>
          <w:p>
            <w:pPr>
              <w:spacing w:after="0"/>
            </w:pPr>
            <w:r/>
            <w:r>
              <w:rPr>
                <w:rFonts w:ascii="Aptos" w:hAnsi="Aptos"/>
                <w:b w:val="0"/>
                <w:sz w:val="16"/>
              </w:rPr>
              <w:t>Supply chain</w:t>
            </w:r>
          </w:p>
        </w:tc>
        <w:tc>
          <w:tcPr>
            <w:tcW w:type="dxa" w:w="6192"/>
            <w:vAlign w:val="center"/>
          </w:tcPr>
          <w:p>
            <w:pPr>
              <w:spacing w:after="0"/>
            </w:pPr>
            <w:r/>
            <w:r>
              <w:rPr>
                <w:rFonts w:ascii="Aptos" w:hAnsi="Aptos"/>
                <w:b w:val="0"/>
                <w:sz w:val="16"/>
              </w:rPr>
              <w:t>Keep motors, sensors, GPU boards, end-effectors, batteries and machined parts available.</w:t>
            </w:r>
          </w:p>
        </w:tc>
      </w:tr>
      <w:tr>
        <w:tc>
          <w:tcPr>
            <w:tcW w:type="dxa" w:w="3168"/>
            <w:vAlign w:val="center"/>
          </w:tcPr>
          <w:p>
            <w:pPr>
              <w:spacing w:after="0"/>
            </w:pPr>
            <w:r/>
            <w:r>
              <w:rPr>
                <w:rFonts w:ascii="Aptos" w:hAnsi="Aptos"/>
                <w:b w:val="0"/>
                <w:sz w:val="16"/>
              </w:rPr>
              <w:t>Compute</w:t>
            </w:r>
          </w:p>
        </w:tc>
        <w:tc>
          <w:tcPr>
            <w:tcW w:type="dxa" w:w="6192"/>
            <w:vAlign w:val="center"/>
          </w:tcPr>
          <w:p>
            <w:pPr>
              <w:spacing w:after="0"/>
            </w:pPr>
            <w:r/>
            <w:r>
              <w:rPr>
                <w:rFonts w:ascii="Aptos" w:hAnsi="Aptos"/>
                <w:b w:val="0"/>
                <w:sz w:val="16"/>
              </w:rPr>
              <w:t>Train/evaluate models, run simulation, process telemetry and support customer deployments.</w:t>
            </w:r>
          </w:p>
        </w:tc>
      </w:tr>
      <w:tr>
        <w:tc>
          <w:tcPr>
            <w:tcW w:type="dxa" w:w="3168"/>
            <w:vAlign w:val="center"/>
          </w:tcPr>
          <w:p>
            <w:pPr>
              <w:spacing w:after="0"/>
            </w:pPr>
            <w:r/>
            <w:r>
              <w:rPr>
                <w:rFonts w:ascii="Aptos" w:hAnsi="Aptos"/>
                <w:b w:val="0"/>
                <w:sz w:val="16"/>
              </w:rPr>
              <w:t>Facilities</w:t>
            </w:r>
          </w:p>
        </w:tc>
        <w:tc>
          <w:tcPr>
            <w:tcW w:type="dxa" w:w="6192"/>
            <w:vAlign w:val="center"/>
          </w:tcPr>
          <w:p>
            <w:pPr>
              <w:spacing w:after="0"/>
            </w:pPr>
            <w:r/>
            <w:r>
              <w:rPr>
                <w:rFonts w:ascii="Aptos" w:hAnsi="Aptos"/>
                <w:b w:val="0"/>
                <w:sz w:val="16"/>
              </w:rPr>
              <w:t>Contern lab for development/commissioning; Bombicht storage; colocation for burst compute and resilience.</w:t>
            </w:r>
          </w:p>
        </w:tc>
      </w:tr>
    </w:tbl>
    <w:p>
      <w:pPr>
        <w:spacing w:after="40"/>
      </w:pPr>
    </w:p>
    <w:p>
      <w:pPr>
        <w:pStyle w:val="Heading2"/>
      </w:pPr>
      <w:r>
        <w:t>10.1 Standard deployment capacity assumption</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0B0D10"/>
          </w:tcPr>
          <w:p>
            <w:pPr>
              <w:spacing w:after="0"/>
            </w:pPr>
            <w:r/>
            <w:r>
              <w:rPr>
                <w:rFonts w:ascii="Aptos" w:hAnsi="Aptos"/>
                <w:b/>
                <w:color w:val="FFFFFF"/>
                <w:sz w:val="16"/>
              </w:rPr>
              <w:t>Metric</w:t>
            </w:r>
          </w:p>
        </w:tc>
        <w:tc>
          <w:tcPr>
            <w:tcW w:type="dxa" w:w="5904"/>
            <w:vAlign w:val="center"/>
            <w:shd w:fill="0B0D10"/>
          </w:tcPr>
          <w:p>
            <w:pPr>
              <w:spacing w:after="0"/>
            </w:pPr>
            <w:r/>
            <w:r>
              <w:rPr>
                <w:rFonts w:ascii="Aptos" w:hAnsi="Aptos"/>
                <w:b/>
                <w:color w:val="FFFFFF"/>
                <w:sz w:val="16"/>
              </w:rPr>
              <w:t>Canonical 2026 operating assumption</w:t>
            </w:r>
          </w:p>
        </w:tc>
      </w:tr>
      <w:tr>
        <w:tc>
          <w:tcPr>
            <w:tcW w:type="dxa" w:w="3456"/>
            <w:vAlign w:val="center"/>
          </w:tcPr>
          <w:p>
            <w:pPr>
              <w:spacing w:after="0"/>
            </w:pPr>
            <w:r/>
            <w:r>
              <w:rPr>
                <w:rFonts w:ascii="Aptos" w:hAnsi="Aptos"/>
                <w:b w:val="0"/>
                <w:sz w:val="16"/>
              </w:rPr>
              <w:t>Concurrent major deployments</w:t>
            </w:r>
          </w:p>
        </w:tc>
        <w:tc>
          <w:tcPr>
            <w:tcW w:type="dxa" w:w="5904"/>
            <w:vAlign w:val="center"/>
          </w:tcPr>
          <w:p>
            <w:pPr>
              <w:spacing w:after="0"/>
            </w:pPr>
            <w:r/>
            <w:r>
              <w:rPr>
                <w:rFonts w:ascii="Aptos" w:hAnsi="Aptos"/>
                <w:b w:val="0"/>
                <w:sz w:val="16"/>
              </w:rPr>
              <w:t>4</w:t>
            </w:r>
          </w:p>
        </w:tc>
      </w:tr>
      <w:tr>
        <w:tc>
          <w:tcPr>
            <w:tcW w:type="dxa" w:w="3456"/>
            <w:vAlign w:val="center"/>
          </w:tcPr>
          <w:p>
            <w:pPr>
              <w:spacing w:after="0"/>
            </w:pPr>
            <w:r/>
            <w:r>
              <w:rPr>
                <w:rFonts w:ascii="Aptos" w:hAnsi="Aptos"/>
                <w:b w:val="0"/>
                <w:sz w:val="16"/>
              </w:rPr>
              <w:t>Major deployment cycle</w:t>
            </w:r>
          </w:p>
        </w:tc>
        <w:tc>
          <w:tcPr>
            <w:tcW w:type="dxa" w:w="5904"/>
            <w:vAlign w:val="center"/>
          </w:tcPr>
          <w:p>
            <w:pPr>
              <w:spacing w:after="0"/>
            </w:pPr>
            <w:r/>
            <w:r>
              <w:rPr>
                <w:rFonts w:ascii="Aptos" w:hAnsi="Aptos"/>
                <w:b w:val="0"/>
                <w:sz w:val="16"/>
              </w:rPr>
              <w:t>6–12 weeks</w:t>
            </w:r>
          </w:p>
        </w:tc>
      </w:tr>
      <w:tr>
        <w:tc>
          <w:tcPr>
            <w:tcW w:type="dxa" w:w="3456"/>
            <w:vAlign w:val="center"/>
          </w:tcPr>
          <w:p>
            <w:pPr>
              <w:spacing w:after="0"/>
            </w:pPr>
            <w:r/>
            <w:r>
              <w:rPr>
                <w:rFonts w:ascii="Aptos" w:hAnsi="Aptos"/>
                <w:b w:val="0"/>
                <w:sz w:val="16"/>
              </w:rPr>
              <w:t>Typical project engineering load</w:t>
            </w:r>
          </w:p>
        </w:tc>
        <w:tc>
          <w:tcPr>
            <w:tcW w:type="dxa" w:w="5904"/>
            <w:vAlign w:val="center"/>
          </w:tcPr>
          <w:p>
            <w:pPr>
              <w:spacing w:after="0"/>
            </w:pPr>
            <w:r/>
            <w:r>
              <w:rPr>
                <w:rFonts w:ascii="Aptos" w:hAnsi="Aptos"/>
                <w:b w:val="0"/>
                <w:sz w:val="16"/>
              </w:rPr>
              <w:t>15–35 engineer-days</w:t>
            </w:r>
          </w:p>
        </w:tc>
      </w:tr>
      <w:tr>
        <w:tc>
          <w:tcPr>
            <w:tcW w:type="dxa" w:w="3456"/>
            <w:vAlign w:val="center"/>
          </w:tcPr>
          <w:p>
            <w:pPr>
              <w:spacing w:after="0"/>
            </w:pPr>
            <w:r/>
            <w:r>
              <w:rPr>
                <w:rFonts w:ascii="Aptos" w:hAnsi="Aptos"/>
                <w:b w:val="0"/>
                <w:sz w:val="16"/>
              </w:rPr>
              <w:t>Standard cell integration team</w:t>
            </w:r>
          </w:p>
        </w:tc>
        <w:tc>
          <w:tcPr>
            <w:tcW w:type="dxa" w:w="5904"/>
            <w:vAlign w:val="center"/>
          </w:tcPr>
          <w:p>
            <w:pPr>
              <w:spacing w:after="0"/>
            </w:pPr>
            <w:r/>
            <w:r>
              <w:rPr>
                <w:rFonts w:ascii="Aptos" w:hAnsi="Aptos"/>
                <w:b w:val="0"/>
                <w:sz w:val="16"/>
              </w:rPr>
              <w:t>1 robotics lead + 1 controls/ML engineer + 1 deployment engineer + shared technician</w:t>
            </w:r>
          </w:p>
        </w:tc>
      </w:tr>
      <w:tr>
        <w:tc>
          <w:tcPr>
            <w:tcW w:type="dxa" w:w="3456"/>
            <w:vAlign w:val="center"/>
          </w:tcPr>
          <w:p>
            <w:pPr>
              <w:spacing w:after="0"/>
            </w:pPr>
            <w:r/>
            <w:r>
              <w:rPr>
                <w:rFonts w:ascii="Aptos" w:hAnsi="Aptos"/>
                <w:b w:val="0"/>
                <w:sz w:val="16"/>
              </w:rPr>
              <w:t>Escalation capacity</w:t>
            </w:r>
          </w:p>
        </w:tc>
        <w:tc>
          <w:tcPr>
            <w:tcW w:type="dxa" w:w="5904"/>
            <w:vAlign w:val="center"/>
          </w:tcPr>
          <w:p>
            <w:pPr>
              <w:spacing w:after="0"/>
            </w:pPr>
            <w:r/>
            <w:r>
              <w:rPr>
                <w:rFonts w:ascii="Aptos" w:hAnsi="Aptos"/>
                <w:b w:val="0"/>
                <w:sz w:val="16"/>
              </w:rPr>
              <w:t>Founder / CTO architecture review for safety-critical or strategic deployments</w:t>
            </w:r>
          </w:p>
        </w:tc>
      </w:tr>
      <w:tr>
        <w:tc>
          <w:tcPr>
            <w:tcW w:type="dxa" w:w="3456"/>
            <w:vAlign w:val="center"/>
          </w:tcPr>
          <w:p>
            <w:pPr>
              <w:spacing w:after="0"/>
            </w:pPr>
            <w:r/>
            <w:r>
              <w:rPr>
                <w:rFonts w:ascii="Aptos" w:hAnsi="Aptos"/>
                <w:b w:val="0"/>
                <w:sz w:val="16"/>
              </w:rPr>
              <w:t>Expansion trigger</w:t>
            </w:r>
          </w:p>
        </w:tc>
        <w:tc>
          <w:tcPr>
            <w:tcW w:type="dxa" w:w="5904"/>
            <w:vAlign w:val="center"/>
          </w:tcPr>
          <w:p>
            <w:pPr>
              <w:spacing w:after="0"/>
            </w:pPr>
            <w:r/>
            <w:r>
              <w:rPr>
                <w:rFonts w:ascii="Aptos" w:hAnsi="Aptos"/>
                <w:b w:val="0"/>
                <w:sz w:val="16"/>
              </w:rPr>
              <w:t>If contracted deployment backlog exceeds ~6 concurrent major projects, hire / partner before adding demand materially.</w:t>
            </w:r>
          </w:p>
        </w:tc>
      </w:tr>
    </w:tbl>
    <w:p>
      <w:pPr>
        <w:spacing w:after="40"/>
      </w:pPr>
    </w:p>
    <w:p>
      <w:pPr>
        <w:pStyle w:val="Heading1"/>
      </w:pPr>
      <w:r>
        <w:t>11. Data, IP and ownership model</w:t>
      </w:r>
    </w:p>
    <w:p>
      <w:pPr>
        <w:pStyle w:val="ListBullet"/>
        <w:spacing w:after="40"/>
        <w:ind w:left="259"/>
      </w:pPr>
      <w:r>
        <w:t>RAS owns its platform code, reusable model architectures, tooling, schemas and generalized training methods unless a contract explicitly grants a field-of-use right.</w:t>
      </w:r>
    </w:p>
    <w:p>
      <w:pPr>
        <w:pStyle w:val="ListBullet"/>
        <w:spacing w:after="40"/>
        <w:ind w:left="259"/>
      </w:pPr>
      <w:r>
        <w:t>Customer-owned raw operational data remains customer-controlled unless a contract grants RAS rights. RAS may seek permission to use anonymized / derived operational telemetry for model improvement.</w:t>
      </w:r>
    </w:p>
    <w:p>
      <w:pPr>
        <w:pStyle w:val="ListBullet"/>
        <w:spacing w:after="40"/>
        <w:ind w:left="259"/>
      </w:pPr>
      <w:r>
        <w:t>Customer-specific configuration is normally reusable by RAS only to the extent the contract permits.</w:t>
      </w:r>
    </w:p>
    <w:p>
      <w:pPr>
        <w:pStyle w:val="ListBullet"/>
        <w:spacing w:after="40"/>
        <w:ind w:left="259"/>
      </w:pPr>
      <w:r>
        <w:t>Deployment data has strategic value because it connects prediction with actual physical success/failure.</w:t>
      </w:r>
    </w:p>
    <w:p>
      <w:pPr>
        <w:pStyle w:val="ListBullet"/>
        <w:spacing w:after="40"/>
        <w:ind w:left="259"/>
      </w:pPr>
      <w:r>
        <w:t>IP licensing must be bounded by field, territory, term, exclusivity and derivative-work rights.</w:t>
      </w:r>
    </w:p>
    <w:p>
      <w:pPr>
        <w:pStyle w:val="Heading2"/>
      </w:pPr>
      <w:r>
        <w:t>11.1 Data flywheel</w:t>
      </w:r>
    </w:p>
    <w:p>
      <w:r>
        <w:t>Deployment → telemetry → failure taxonomy → human correction → validated policy → simulation replay → production release → more deployment data. The flywheel is what can allow RAS to become more valuable as its installed base grows.</w:t>
      </w:r>
    </w:p>
    <w:p>
      <w:pPr>
        <w:pStyle w:val="Heading1"/>
      </w:pPr>
      <w:r>
        <w:t>12. Product evolution before the simulation begins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B0D10"/>
          </w:tcPr>
          <w:p>
            <w:pPr>
              <w:spacing w:after="0"/>
            </w:pPr>
            <w:r/>
            <w:r>
              <w:rPr>
                <w:rFonts w:ascii="Aptos" w:hAnsi="Aptos"/>
                <w:b/>
                <w:color w:val="FFFFFF"/>
                <w:sz w:val="15"/>
              </w:rPr>
              <w:t>Period</w:t>
            </w:r>
          </w:p>
        </w:tc>
        <w:tc>
          <w:tcPr>
            <w:tcW w:type="dxa" w:w="4464"/>
            <w:vAlign w:val="center"/>
            <w:shd w:fill="0B0D10"/>
          </w:tcPr>
          <w:p>
            <w:pPr>
              <w:spacing w:after="0"/>
            </w:pPr>
            <w:r/>
            <w:r>
              <w:rPr>
                <w:rFonts w:ascii="Aptos" w:hAnsi="Aptos"/>
                <w:b/>
                <w:color w:val="FFFFFF"/>
                <w:sz w:val="15"/>
              </w:rPr>
              <w:t>Product evolution</w:t>
            </w:r>
          </w:p>
        </w:tc>
        <w:tc>
          <w:tcPr>
            <w:tcW w:type="dxa" w:w="2880"/>
            <w:vAlign w:val="center"/>
            <w:shd w:fill="0B0D10"/>
          </w:tcPr>
          <w:p>
            <w:pPr>
              <w:spacing w:after="0"/>
            </w:pPr>
            <w:r/>
            <w:r>
              <w:rPr>
                <w:rFonts w:ascii="Aptos" w:hAnsi="Aptos"/>
                <w:b/>
                <w:color w:val="FFFFFF"/>
                <w:sz w:val="15"/>
              </w:rPr>
              <w:t>Business model evolution</w:t>
            </w:r>
          </w:p>
        </w:tc>
      </w:tr>
      <w:tr>
        <w:tc>
          <w:tcPr>
            <w:tcW w:type="dxa" w:w="2016"/>
            <w:vAlign w:val="center"/>
          </w:tcPr>
          <w:p>
            <w:pPr>
              <w:spacing w:after="0"/>
            </w:pPr>
            <w:r/>
            <w:r>
              <w:rPr>
                <w:rFonts w:ascii="Aptos" w:hAnsi="Aptos"/>
                <w:b w:val="0"/>
                <w:sz w:val="15"/>
              </w:rPr>
              <w:t>Late 2026</w:t>
            </w:r>
          </w:p>
        </w:tc>
        <w:tc>
          <w:tcPr>
            <w:tcW w:type="dxa" w:w="4464"/>
            <w:vAlign w:val="center"/>
          </w:tcPr>
          <w:p>
            <w:pPr>
              <w:spacing w:after="0"/>
            </w:pPr>
            <w:r/>
            <w:r>
              <w:rPr>
                <w:rFonts w:ascii="Aptos" w:hAnsi="Aptos"/>
                <w:b w:val="0"/>
                <w:sz w:val="15"/>
              </w:rPr>
              <w:t>Perception 2.4 / Motion 1.7 / Fleet 0.9 / Simulation 1.3; standardize deployments</w:t>
            </w:r>
          </w:p>
        </w:tc>
        <w:tc>
          <w:tcPr>
            <w:tcW w:type="dxa" w:w="2880"/>
            <w:vAlign w:val="center"/>
          </w:tcPr>
          <w:p>
            <w:pPr>
              <w:spacing w:after="0"/>
            </w:pPr>
            <w:r/>
            <w:r>
              <w:rPr>
                <w:rFonts w:ascii="Aptos" w:hAnsi="Aptos"/>
                <w:b w:val="0"/>
                <w:sz w:val="15"/>
              </w:rPr>
              <w:t>Move from project-heavy revenue toward recurring site and fleet contracts</w:t>
            </w:r>
          </w:p>
        </w:tc>
      </w:tr>
      <w:tr>
        <w:tc>
          <w:tcPr>
            <w:tcW w:type="dxa" w:w="2016"/>
            <w:vAlign w:val="center"/>
          </w:tcPr>
          <w:p>
            <w:pPr>
              <w:spacing w:after="0"/>
            </w:pPr>
            <w:r/>
            <w:r>
              <w:rPr>
                <w:rFonts w:ascii="Aptos" w:hAnsi="Aptos"/>
                <w:b w:val="0"/>
                <w:sz w:val="15"/>
              </w:rPr>
              <w:t>2027</w:t>
            </w:r>
          </w:p>
        </w:tc>
        <w:tc>
          <w:tcPr>
            <w:tcW w:type="dxa" w:w="4464"/>
            <w:vAlign w:val="center"/>
          </w:tcPr>
          <w:p>
            <w:pPr>
              <w:spacing w:after="0"/>
            </w:pPr>
            <w:r/>
            <w:r>
              <w:rPr>
                <w:rFonts w:ascii="Aptos" w:hAnsi="Aptos"/>
                <w:b w:val="0"/>
                <w:sz w:val="15"/>
              </w:rPr>
              <w:t>Higher autonomy, better failure recovery, stronger simulation-to-real workflow</w:t>
            </w:r>
          </w:p>
        </w:tc>
        <w:tc>
          <w:tcPr>
            <w:tcW w:type="dxa" w:w="2880"/>
            <w:vAlign w:val="center"/>
          </w:tcPr>
          <w:p>
            <w:pPr>
              <w:spacing w:after="0"/>
            </w:pPr>
            <w:r/>
            <w:r>
              <w:rPr>
                <w:rFonts w:ascii="Aptos" w:hAnsi="Aptos"/>
                <w:b w:val="0"/>
                <w:sz w:val="15"/>
              </w:rPr>
              <w:t>Bundle software + data + support; increase expansion within existing customers</w:t>
            </w:r>
          </w:p>
        </w:tc>
      </w:tr>
      <w:tr>
        <w:tc>
          <w:tcPr>
            <w:tcW w:type="dxa" w:w="2016"/>
            <w:vAlign w:val="center"/>
          </w:tcPr>
          <w:p>
            <w:pPr>
              <w:spacing w:after="0"/>
            </w:pPr>
            <w:r/>
            <w:r>
              <w:rPr>
                <w:rFonts w:ascii="Aptos" w:hAnsi="Aptos"/>
                <w:b w:val="0"/>
                <w:sz w:val="15"/>
              </w:rPr>
              <w:t>2028</w:t>
            </w:r>
          </w:p>
        </w:tc>
        <w:tc>
          <w:tcPr>
            <w:tcW w:type="dxa" w:w="4464"/>
            <w:vAlign w:val="center"/>
          </w:tcPr>
          <w:p>
            <w:pPr>
              <w:spacing w:after="0"/>
            </w:pPr>
            <w:r/>
            <w:r>
              <w:rPr>
                <w:rFonts w:ascii="Aptos" w:hAnsi="Aptos"/>
                <w:b w:val="0"/>
                <w:sz w:val="15"/>
              </w:rPr>
              <w:t>Fleet learning becomes more material; multi-site orchestration</w:t>
            </w:r>
          </w:p>
        </w:tc>
        <w:tc>
          <w:tcPr>
            <w:tcW w:type="dxa" w:w="2880"/>
            <w:vAlign w:val="center"/>
          </w:tcPr>
          <w:p>
            <w:pPr>
              <w:spacing w:after="0"/>
            </w:pPr>
            <w:r/>
            <w:r>
              <w:rPr>
                <w:rFonts w:ascii="Aptos" w:hAnsi="Aptos"/>
                <w:b w:val="0"/>
                <w:sz w:val="15"/>
              </w:rPr>
              <w:t>Multi-site enterprise agreements; first serious OEM licensing opportunities</w:t>
            </w:r>
          </w:p>
        </w:tc>
      </w:tr>
      <w:tr>
        <w:tc>
          <w:tcPr>
            <w:tcW w:type="dxa" w:w="2016"/>
            <w:vAlign w:val="center"/>
          </w:tcPr>
          <w:p>
            <w:pPr>
              <w:spacing w:after="0"/>
            </w:pPr>
            <w:r/>
            <w:r>
              <w:rPr>
                <w:rFonts w:ascii="Aptos" w:hAnsi="Aptos"/>
                <w:b w:val="0"/>
                <w:sz w:val="15"/>
              </w:rPr>
              <w:t>2029–2030</w:t>
            </w:r>
          </w:p>
        </w:tc>
        <w:tc>
          <w:tcPr>
            <w:tcW w:type="dxa" w:w="4464"/>
            <w:vAlign w:val="center"/>
          </w:tcPr>
          <w:p>
            <w:pPr>
              <w:spacing w:after="0"/>
            </w:pPr>
            <w:r/>
            <w:r>
              <w:rPr>
                <w:rFonts w:ascii="Aptos" w:hAnsi="Aptos"/>
                <w:b w:val="0"/>
                <w:sz w:val="15"/>
              </w:rPr>
              <w:t>Potential unified Physical Intelligence platform</w:t>
            </w:r>
          </w:p>
        </w:tc>
        <w:tc>
          <w:tcPr>
            <w:tcW w:type="dxa" w:w="2880"/>
            <w:vAlign w:val="center"/>
          </w:tcPr>
          <w:p>
            <w:pPr>
              <w:spacing w:after="0"/>
            </w:pPr>
            <w:r/>
            <w:r>
              <w:rPr>
                <w:rFonts w:ascii="Aptos" w:hAnsi="Aptos"/>
                <w:b w:val="0"/>
                <w:sz w:val="15"/>
              </w:rPr>
              <w:t>Platform contracts, larger deployments, deeper vertical solutions; hardware partnerships rather than immediate mass manufacture</w:t>
            </w:r>
          </w:p>
        </w:tc>
      </w:tr>
      <w:tr>
        <w:tc>
          <w:tcPr>
            <w:tcW w:type="dxa" w:w="2016"/>
            <w:vAlign w:val="center"/>
          </w:tcPr>
          <w:p>
            <w:pPr>
              <w:spacing w:after="0"/>
            </w:pPr>
            <w:r/>
            <w:r>
              <w:rPr>
                <w:rFonts w:ascii="Aptos" w:hAnsi="Aptos"/>
                <w:b w:val="0"/>
                <w:sz w:val="15"/>
              </w:rPr>
              <w:t>Later</w:t>
            </w:r>
          </w:p>
        </w:tc>
        <w:tc>
          <w:tcPr>
            <w:tcW w:type="dxa" w:w="4464"/>
            <w:vAlign w:val="center"/>
          </w:tcPr>
          <w:p>
            <w:pPr>
              <w:spacing w:after="0"/>
            </w:pPr>
            <w:r/>
            <w:r>
              <w:rPr>
                <w:rFonts w:ascii="Aptos" w:hAnsi="Aptos"/>
                <w:b w:val="0"/>
                <w:sz w:val="15"/>
              </w:rPr>
              <w:t>Generalized physical autonomy / humanoid or mobile-manipulation products only if the technology and economics justify them</w:t>
            </w:r>
          </w:p>
        </w:tc>
        <w:tc>
          <w:tcPr>
            <w:tcW w:type="dxa" w:w="2880"/>
            <w:vAlign w:val="center"/>
          </w:tcPr>
          <w:p>
            <w:pPr>
              <w:spacing w:after="0"/>
            </w:pPr>
            <w:r/>
            <w:r>
              <w:rPr>
                <w:rFonts w:ascii="Aptos" w:hAnsi="Aptos"/>
                <w:b w:val="0"/>
                <w:sz w:val="15"/>
              </w:rPr>
              <w:t>Product → platform → infrastructure progression rather than premature hardware commoditization</w:t>
            </w:r>
          </w:p>
        </w:tc>
      </w:tr>
    </w:tbl>
    <w:p>
      <w:pPr>
        <w:spacing w:after="40"/>
      </w:pPr>
    </w:p>
    <w:p>
      <w:pPr>
        <w:pStyle w:val="Heading1"/>
      </w:pPr>
      <w:r>
        <w:t>13. Newly frozen details required for the simulation</w:t>
      </w:r>
    </w:p>
    <w:p>
      <w:pPr>
        <w:pStyle w:val="ListBullet"/>
        <w:spacing w:after="40"/>
        <w:ind w:left="259"/>
      </w:pPr>
      <w:r>
        <w:t>PRD-2026-01: Product Master Ledger is now canonical for the five core products.</w:t>
      </w:r>
    </w:p>
    <w:p>
      <w:pPr>
        <w:pStyle w:val="ListBullet"/>
        <w:spacing w:after="40"/>
        <w:ind w:left="259"/>
      </w:pPr>
      <w:r>
        <w:t>PRC-2026-01: Price Book v1.0 is now canonical for standard list prices. Contract discounts can be modeled as explicit deviations from list price.</w:t>
      </w:r>
    </w:p>
    <w:p>
      <w:pPr>
        <w:pStyle w:val="ListBullet"/>
        <w:spacing w:after="40"/>
        <w:ind w:left="259"/>
      </w:pPr>
      <w:r>
        <w:t>COGS-2026-01: Direct delivery COGS sub-ledger is frozen to reconcile to the 2026 gross profit of €6,167,150.</w:t>
      </w:r>
    </w:p>
    <w:p>
      <w:pPr>
        <w:pStyle w:val="ListBullet"/>
        <w:spacing w:after="40"/>
        <w:ind w:left="259"/>
      </w:pPr>
      <w:r>
        <w:t>CON-2026-COMM: CL-001 through CL-007 are the canonical 2026 commercial revenue accounts; individual real-company relationships remain [SIM] unless publicly documented.</w:t>
      </w:r>
    </w:p>
    <w:p>
      <w:pPr>
        <w:pStyle w:val="ListBullet"/>
        <w:spacing w:after="40"/>
        <w:ind w:left="259"/>
      </w:pPr>
      <w:r>
        <w:t>SLA-2026-01: Bronze / Silver / Gold support tiers are now part of the standard catalog.</w:t>
      </w:r>
    </w:p>
    <w:p>
      <w:pPr>
        <w:pStyle w:val="ListBullet"/>
        <w:spacing w:after="40"/>
        <w:ind w:left="259"/>
      </w:pPr>
      <w:r>
        <w:t>CAP-2026-01: A standard major deployment uses a four-person core team plus shared specialist capacity; capacity is a real constraint on growth.</w:t>
      </w:r>
    </w:p>
    <w:p>
      <w:pPr>
        <w:pStyle w:val="ListBullet"/>
        <w:spacing w:after="40"/>
        <w:ind w:left="259"/>
      </w:pPr>
      <w:r>
        <w:t>HW-2026-01: RAS does not carry a mass-produced proprietary robot as a standard catalog item in 2026. It integrates customer / third-party robots and owns the intelligence layer.</w:t>
      </w:r>
    </w:p>
    <w:p>
      <w:pPr>
        <w:pStyle w:val="ListBullet"/>
        <w:spacing w:after="40"/>
        <w:ind w:left="259"/>
      </w:pPr>
      <w:r>
        <w:t>RND-2026-01: Long-horizon research is treated as corporate R&amp;D unless it becomes directly attributable to a customer delivery.</w:t>
      </w:r>
    </w:p>
    <w:p>
      <w:pPr>
        <w:pStyle w:val="Heading1"/>
      </w:pPr>
      <w:r>
        <w:t>14. What still should NOT be frozen</w:t>
      </w:r>
    </w:p>
    <w:p>
      <w:pPr>
        <w:pStyle w:val="ListBullet"/>
        <w:spacing w:after="40"/>
        <w:ind w:left="259"/>
      </w:pPr>
      <w:r>
        <w:t>Future product launches after 2026 unless they are triggered by later simulation events.</w:t>
      </w:r>
    </w:p>
    <w:p>
      <w:pPr>
        <w:pStyle w:val="ListBullet"/>
        <w:spacing w:after="40"/>
        <w:ind w:left="259"/>
      </w:pPr>
      <w:r>
        <w:t>Future hardware form factors, because they depend on technology, capital and customer demand.</w:t>
      </w:r>
    </w:p>
    <w:p>
      <w:pPr>
        <w:pStyle w:val="ListBullet"/>
        <w:spacing w:after="40"/>
        <w:ind w:left="259"/>
      </w:pPr>
      <w:r>
        <w:t>Long-term market share, pricing power and valuation multiples.</w:t>
      </w:r>
    </w:p>
    <w:p>
      <w:pPr>
        <w:pStyle w:val="ListBullet"/>
        <w:spacing w:after="40"/>
        <w:ind w:left="259"/>
      </w:pPr>
      <w:r>
        <w:t>Exact customer-level revenue after 23 September 2026; these must emerge from future contracts.</w:t>
      </w:r>
    </w:p>
    <w:p>
      <w:pPr>
        <w:pStyle w:val="ListBullet"/>
        <w:spacing w:after="40"/>
        <w:ind w:left="259"/>
      </w:pPr>
      <w:r>
        <w:t>Any claim that a real company has publicly confirmed a RAS contract unless independently documented.</w:t>
      </w:r>
    </w:p>
    <w:p>
      <w:pPr>
        <w:pStyle w:val="Heading1"/>
      </w:pPr>
      <w:r>
        <w:t>15. Executive understanding — RAS in one sentence</w:t>
      </w:r>
    </w:p>
    <w:p>
      <w:r>
        <w:t>ROSENFELD sells the software, data, controls, engineering and deployment infrastructure that allows industrial machines to perceive the physical world, perform useful tasks, recover from failures and improve over time — and it monetizes that capability through recurring software, deployment, engineering, data operations, support and eventually IP licensing.</w:t>
      </w:r>
    </w:p>
    <w:p>
      <w:r>
        <w:t>That definition is now the commercial identity of RAS at simulation launch.</w:t>
      </w:r>
    </w:p>
    <w:p/>
    <w:p>
      <w:pPr>
        <w:spacing w:before="60" w:after="80"/>
      </w:pPr>
      <w:r>
        <w:rPr>
          <w:i/>
          <w:color w:val="8C9198"/>
          <w:sz w:val="16"/>
        </w:rPr>
        <w:t>Canonical source basis: Initial State Master Dossier v3.0 Forensic Expansion and ROSENFELD Simulation Launch Baseline v1.0. Commercial prices, unit costs, support tiers, contract-line allocations and product IDs introduced in this document are simulation-layer [SIM] assumptions and are not claims about real-world contracts.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198"/>
        <w:sz w:val="15"/>
      </w:rPr>
      <w:t>ROSENFELD  |  PRODUCT &amp; SERVICE CATALOG  |  23 SEPTEMBER 2026  |  CANONICAL SIMULATION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25880" cy="218595"/>
          <wp:docPr id="1" name="Picture 1"/>
          <wp:cNvGraphicFramePr>
            <a:graphicFrameLocks noChangeAspect="1"/>
          </wp:cNvGraphicFramePr>
          <a:graphic>
            <a:graphicData uri="http://schemas.openxmlformats.org/drawingml/2006/picture">
              <pic:pic>
                <pic:nvPicPr>
                  <pic:cNvPr id="0" name="ROSENFELD_Official_Logo_Primary_Transparent.png"/>
                  <pic:cNvPicPr/>
                </pic:nvPicPr>
                <pic:blipFill>
                  <a:blip r:embed="rId1"/>
                  <a:stretch>
                    <a:fillRect/>
                  </a:stretch>
                </pic:blipFill>
                <pic:spPr>
                  <a:xfrm>
                    <a:off x="0" y="0"/>
                    <a:ext cx="1325880" cy="21859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A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B0D1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2A3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55C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0D1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