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left"/>
      </w:pPr>
    </w:p>
    <w:p>
      <w:pPr>
        <w:pStyle w:val="Title"/>
        <w:spacing w:before="240"/>
      </w:pPr>
      <w:r>
        <w:t>TEMPORAL JUMP</w:t>
        <w:br/>
        <w:t>MASTER DOSSIER</w:t>
      </w:r>
    </w:p>
    <w:p>
      <w:r>
        <w:rPr>
          <w:b/>
          <w:color w:val="255CFF"/>
          <w:sz w:val="44"/>
        </w:rPr>
        <w:t>2027–2030</w:t>
      </w:r>
    </w:p>
    <w:p>
      <w:pPr>
        <w:spacing w:before="280"/>
      </w:pPr>
      <w:r>
        <w:rPr>
          <w:b/>
          <w:sz w:val="22"/>
        </w:rPr>
        <w:t>Persistent World · Autonomous Decision Mandate · Macro / Company / Wealth / Physical State</w:t>
      </w:r>
    </w:p>
    <w:tbl>
      <w:tblPr>
        <w:tblW w:type="auto" w:w="0"/>
        <w:jc w:val="center"/>
        <w:tblLook w:firstColumn="1" w:firstRow="1" w:lastColumn="0" w:lastRow="0" w:noHBand="0" w:noVBand="1" w:val="04A0"/>
      </w:tblPr>
      <w:tblGrid>
        <w:gridCol w:w="9994"/>
      </w:tblGrid>
      <w:tr>
        <w:tc>
          <w:tcPr>
            <w:tcW w:type="dxa" w:w="9994"/>
            <w:shd w:fill="F4F3EF"/>
            <w:tcBorders>
              <w:top w:val="single" w:sz="8" w:color="255CFF"/>
              <w:left w:val="single" w:sz="12" w:color="255CFF"/>
              <w:bottom w:val="single" w:sz="4" w:color="D9DADD"/>
              <w:right w:val="single" w:sz="4" w:color="D9DADD"/>
            </w:tcBorders>
          </w:tcPr>
          <w:p>
            <w:r>
              <w:rPr>
                <w:b/>
                <w:color w:val="255CFF"/>
                <w:sz w:val="16"/>
              </w:rPr>
              <w:t>SIMULATION ENDPOINT</w:t>
            </w:r>
          </w:p>
          <w:p>
            <w:pPr>
              <w:spacing w:after="40"/>
            </w:pPr>
            <w:r>
              <w:t>31 December 2030 · 23:59:59 CET/CEST local-time lock. The jump begins from the canonical 01 January 2027 snapshot and is executed as one causal world, not as four isolated annual summaries.</w:t>
            </w:r>
          </w:p>
        </w:tc>
      </w:tr>
    </w:tbl>
    <w:p>
      <w:pPr>
        <w:spacing w:after="4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Document field</w:t>
            </w:r>
          </w:p>
        </w:tc>
        <w:tc>
          <w:tcPr>
            <w:tcW w:type="dxa" w:w="6336"/>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Canonical value</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Protagonist</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Lucien Édouard de Rosenfeld · PERSON-001</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Company</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Rosenfeld Autonomous Systems S.à r.l. · COMP-001</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Start snapshot</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SNAP-20270101-0000</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End snapshot</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SNAP-20301231-2359</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Currency</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EUR for Lucien/RAS; USD for global comparables</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Operating mode</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Historical + Strategic hybrid, with quarterly materiality checkpoints</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Player mandate</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Simulator may decide for Lucien when user explicitly delegates all decisions</w:t>
            </w:r>
          </w:p>
        </w:tc>
      </w:tr>
      <w:tr>
        <w:tc>
          <w:tcPr>
            <w:tcW w:type="dxa" w:w="2880"/>
            <w:vAlign w:val="center"/>
            <w:tcBorders>
              <w:top w:val="single" w:sz="4" w:color="D2D4D7"/>
              <w:left w:val="single" w:sz="4" w:color="D2D4D7"/>
              <w:bottom w:val="single" w:sz="4" w:color="D2D4D7"/>
              <w:right w:val="single" w:sz="4" w:color="D2D4D7"/>
            </w:tcBorders>
          </w:tcPr>
          <w:p>
            <w:pPr>
              <w:spacing w:after="60"/>
            </w:pPr>
            <w:r>
              <w:rPr>
                <w:sz w:val="17"/>
              </w:rPr>
              <w:t>Truth classes</w:t>
            </w:r>
          </w:p>
        </w:tc>
        <w:tc>
          <w:tcPr>
            <w:tcW w:type="dxa" w:w="6336"/>
            <w:vAlign w:val="center"/>
            <w:tcBorders>
              <w:top w:val="single" w:sz="4" w:color="D2D4D7"/>
              <w:left w:val="single" w:sz="4" w:color="D2D4D7"/>
              <w:bottom w:val="single" w:sz="4" w:color="D2D4D7"/>
              <w:right w:val="single" w:sz="4" w:color="D2D4D7"/>
            </w:tcBorders>
          </w:tcPr>
          <w:p>
            <w:pPr>
              <w:spacing w:after="60"/>
            </w:pPr>
            <w:r>
              <w:rPr>
                <w:sz w:val="17"/>
              </w:rPr>
              <w:t>[REAL] [ANCHOR] [SIM] [DERIVED] [PROJECTED] [PENDING]</w:t>
            </w:r>
          </w:p>
        </w:tc>
      </w:tr>
    </w:tbl>
    <w:p>
      <w:pPr>
        <w:spacing w:after="40"/>
      </w:pPr>
    </w:p>
    <w:p>
      <w:pPr>
        <w:spacing w:after="120" w:line="259" w:lineRule="auto"/>
      </w:pPr>
      <w:r>
        <w:t>Prepared as the control document for the four-year temporal jump. It defines what is simulated, the resolution, decision authority, accounting rules, asset ledgers, world engines, audit checks and the required final 2030 “photograph”.</w:t>
      </w:r>
    </w:p>
    <w:p>
      <w:r>
        <w:br w:type="page"/>
      </w:r>
    </w:p>
    <w:p>
      <w:pPr>
        <w:pStyle w:val="Heading1"/>
        <w:spacing w:before="240" w:after="120"/>
      </w:pPr>
      <w:r>
        <w:t>1. Executive architecture</w:t>
      </w:r>
    </w:p>
    <w:p>
      <w:pPr>
        <w:spacing w:after="120" w:line="259" w:lineRule="auto"/>
      </w:pPr>
      <w:r>
        <w:t>The four-year jump is not a single extrapolation. It is a sequence of causally linked world states in which macroeconomics, technology, companies, regulation, capital, people, infrastructure and personal life continue evolving independently of Lucien. Lucien is allowed to make decisions because the user has explicitly delegated decision authority for this jump.</w:t>
      </w:r>
    </w:p>
    <w:tbl>
      <w:tblPr>
        <w:tblW w:type="auto" w:w="0"/>
        <w:jc w:val="center"/>
        <w:tblLook w:firstColumn="1" w:firstRow="1" w:lastColumn="0" w:lastRow="0" w:noHBand="0" w:noVBand="1" w:val="04A0"/>
      </w:tblPr>
      <w:tblGrid>
        <w:gridCol w:w="9994"/>
      </w:tblGrid>
      <w:tr>
        <w:tc>
          <w:tcPr>
            <w:tcW w:type="dxa" w:w="9994"/>
            <w:shd w:fill="F4F3EF"/>
            <w:tcBorders>
              <w:top w:val="single" w:sz="8" w:color="255CFF"/>
              <w:left w:val="single" w:sz="12" w:color="255CFF"/>
              <w:bottom w:val="single" w:sz="4" w:color="D9DADD"/>
              <w:right w:val="single" w:sz="4" w:color="D9DADD"/>
            </w:tcBorders>
          </w:tcPr>
          <w:p>
            <w:r>
              <w:rPr>
                <w:b/>
                <w:color w:val="255CFF"/>
                <w:sz w:val="16"/>
              </w:rPr>
              <w:t>CORE RULE</w:t>
            </w:r>
          </w:p>
          <w:p>
            <w:pPr>
              <w:spacing w:after="40"/>
            </w:pPr>
            <w:r>
              <w:t>The simulator may choose Lucien’s actions, purchases, investments, hiring, financing, travel, property decisions and lifestyle decisions — but every material action must have a reason, a cost, a timing, an information basis and a downstream consequence.</w:t>
            </w:r>
          </w:p>
        </w:tc>
      </w:tr>
    </w:tbl>
    <w:p>
      <w:pPr>
        <w:spacing w:after="40"/>
      </w:pPr>
    </w:p>
    <w:p>
      <w:pPr>
        <w:pStyle w:val="Heading2"/>
      </w:pPr>
      <w:r>
        <w:t>1.1 Time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Layer</w:t>
            </w:r>
          </w:p>
        </w:tc>
        <w:tc>
          <w:tcPr>
            <w:tcW w:type="dxa" w:w="2160"/>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Resolution</w:t>
            </w:r>
          </w:p>
        </w:tc>
        <w:tc>
          <w:tcPr>
            <w:tcW w:type="dxa" w:w="4752"/>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Purpose</w:t>
            </w:r>
          </w:p>
        </w:tc>
      </w:tr>
      <w:tr>
        <w:tc>
          <w:tcPr>
            <w:tcW w:type="dxa" w:w="2304"/>
            <w:vAlign w:val="center"/>
            <w:tcBorders>
              <w:top w:val="single" w:sz="4" w:color="D2D4D7"/>
              <w:left w:val="single" w:sz="4" w:color="D2D4D7"/>
              <w:bottom w:val="single" w:sz="4" w:color="D2D4D7"/>
              <w:right w:val="single" w:sz="4" w:color="D2D4D7"/>
            </w:tcBorders>
          </w:tcPr>
          <w:p>
            <w:pPr>
              <w:spacing w:after="60"/>
            </w:pPr>
            <w:r>
              <w:rPr>
                <w:sz w:val="17"/>
              </w:rPr>
              <w:t>Macro world</w:t>
            </w:r>
          </w:p>
        </w:tc>
        <w:tc>
          <w:tcPr>
            <w:tcW w:type="dxa" w:w="2160"/>
            <w:vAlign w:val="center"/>
            <w:tcBorders>
              <w:top w:val="single" w:sz="4" w:color="D2D4D7"/>
              <w:left w:val="single" w:sz="4" w:color="D2D4D7"/>
              <w:bottom w:val="single" w:sz="4" w:color="D2D4D7"/>
              <w:right w:val="single" w:sz="4" w:color="D2D4D7"/>
            </w:tcBorders>
          </w:tcPr>
          <w:p>
            <w:pPr>
              <w:spacing w:after="60"/>
            </w:pPr>
            <w:r>
              <w:rPr>
                <w:sz w:val="17"/>
              </w:rPr>
              <w:t>Quarterly + annual</w:t>
            </w:r>
          </w:p>
        </w:tc>
        <w:tc>
          <w:tcPr>
            <w:tcW w:type="dxa" w:w="4752"/>
            <w:vAlign w:val="center"/>
            <w:tcBorders>
              <w:top w:val="single" w:sz="4" w:color="D2D4D7"/>
              <w:left w:val="single" w:sz="4" w:color="D2D4D7"/>
              <w:bottom w:val="single" w:sz="4" w:color="D2D4D7"/>
              <w:right w:val="single" w:sz="4" w:color="D2D4D7"/>
            </w:tcBorders>
          </w:tcPr>
          <w:p>
            <w:pPr>
              <w:spacing w:after="60"/>
            </w:pPr>
            <w:r>
              <w:rPr>
                <w:sz w:val="17"/>
              </w:rPr>
              <w:t>GDP, inflation, rates, energy, FX, trade, fiscal stance, geopolitics, demographic and climate constraints</w:t>
            </w:r>
          </w:p>
        </w:tc>
      </w:tr>
      <w:tr>
        <w:tc>
          <w:tcPr>
            <w:tcW w:type="dxa" w:w="2304"/>
            <w:vAlign w:val="center"/>
            <w:tcBorders>
              <w:top w:val="single" w:sz="4" w:color="D2D4D7"/>
              <w:left w:val="single" w:sz="4" w:color="D2D4D7"/>
              <w:bottom w:val="single" w:sz="4" w:color="D2D4D7"/>
              <w:right w:val="single" w:sz="4" w:color="D2D4D7"/>
            </w:tcBorders>
          </w:tcPr>
          <w:p>
            <w:pPr>
              <w:spacing w:after="60"/>
            </w:pPr>
            <w:r>
              <w:rPr>
                <w:sz w:val="17"/>
              </w:rPr>
              <w:t>Industry</w:t>
            </w:r>
          </w:p>
        </w:tc>
        <w:tc>
          <w:tcPr>
            <w:tcW w:type="dxa" w:w="2160"/>
            <w:vAlign w:val="center"/>
            <w:tcBorders>
              <w:top w:val="single" w:sz="4" w:color="D2D4D7"/>
              <w:left w:val="single" w:sz="4" w:color="D2D4D7"/>
              <w:bottom w:val="single" w:sz="4" w:color="D2D4D7"/>
              <w:right w:val="single" w:sz="4" w:color="D2D4D7"/>
            </w:tcBorders>
          </w:tcPr>
          <w:p>
            <w:pPr>
              <w:spacing w:after="60"/>
            </w:pPr>
            <w:r>
              <w:rPr>
                <w:sz w:val="17"/>
              </w:rPr>
              <w:t>Quarterly</w:t>
            </w:r>
          </w:p>
        </w:tc>
        <w:tc>
          <w:tcPr>
            <w:tcW w:type="dxa" w:w="4752"/>
            <w:vAlign w:val="center"/>
            <w:tcBorders>
              <w:top w:val="single" w:sz="4" w:color="D2D4D7"/>
              <w:left w:val="single" w:sz="4" w:color="D2D4D7"/>
              <w:bottom w:val="single" w:sz="4" w:color="D2D4D7"/>
              <w:right w:val="single" w:sz="4" w:color="D2D4D7"/>
            </w:tcBorders>
          </w:tcPr>
          <w:p>
            <w:pPr>
              <w:spacing w:after="60"/>
            </w:pPr>
            <w:r>
              <w:rPr>
                <w:sz w:val="17"/>
              </w:rPr>
              <w:t>AI, semiconductors, robotics, space, quantum, materials, industrial automation, energy, logistics</w:t>
            </w:r>
          </w:p>
        </w:tc>
      </w:tr>
      <w:tr>
        <w:tc>
          <w:tcPr>
            <w:tcW w:type="dxa" w:w="2304"/>
            <w:vAlign w:val="center"/>
            <w:tcBorders>
              <w:top w:val="single" w:sz="4" w:color="D2D4D7"/>
              <w:left w:val="single" w:sz="4" w:color="D2D4D7"/>
              <w:bottom w:val="single" w:sz="4" w:color="D2D4D7"/>
              <w:right w:val="single" w:sz="4" w:color="D2D4D7"/>
            </w:tcBorders>
          </w:tcPr>
          <w:p>
            <w:pPr>
              <w:spacing w:after="60"/>
            </w:pPr>
            <w:r>
              <w:rPr>
                <w:sz w:val="17"/>
              </w:rPr>
              <w:t>RAS operations</w:t>
            </w:r>
          </w:p>
        </w:tc>
        <w:tc>
          <w:tcPr>
            <w:tcW w:type="dxa" w:w="2160"/>
            <w:vAlign w:val="center"/>
            <w:tcBorders>
              <w:top w:val="single" w:sz="4" w:color="D2D4D7"/>
              <w:left w:val="single" w:sz="4" w:color="D2D4D7"/>
              <w:bottom w:val="single" w:sz="4" w:color="D2D4D7"/>
              <w:right w:val="single" w:sz="4" w:color="D2D4D7"/>
            </w:tcBorders>
          </w:tcPr>
          <w:p>
            <w:pPr>
              <w:spacing w:after="60"/>
            </w:pPr>
            <w:r>
              <w:rPr>
                <w:sz w:val="17"/>
              </w:rPr>
              <w:t>Monthly/quarterly</w:t>
            </w:r>
          </w:p>
        </w:tc>
        <w:tc>
          <w:tcPr>
            <w:tcW w:type="dxa" w:w="4752"/>
            <w:vAlign w:val="center"/>
            <w:tcBorders>
              <w:top w:val="single" w:sz="4" w:color="D2D4D7"/>
              <w:left w:val="single" w:sz="4" w:color="D2D4D7"/>
              <w:bottom w:val="single" w:sz="4" w:color="D2D4D7"/>
              <w:right w:val="single" w:sz="4" w:color="D2D4D7"/>
            </w:tcBorders>
          </w:tcPr>
          <w:p>
            <w:pPr>
              <w:spacing w:after="60"/>
            </w:pPr>
            <w:r>
              <w:rPr>
                <w:sz w:val="17"/>
              </w:rPr>
              <w:t>Sales, projects, hiring, product releases, cash, capex, facilities, customers, failures</w:t>
            </w:r>
          </w:p>
        </w:tc>
      </w:tr>
      <w:tr>
        <w:tc>
          <w:tcPr>
            <w:tcW w:type="dxa" w:w="2304"/>
            <w:vAlign w:val="center"/>
            <w:tcBorders>
              <w:top w:val="single" w:sz="4" w:color="D2D4D7"/>
              <w:left w:val="single" w:sz="4" w:color="D2D4D7"/>
              <w:bottom w:val="single" w:sz="4" w:color="D2D4D7"/>
              <w:right w:val="single" w:sz="4" w:color="D2D4D7"/>
            </w:tcBorders>
          </w:tcPr>
          <w:p>
            <w:pPr>
              <w:spacing w:after="60"/>
            </w:pPr>
            <w:r>
              <w:rPr>
                <w:sz w:val="17"/>
              </w:rPr>
              <w:t>Lucien personal</w:t>
            </w:r>
          </w:p>
        </w:tc>
        <w:tc>
          <w:tcPr>
            <w:tcW w:type="dxa" w:w="2160"/>
            <w:vAlign w:val="center"/>
            <w:tcBorders>
              <w:top w:val="single" w:sz="4" w:color="D2D4D7"/>
              <w:left w:val="single" w:sz="4" w:color="D2D4D7"/>
              <w:bottom w:val="single" w:sz="4" w:color="D2D4D7"/>
              <w:right w:val="single" w:sz="4" w:color="D2D4D7"/>
            </w:tcBorders>
          </w:tcPr>
          <w:p>
            <w:pPr>
              <w:spacing w:after="60"/>
            </w:pPr>
            <w:r>
              <w:rPr>
                <w:sz w:val="17"/>
              </w:rPr>
              <w:t>Monthly/quarterly</w:t>
            </w:r>
          </w:p>
        </w:tc>
        <w:tc>
          <w:tcPr>
            <w:tcW w:type="dxa" w:w="4752"/>
            <w:vAlign w:val="center"/>
            <w:tcBorders>
              <w:top w:val="single" w:sz="4" w:color="D2D4D7"/>
              <w:left w:val="single" w:sz="4" w:color="D2D4D7"/>
              <w:bottom w:val="single" w:sz="4" w:color="D2D4D7"/>
              <w:right w:val="single" w:sz="4" w:color="D2D4D7"/>
            </w:tcBorders>
          </w:tcPr>
          <w:p>
            <w:pPr>
              <w:spacing w:after="60"/>
            </w:pPr>
            <w:r>
              <w:rPr>
                <w:sz w:val="17"/>
              </w:rPr>
              <w:t>Income, spending, investments, property, travel, relationships, health/lifestyle proxies only when relevant</w:t>
            </w:r>
          </w:p>
        </w:tc>
      </w:tr>
      <w:tr>
        <w:tc>
          <w:tcPr>
            <w:tcW w:type="dxa" w:w="2304"/>
            <w:vAlign w:val="center"/>
            <w:tcBorders>
              <w:top w:val="single" w:sz="4" w:color="D2D4D7"/>
              <w:left w:val="single" w:sz="4" w:color="D2D4D7"/>
              <w:bottom w:val="single" w:sz="4" w:color="D2D4D7"/>
              <w:right w:val="single" w:sz="4" w:color="D2D4D7"/>
            </w:tcBorders>
          </w:tcPr>
          <w:p>
            <w:pPr>
              <w:spacing w:after="60"/>
            </w:pPr>
            <w:r>
              <w:rPr>
                <w:sz w:val="17"/>
              </w:rPr>
              <w:t>Scene resolution</w:t>
            </w:r>
          </w:p>
        </w:tc>
        <w:tc>
          <w:tcPr>
            <w:tcW w:type="dxa" w:w="2160"/>
            <w:vAlign w:val="center"/>
            <w:tcBorders>
              <w:top w:val="single" w:sz="4" w:color="D2D4D7"/>
              <w:left w:val="single" w:sz="4" w:color="D2D4D7"/>
              <w:bottom w:val="single" w:sz="4" w:color="D2D4D7"/>
              <w:right w:val="single" w:sz="4" w:color="D2D4D7"/>
            </w:tcBorders>
          </w:tcPr>
          <w:p>
            <w:pPr>
              <w:spacing w:after="60"/>
            </w:pPr>
            <w:r>
              <w:rPr>
                <w:sz w:val="17"/>
              </w:rPr>
              <w:t>Event-driven</w:t>
            </w:r>
          </w:p>
        </w:tc>
        <w:tc>
          <w:tcPr>
            <w:tcW w:type="dxa" w:w="4752"/>
            <w:vAlign w:val="center"/>
            <w:tcBorders>
              <w:top w:val="single" w:sz="4" w:color="D2D4D7"/>
              <w:left w:val="single" w:sz="4" w:color="D2D4D7"/>
              <w:bottom w:val="single" w:sz="4" w:color="D2D4D7"/>
              <w:right w:val="single" w:sz="4" w:color="D2D4D7"/>
            </w:tcBorders>
          </w:tcPr>
          <w:p>
            <w:pPr>
              <w:spacing w:after="60"/>
            </w:pPr>
            <w:r>
              <w:rPr>
                <w:sz w:val="17"/>
              </w:rPr>
              <w:t>Acquisitions, financing, major contracts, crises, lawsuits, breakthroughs, leadership changes</w:t>
            </w:r>
          </w:p>
        </w:tc>
      </w:tr>
    </w:tbl>
    <w:p>
      <w:pPr>
        <w:spacing w:after="40"/>
      </w:pPr>
    </w:p>
    <w:p>
      <w:pPr>
        <w:pStyle w:val="Heading2"/>
      </w:pPr>
      <w:r>
        <w:t>1.2 Four-year cadence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Year</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Primary simulation question</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Decision emphasis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2027</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Can RAS turn RPIL into a repeatable commercial platform?</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Productization, European expansion, hiring, first strategic capital decisions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2028</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Can RAS scale beyond founder-led execution?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Internationalization, organizational depth, larger facilities, industrial partnerships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2029</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Can RAS become a category-defining infrastructure company?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Platform, data moat, acquisitions, capital structure, market position</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2030</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What is RAS at scale, and what has Lucien become?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Global footprint, wealth architecture, leadership transition, 2031 strategic posture</w:t>
            </w:r>
          </w:p>
        </w:tc>
      </w:tr>
    </w:tbl>
    <w:p>
      <w:pPr>
        <w:spacing w:after="40"/>
      </w:pPr>
    </w:p>
    <w:p>
      <w:pPr>
        <w:pStyle w:val="Heading1"/>
        <w:spacing w:before="240" w:after="120"/>
      </w:pPr>
      <w:r>
        <w:t>2. Canonical start state — 01/01/2027</w:t>
      </w:r>
    </w:p>
    <w:p>
      <w:pPr>
        <w:spacing w:after="120" w:line="259" w:lineRule="auto"/>
      </w:pPr>
      <w:r>
        <w:t>These figures are inherited from the live simulation snapshot. They are [SIM] state variables, not claims about the real-world company Rosenfeld Autonomous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320"/>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RAS metric</w:t>
            </w:r>
          </w:p>
        </w:tc>
        <w:tc>
          <w:tcPr>
            <w:tcW w:type="dxa" w:w="5040"/>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01/01/2027 canonical</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Employees</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55</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2026 revenue</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€12.53M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EBITDA</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−€0.355M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Cash</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€4.92M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Debt</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€1.10M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Net cash</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€3.82M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Inventory</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€1.21M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Net PP&amp;E</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€3.39M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Internal equity mark</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€52.0M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Implied EV</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~€48.2M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Lucien FD ownership</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48.72%</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Backlog</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~€4.9M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Indicative run-rate</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~€15.5–16.0M</w:t>
            </w:r>
          </w:p>
        </w:tc>
      </w:tr>
      <w:tr>
        <w:tc>
          <w:tcPr>
            <w:tcW w:type="dxa" w:w="4320"/>
            <w:vAlign w:val="center"/>
            <w:tcBorders>
              <w:top w:val="single" w:sz="4" w:color="D2D4D7"/>
              <w:left w:val="single" w:sz="4" w:color="D2D4D7"/>
              <w:bottom w:val="single" w:sz="4" w:color="D2D4D7"/>
              <w:right w:val="single" w:sz="4" w:color="D2D4D7"/>
            </w:tcBorders>
          </w:tcPr>
          <w:p>
            <w:pPr>
              <w:spacing w:after="60"/>
            </w:pPr>
            <w:r>
              <w:rPr>
                <w:sz w:val="17"/>
              </w:rPr>
              <w:t>RPIL</w:t>
            </w:r>
          </w:p>
        </w:tc>
        <w:tc>
          <w:tcPr>
            <w:tcW w:type="dxa" w:w="5040"/>
            <w:vAlign w:val="center"/>
            <w:tcBorders>
              <w:top w:val="single" w:sz="4" w:color="D2D4D7"/>
              <w:left w:val="single" w:sz="4" w:color="D2D4D7"/>
              <w:bottom w:val="single" w:sz="4" w:color="D2D4D7"/>
              <w:right w:val="single" w:sz="4" w:color="D2D4D7"/>
            </w:tcBorders>
          </w:tcPr>
          <w:p>
            <w:pPr>
              <w:spacing w:after="60"/>
            </w:pPr>
            <w:r>
              <w:rPr>
                <w:sz w:val="17"/>
              </w:rPr>
              <w:t>Stage 1 / prototype</w:t>
            </w:r>
          </w:p>
        </w:tc>
      </w:tr>
    </w:tbl>
    <w:p>
      <w:pPr>
        <w:spacing w:after="40"/>
      </w:pPr>
    </w:p>
    <w:p>
      <w:pPr>
        <w:pStyle w:val="Heading2"/>
      </w:pPr>
      <w:r>
        <w:t>2.1 Lucien personal opening ledger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Asset / liability</w:t>
            </w:r>
          </w:p>
        </w:tc>
        <w:tc>
          <w:tcPr>
            <w:tcW w:type="dxa" w:w="2304"/>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01/01/2027 planning base</w:t>
            </w:r>
          </w:p>
        </w:tc>
        <w:tc>
          <w:tcPr>
            <w:tcW w:type="dxa" w:w="388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Tracking rule</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RAS equity</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~€25.35M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Mark to internal equity value; no liquidity assumed unless secondary/transaction occurs</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Cash</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~€0.71M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Three-account structure retained unless rationalized</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Listed securities</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~€0.41M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Mark to market; track tax lots and dividends</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Private investments</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~€0.06M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Quarterly fair-value/status review</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Founder IP / royalty rights</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~€0.075M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Royalty cash flows tracked separately from carrying value</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Residence / lease</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Existing Luxembourg home</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Track rent, deposit, utilities, furnishing and any future purchase</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Vehicles / watches / jewellery / electronics / other HNW goods</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Inherited 2026 inventory</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Each material acquisition becomes a unique asset ID</w:t>
            </w:r>
          </w:p>
        </w:tc>
      </w:tr>
      <w:tr>
        <w:tc>
          <w:tcPr>
            <w:tcW w:type="dxa" w:w="3168"/>
            <w:vAlign w:val="center"/>
            <w:tcBorders>
              <w:top w:val="single" w:sz="4" w:color="D2D4D7"/>
              <w:left w:val="single" w:sz="4" w:color="D2D4D7"/>
              <w:bottom w:val="single" w:sz="4" w:color="D2D4D7"/>
              <w:right w:val="single" w:sz="4" w:color="D2D4D7"/>
            </w:tcBorders>
          </w:tcPr>
          <w:p>
            <w:pPr>
              <w:spacing w:after="60"/>
            </w:pPr>
            <w:r>
              <w:rPr>
                <w:sz w:val="17"/>
              </w:rPr>
              <w:t>Personal debt</w:t>
            </w:r>
          </w:p>
        </w:tc>
        <w:tc>
          <w:tcPr>
            <w:tcW w:type="dxa" w:w="2304"/>
            <w:vAlign w:val="center"/>
            <w:tcBorders>
              <w:top w:val="single" w:sz="4" w:color="D2D4D7"/>
              <w:left w:val="single" w:sz="4" w:color="D2D4D7"/>
              <w:bottom w:val="single" w:sz="4" w:color="D2D4D7"/>
              <w:right w:val="single" w:sz="4" w:color="D2D4D7"/>
            </w:tcBorders>
          </w:tcPr>
          <w:p>
            <w:pPr>
              <w:spacing w:after="60"/>
            </w:pPr>
            <w:r>
              <w:rPr>
                <w:sz w:val="17"/>
              </w:rPr>
              <w:t>~€0.20M</w:t>
            </w:r>
          </w:p>
        </w:tc>
        <w:tc>
          <w:tcPr>
            <w:tcW w:type="dxa" w:w="3888"/>
            <w:vAlign w:val="center"/>
            <w:tcBorders>
              <w:top w:val="single" w:sz="4" w:color="D2D4D7"/>
              <w:left w:val="single" w:sz="4" w:color="D2D4D7"/>
              <w:bottom w:val="single" w:sz="4" w:color="D2D4D7"/>
              <w:right w:val="single" w:sz="4" w:color="D2D4D7"/>
            </w:tcBorders>
          </w:tcPr>
          <w:p>
            <w:pPr>
              <w:spacing w:after="60"/>
            </w:pPr>
            <w:r>
              <w:rPr>
                <w:sz w:val="17"/>
              </w:rPr>
              <w:t>Mortgage/vehicle/credit lines tracked separately</w:t>
            </w:r>
          </w:p>
        </w:tc>
      </w:tr>
    </w:tbl>
    <w:p>
      <w:pPr>
        <w:spacing w:after="40"/>
      </w:pPr>
    </w:p>
    <w:p>
      <w:pPr>
        <w:pStyle w:val="Heading1"/>
        <w:spacing w:before="240" w:after="120"/>
      </w:pPr>
      <w:r>
        <w:t>3. Autonomous decision mandate for Lucien</w:t>
      </w:r>
    </w:p>
    <w:p>
      <w:pPr>
        <w:spacing w:after="120" w:line="259" w:lineRule="auto"/>
      </w:pPr>
      <w:r>
        <w:t>For this jump, the user has explicitly requested that the simulator take all decisions for the protagonist. The simulator therefore acts as Lucien’s decision engine, but it must behave as a highly ambitious human founder with imperfect information rather than as an omniscient optimizer.</w:t>
      </w:r>
    </w:p>
    <w:p>
      <w:pPr>
        <w:pStyle w:val="Heading2"/>
      </w:pPr>
      <w:r>
        <w:t>3.1 Decision hierarchy</w:t>
      </w:r>
    </w:p>
    <w:p>
      <w:pPr>
        <w:pStyle w:val="ListBullet"/>
        <w:spacing w:after="60"/>
      </w:pPr>
      <w:r>
        <w:t>Preserve the solvency and strategic control of RAS before optimizing headline valuation.</w:t>
      </w:r>
    </w:p>
    <w:p>
      <w:pPr>
        <w:pStyle w:val="ListBullet"/>
        <w:spacing w:after="60"/>
      </w:pPr>
      <w:r>
        <w:t>Prefer durable technology, data and distribution moats over short-lived publicity.</w:t>
      </w:r>
    </w:p>
    <w:p>
      <w:pPr>
        <w:pStyle w:val="ListBullet"/>
        <w:spacing w:after="60"/>
      </w:pPr>
      <w:r>
        <w:t>Reinvest aggressively when the expected strategic return is credible and execution capacity exists.</w:t>
      </w:r>
    </w:p>
    <w:p>
      <w:pPr>
        <w:pStyle w:val="ListBullet"/>
        <w:spacing w:after="60"/>
      </w:pPr>
      <w:r>
        <w:t>Use debt for predictable assets/cash-flow projects; use equity only when the opportunity is larger than organic financing capacity or materially reduces strategic risk.</w:t>
      </w:r>
    </w:p>
    <w:p>
      <w:pPr>
        <w:pStyle w:val="ListBullet"/>
        <w:spacing w:after="60"/>
      </w:pPr>
      <w:r>
        <w:t>Buy companies, property or equipment only when the asset unlocks a strategic capability, capacity, distribution, data, talent or personal-life objective.</w:t>
      </w:r>
    </w:p>
    <w:p>
      <w:pPr>
        <w:pStyle w:val="ListBullet"/>
        <w:spacing w:after="60"/>
      </w:pPr>
      <w:r>
        <w:t>Lucien may spend on luxury, travel and property as wealth rises, but lifestyle inflation must remain subordinate to control, liquidity and long-term capital compounding.</w:t>
      </w:r>
    </w:p>
    <w:p>
      <w:pPr>
        <w:pStyle w:val="ListBullet"/>
        <w:spacing w:after="60"/>
      </w:pPr>
      <w:r>
        <w:t>Lucien may sell assets or diversify RAS exposure when concentration risk becomes materially dangerous; no forced exit merely for accounting neatness.</w:t>
      </w:r>
    </w:p>
    <w:p>
      <w:pPr>
        <w:pStyle w:val="ListBullet"/>
        <w:spacing w:after="60"/>
      </w:pPr>
      <w:r>
        <w:t>No decision may be justified by “the model knows the outcome”. Decisions must be based on information Lucien could plausibly possess at that date.</w:t>
      </w:r>
    </w:p>
    <w:p>
      <w:pPr>
        <w:pStyle w:val="Heading2"/>
      </w:pPr>
      <w:r>
        <w:t>3.2 Automatic authority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Decision type</w:t>
            </w:r>
          </w:p>
        </w:tc>
        <w:tc>
          <w:tcPr>
            <w:tcW w:type="dxa" w:w="2880"/>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Simulator authority during jump</w:t>
            </w:r>
          </w:p>
        </w:tc>
        <w:tc>
          <w:tcPr>
            <w:tcW w:type="dxa" w:w="4464"/>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Escalation rule</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Routine RAS hiring</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Any executive hire, &gt;20 hires/year or key-person replacement becomes a surfaced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Routine capex</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Individual item &gt;€250k or program &gt;€750k becomes a surfaced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Major contract</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Contract &gt;€2M, unusual liability or strategic exclusivity becomes a surfaced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Acquisition</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Acquisition &gt;€5M or strategic control change becomes a surfaced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Debt</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New debt &gt;€5M or leverage materially above policy becomes a surfaced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Equity issuance</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Any primary dilution is logged and surfaced in final chronology</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Personal purchases</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Any asset &gt;€250k is logged; &gt;€1M becomes a major life event</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Real estate</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Any purchase &gt;€1M is fully modeled with financing, tax, location and usage</w:t>
            </w:r>
          </w:p>
        </w:tc>
      </w:tr>
      <w:tr>
        <w:tc>
          <w:tcPr>
            <w:tcW w:type="dxa" w:w="1944"/>
            <w:vAlign w:val="center"/>
            <w:tcBorders>
              <w:top w:val="single" w:sz="4" w:color="D2D4D7"/>
              <w:left w:val="single" w:sz="4" w:color="D2D4D7"/>
              <w:bottom w:val="single" w:sz="4" w:color="D2D4D7"/>
              <w:right w:val="single" w:sz="4" w:color="D2D4D7"/>
            </w:tcBorders>
          </w:tcPr>
          <w:p>
            <w:pPr>
              <w:spacing w:after="60"/>
            </w:pPr>
            <w:r>
              <w:rPr>
                <w:sz w:val="17"/>
              </w:rPr>
              <w:t>Personal portfolio rebalancing</w:t>
            </w:r>
          </w:p>
        </w:tc>
        <w:tc>
          <w:tcPr>
            <w:tcW w:type="dxa" w:w="2880"/>
            <w:vAlign w:val="center"/>
            <w:tcBorders>
              <w:top w:val="single" w:sz="4" w:color="D2D4D7"/>
              <w:left w:val="single" w:sz="4" w:color="D2D4D7"/>
              <w:bottom w:val="single" w:sz="4" w:color="D2D4D7"/>
              <w:right w:val="single" w:sz="4" w:color="D2D4D7"/>
            </w:tcBorders>
          </w:tcPr>
          <w:p>
            <w:pPr>
              <w:spacing w:after="60"/>
            </w:pPr>
            <w:r>
              <w:rPr>
                <w:sz w:val="17"/>
              </w:rPr>
              <w:t>Full</w:t>
            </w:r>
          </w:p>
        </w:tc>
        <w:tc>
          <w:tcPr>
            <w:tcW w:type="dxa" w:w="4464"/>
            <w:vAlign w:val="center"/>
            <w:tcBorders>
              <w:top w:val="single" w:sz="4" w:color="D2D4D7"/>
              <w:left w:val="single" w:sz="4" w:color="D2D4D7"/>
              <w:bottom w:val="single" w:sz="4" w:color="D2D4D7"/>
              <w:right w:val="single" w:sz="4" w:color="D2D4D7"/>
            </w:tcBorders>
          </w:tcPr>
          <w:p>
            <w:pPr>
              <w:spacing w:after="60"/>
            </w:pPr>
            <w:r>
              <w:rPr>
                <w:sz w:val="17"/>
              </w:rPr>
              <w:t>Any single trade &gt;€250k or strategic private investment is logged</w:t>
            </w:r>
          </w:p>
        </w:tc>
      </w:tr>
    </w:tbl>
    <w:p>
      <w:pPr>
        <w:spacing w:after="40"/>
      </w:pPr>
    </w:p>
    <w:p>
      <w:pPr>
        <w:pStyle w:val="Heading1"/>
        <w:spacing w:before="240" w:after="120"/>
      </w:pPr>
      <w:r>
        <w:t>4. World &amp; macro simulation engine</w:t>
      </w:r>
    </w:p>
    <w:p>
      <w:pPr>
        <w:spacing w:after="120" w:line="259" w:lineRule="auto"/>
      </w:pPr>
      <w:r>
        <w:t>The macro engine begins from the real-world information boundary at 24 September 2026. The IMF July 2026 outlook projected 3.0% global growth for 2026 and 3.4% for 2027 and explicitly described the world as being pulled by cross-currents of war and technology, with stalled disinflation and downside risks from renewed conflict and financial repricing. (Source: IMF, World Economic Outlook Update, July 2026.)</w:t>
      </w:r>
    </w:p>
    <w:p>
      <w:pPr>
        <w:spacing w:after="120" w:line="259" w:lineRule="auto"/>
      </w:pPr>
      <w:r>
        <w:t>Because the requested endpoint is in the future relative to the current research boundary, no 2027–2030 result is to be treated as real-world knowledge. Future events are generated as [SIM] unless they are already scheduled or structurally fixed.</w:t>
      </w:r>
    </w:p>
    <w:p>
      <w:pPr>
        <w:pStyle w:val="Heading2"/>
      </w:pPr>
      <w:r>
        <w:t>4.1 Required macro ledger every year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Category</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Variables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Growth</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Global GDP, US, Eurozone, China, India, Japan, UK, major EMs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Inflation</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Headline/core CPI, PPI, wage pressure, food/energy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Rates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Fed, ECB, BoE, BoJ, PBoC, major policy-rate path</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Markets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S&amp;P 500, Nasdaq, STOXX Europe, Nikkei, Hang Seng/China, major factor moves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Rates curve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US 2Y/10Y, Bund 10Y, JGB 10Y, spreads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Currencies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EUR/USD, EUR/CHF, USD/JPY, CNY/USD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Commodities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Brent, gas, electricity, gold, copper, lithium, uranium, critical minerals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Energy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Oil flows, LNG, grid capex, nuclear, renewables, storage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Trade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World trade volume, tariffs, export controls, shipping, chokepoints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Fiscal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Deficits/debt ratios for major economies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Labor</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Unemployment, labor participation, wages, talent scarcity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Capital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VC, growth equity, IPOs, private credit, project finance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Physical infrastructure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Data centers, power, fabs, ports, logistics, spaceports</w:t>
            </w:r>
          </w:p>
        </w:tc>
      </w:tr>
    </w:tbl>
    <w:p>
      <w:pPr>
        <w:spacing w:after="40"/>
      </w:pPr>
    </w:p>
    <w:p>
      <w:pPr>
        <w:pStyle w:val="Heading2"/>
      </w:pPr>
      <w:r>
        <w:t>4.2 Scenario bands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Band</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Meaning</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Use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Base world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Central causal path</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Default unless events move probability mass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Upside acceleration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Technology/productivity diffuses faster</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AI, robotics, semis, energy or space breakthroughs with plausible bottlenecks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Stagnation / fragmentation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Geopolitical or financial stress dominates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Trade wars, energy disruption, credit tightening, capex reversal</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Tail event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Low probability / high impact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Major war escalation, financial crisis, breakthrough, catastrophic industrial failure</w:t>
            </w:r>
          </w:p>
        </w:tc>
      </w:tr>
    </w:tbl>
    <w:p>
      <w:pPr>
        <w:spacing w:after="40"/>
      </w:pPr>
    </w:p>
    <w:p>
      <w:pPr>
        <w:pStyle w:val="Heading1"/>
        <w:spacing w:before="240" w:after="120"/>
      </w:pPr>
      <w:r>
        <w:t>5. Real-world anchors that must remain separate from simulation</w:t>
      </w:r>
    </w:p>
    <w:p>
      <w:pPr>
        <w:spacing w:after="120" w:line="259" w:lineRule="auto"/>
      </w:pPr>
      <w:r>
        <w:t>Known anchors should be checked at each annual boundary. Los Angeles 2028 is officially scheduled for 14–30 July 2028. (Source: IOC/Olympic Movement official LA28 materials.) European Parliament elections are due in 2029 under the current five-year cycle. (Source: European Parliament official materials.) Other annual events (G7/G20, COP, IMF/WB meetings, central-bank calendars) are research checkpoints, not pre-scripted outcomes.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Anchor type</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Examples to verify at each jump boundary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Global institutions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IMF WEO, World Bank, OECD, BIS, WTO, UN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Central banks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Fed, ECB, BoE, BoJ, PBoC</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Climate / energy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UNFCCC COP, IEA, OPEC, grid operators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Technology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NVIDIA, AMD, TSMC, ASML, Microsoft, Google, Meta, OpenAI, Anthropic, xAI</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Industry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IFR robotics data, semiconductor capacity, automotive production, industrial capex</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Space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NASA, ESA, FAA, major launch-provider public filings/news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European policy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European Commission, Parliament, Council, Luxembourg government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Corporate facts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Annual reports, SEC/EDGAR, company filings, audited accounts, exchange data</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Fortunes / market caps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Forbes/Bloomberg/official market data cross-check; no single ranking treated as absolute truth</w:t>
            </w:r>
          </w:p>
        </w:tc>
      </w:tr>
    </w:tbl>
    <w:p>
      <w:pPr>
        <w:spacing w:after="40"/>
      </w:pPr>
    </w:p>
    <w:p>
      <w:pPr>
        <w:pStyle w:val="Heading1"/>
        <w:spacing w:before="240" w:after="120"/>
      </w:pPr>
      <w:r>
        <w:t>6. Geopolitical &amp; regulatory engine</w:t>
      </w:r>
    </w:p>
    <w:p>
      <w:pPr>
        <w:spacing w:after="120" w:line="259" w:lineRule="auto"/>
      </w:pPr>
      <w:r>
        <w:t>Geopolitics is simulated as an independent causal field. Lucien does not control it; RAS reacts to it. The model must explicitly track US–China technology restrictions, Europe–US industrial policy, Russia–Ukraine, Middle East energy security, Taiwan risk, critical-mineral policy, export controls and defense spending.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Domain</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Tracked variables</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RAS exposure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US–China</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Chip controls, cloud/model access, investment screening</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Compute sourcing, customer geography, model dependencies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Europe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AI Act, industrial policy, energy, defense, capital markets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Compliance, labor, grants, customer demand</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Taiwan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TSMC capacity, geopolitical risk, logistics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GPU/ASIC availability, valuation, lead times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Middle East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Oil/LNG flows, shipping risk</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Energy costs, travel/logistics, inflation</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Ukraine/Russia</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Sanctions, reconstruction, defense spending</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Industrial/robotics demand, supply chain</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Critical minerals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Lithium, copper, rare earths, graphite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Hardware costs, manufacturing lead times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Cybersecurity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Major incidents, regulation, breach frequency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Ransomware, liability, customer trust</w:t>
            </w:r>
          </w:p>
        </w:tc>
      </w:tr>
    </w:tbl>
    <w:p>
      <w:pPr>
        <w:spacing w:after="40"/>
      </w:pPr>
    </w:p>
    <w:p>
      <w:pPr>
        <w:pStyle w:val="Heading1"/>
        <w:spacing w:before="240" w:after="120"/>
      </w:pPr>
      <w:r>
        <w:t>7. Technology evolution engine 2027–2030</w:t>
      </w:r>
    </w:p>
    <w:p>
      <w:pPr>
        <w:spacing w:after="120" w:line="259" w:lineRule="auto"/>
      </w:pPr>
      <w:r>
        <w:t>Technology is not advanced by calendar time alone. Each field has maturity, bottlenecks, capex requirements, adoption friction, incumbent response and failure modes. A technology only produces economic impact when it clears those gates.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999"/>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Technology</w:t>
            </w:r>
          </w:p>
        </w:tc>
        <w:tc>
          <w:tcPr>
            <w:tcW w:type="dxa" w:w="1999"/>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2027 focus</w:t>
            </w:r>
          </w:p>
        </w:tc>
        <w:tc>
          <w:tcPr>
            <w:tcW w:type="dxa" w:w="1999"/>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2028 focus</w:t>
            </w:r>
          </w:p>
        </w:tc>
        <w:tc>
          <w:tcPr>
            <w:tcW w:type="dxa" w:w="1999"/>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2029 focus</w:t>
            </w:r>
          </w:p>
        </w:tc>
        <w:tc>
          <w:tcPr>
            <w:tcW w:type="dxa" w:w="1999"/>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2030 checkpoint</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Frontier AI / agents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Cost, reliability, agent memory</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Enterprise deployment</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Tool-use / multi-agent orchestration</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Agent infrastructure becomes utility-like in some workflows</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Physical AI</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Recovery + multimodal control</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Cross-platform transfer</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Fleet learning</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Industrial autonomy becomes measurable by uptime, not demos</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Robotics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Specialized deployments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More general manipulation</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Human-robot fleets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Scale and certification become key</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Semiconductors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Advanced nodes + HBM</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Packaging + power</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Regional fab expansion</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Capacity and energy are strategic constraints</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Quantum</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Error correction + niche advantage</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Early production workflows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Hybrid quantum-classical value</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Only retain cases with measured economic utility</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Materials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AI-assisted discovery</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Pilot synthesis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Commercial qualification</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Production economics decide winners</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Space</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Launch cadence + LEO infrastructure</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Servicing / logistics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Orbital industrial services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Early orbital economy emerges where economics support it</w:t>
            </w:r>
          </w:p>
        </w:tc>
      </w:tr>
      <w:tr>
        <w:tc>
          <w:tcPr>
            <w:tcW w:type="dxa" w:w="1999"/>
            <w:vAlign w:val="center"/>
            <w:tcBorders>
              <w:top w:val="single" w:sz="4" w:color="D2D4D7"/>
              <w:left w:val="single" w:sz="4" w:color="D2D4D7"/>
              <w:bottom w:val="single" w:sz="4" w:color="D2D4D7"/>
              <w:right w:val="single" w:sz="4" w:color="D2D4D7"/>
            </w:tcBorders>
          </w:tcPr>
          <w:p>
            <w:pPr>
              <w:spacing w:after="60"/>
            </w:pPr>
            <w:r>
              <w:rPr>
                <w:sz w:val="17"/>
              </w:rPr>
              <w:t>Energy</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Grid bottlenecks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Storage/nuclear/renewables</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Industrial electrification</w:t>
            </w:r>
          </w:p>
        </w:tc>
        <w:tc>
          <w:tcPr>
            <w:tcW w:type="dxa" w:w="1999"/>
            <w:vAlign w:val="center"/>
            <w:tcBorders>
              <w:top w:val="single" w:sz="4" w:color="D2D4D7"/>
              <w:left w:val="single" w:sz="4" w:color="D2D4D7"/>
              <w:bottom w:val="single" w:sz="4" w:color="D2D4D7"/>
              <w:right w:val="single" w:sz="4" w:color="D2D4D7"/>
            </w:tcBorders>
          </w:tcPr>
          <w:p>
            <w:pPr>
              <w:spacing w:after="60"/>
            </w:pPr>
            <w:r>
              <w:rPr>
                <w:sz w:val="17"/>
              </w:rPr>
              <w:t>Power availability becomes a technology input</w:t>
            </w:r>
          </w:p>
        </w:tc>
      </w:tr>
    </w:tbl>
    <w:p>
      <w:pPr>
        <w:spacing w:after="40"/>
      </w:pPr>
    </w:p>
    <w:p>
      <w:pPr>
        <w:pStyle w:val="Heading1"/>
        <w:spacing w:before="240" w:after="120"/>
      </w:pPr>
      <w:r>
        <w:t>8. Global company &amp; wealth ranking system</w:t>
      </w:r>
    </w:p>
    <w:p>
      <w:pPr>
        <w:spacing w:after="120" w:line="259" w:lineRule="auto"/>
      </w:pPr>
      <w:r>
        <w:t>At the end of every simulated year, the world receives a standardized “photograph” rather than a narrative ranking produced from intuition.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Ranking</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Measure</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Method</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public companies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Market capitalization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Last traded price × diluted shares outstanding; currency-normalized to USD</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global companies by economic scale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Revenue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Latest available 12-month / fiscal-year revenue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technology companies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Market cap + strategic role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Descriptive, not a quality ranking</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fortunes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Estimated net worth</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Public stakes marked to market; private assets estimated with explicit assumptions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industrial groups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Revenue / assets / market cap</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Show metric clearly; do not blend incompatible measures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Top private companies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Latest financing / secondary / valuation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Mark source and date; flag valuation staleness</w:t>
            </w:r>
          </w:p>
        </w:tc>
      </w:tr>
    </w:tbl>
    <w:p>
      <w:pPr>
        <w:spacing w:after="40"/>
      </w:pPr>
    </w:p>
    <w:p>
      <w:pPr>
        <w:spacing w:after="120" w:line="259" w:lineRule="auto"/>
      </w:pPr>
      <w:r>
        <w:t>Political actors must remain descriptive. The system may list heads of state, governments and officials where relevant to the world photograph, but it must not rank political choices, leaders or parties.</w:t>
      </w:r>
    </w:p>
    <w:p>
      <w:pPr>
        <w:pStyle w:val="Heading1"/>
        <w:spacing w:before="240" w:after="120"/>
      </w:pPr>
      <w:r>
        <w:t>9. RAS strategic arc 2027–2030</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9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Year</w:t>
            </w:r>
          </w:p>
        </w:tc>
        <w:tc>
          <w:tcPr>
            <w:tcW w:type="dxa" w:w="249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Strategic phase</w:t>
            </w:r>
          </w:p>
        </w:tc>
        <w:tc>
          <w:tcPr>
            <w:tcW w:type="dxa" w:w="249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Main bets</w:t>
            </w:r>
          </w:p>
        </w:tc>
        <w:tc>
          <w:tcPr>
            <w:tcW w:type="dxa" w:w="2498"/>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Hard constraints</w:t>
            </w:r>
          </w:p>
        </w:tc>
      </w:tr>
      <w:tr>
        <w:tc>
          <w:tcPr>
            <w:tcW w:type="dxa" w:w="2498"/>
            <w:vAlign w:val="center"/>
            <w:tcBorders>
              <w:top w:val="single" w:sz="4" w:color="D2D4D7"/>
              <w:left w:val="single" w:sz="4" w:color="D2D4D7"/>
              <w:bottom w:val="single" w:sz="4" w:color="D2D4D7"/>
              <w:right w:val="single" w:sz="4" w:color="D2D4D7"/>
            </w:tcBorders>
          </w:tcPr>
          <w:p>
            <w:pPr>
              <w:spacing w:after="60"/>
            </w:pPr>
            <w:r>
              <w:rPr>
                <w:sz w:val="17"/>
              </w:rPr>
              <w:t>2027</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Productization</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RPIL, recurring software, European industrial references</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46→70ish headcount range; cash discipline; deployment capacity</w:t>
            </w:r>
          </w:p>
        </w:tc>
      </w:tr>
      <w:tr>
        <w:tc>
          <w:tcPr>
            <w:tcW w:type="dxa" w:w="2498"/>
            <w:vAlign w:val="center"/>
            <w:tcBorders>
              <w:top w:val="single" w:sz="4" w:color="D2D4D7"/>
              <w:left w:val="single" w:sz="4" w:color="D2D4D7"/>
              <w:bottom w:val="single" w:sz="4" w:color="D2D4D7"/>
              <w:right w:val="single" w:sz="4" w:color="D2D4D7"/>
            </w:tcBorders>
          </w:tcPr>
          <w:p>
            <w:pPr>
              <w:spacing w:after="60"/>
            </w:pPr>
            <w:r>
              <w:rPr>
                <w:sz w:val="17"/>
              </w:rPr>
              <w:t>2028</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Scale</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International expansion, OEM/channel partnerships, stronger data network</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Management depth; compliance; working capital</w:t>
            </w:r>
          </w:p>
        </w:tc>
      </w:tr>
      <w:tr>
        <w:tc>
          <w:tcPr>
            <w:tcW w:type="dxa" w:w="2498"/>
            <w:vAlign w:val="center"/>
            <w:tcBorders>
              <w:top w:val="single" w:sz="4" w:color="D2D4D7"/>
              <w:left w:val="single" w:sz="4" w:color="D2D4D7"/>
              <w:bottom w:val="single" w:sz="4" w:color="D2D4D7"/>
              <w:right w:val="single" w:sz="4" w:color="D2D4D7"/>
            </w:tcBorders>
          </w:tcPr>
          <w:p>
            <w:pPr>
              <w:spacing w:after="60"/>
            </w:pPr>
            <w:r>
              <w:rPr>
                <w:sz w:val="17"/>
              </w:rPr>
              <w:t>2029</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Platform</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Acquisitions or strategic integration if justified; category positioning</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Integration risk; capital structure; competitor response</w:t>
            </w:r>
          </w:p>
        </w:tc>
      </w:tr>
      <w:tr>
        <w:tc>
          <w:tcPr>
            <w:tcW w:type="dxa" w:w="2498"/>
            <w:vAlign w:val="center"/>
            <w:tcBorders>
              <w:top w:val="single" w:sz="4" w:color="D2D4D7"/>
              <w:left w:val="single" w:sz="4" w:color="D2D4D7"/>
              <w:bottom w:val="single" w:sz="4" w:color="D2D4D7"/>
              <w:right w:val="single" w:sz="4" w:color="D2D4D7"/>
            </w:tcBorders>
          </w:tcPr>
          <w:p>
            <w:pPr>
              <w:spacing w:after="60"/>
            </w:pPr>
            <w:r>
              <w:rPr>
                <w:sz w:val="17"/>
              </w:rPr>
              <w:t>2030</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Infrastructure layer</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Global Physical AI infrastructure, mature data flywheel, organizational autonomy</w:t>
            </w:r>
          </w:p>
        </w:tc>
        <w:tc>
          <w:tcPr>
            <w:tcW w:type="dxa" w:w="2498"/>
            <w:vAlign w:val="center"/>
            <w:tcBorders>
              <w:top w:val="single" w:sz="4" w:color="D2D4D7"/>
              <w:left w:val="single" w:sz="4" w:color="D2D4D7"/>
              <w:bottom w:val="single" w:sz="4" w:color="D2D4D7"/>
              <w:right w:val="single" w:sz="4" w:color="D2D4D7"/>
            </w:tcBorders>
          </w:tcPr>
          <w:p>
            <w:pPr>
              <w:spacing w:after="60"/>
            </w:pPr>
            <w:r>
              <w:rPr>
                <w:sz w:val="17"/>
              </w:rPr>
              <w:t>Governance; platform reliability; founder concentration; valuation expectations</w:t>
            </w:r>
          </w:p>
        </w:tc>
      </w:tr>
    </w:tbl>
    <w:p>
      <w:pPr>
        <w:spacing w:after="40"/>
      </w:pPr>
    </w:p>
    <w:p>
      <w:pPr>
        <w:pStyle w:val="Heading2"/>
      </w:pPr>
      <w:r>
        <w:t>9.1 Strategic decision gates</w:t>
      </w:r>
    </w:p>
    <w:p>
      <w:pPr>
        <w:pStyle w:val="ListBullet"/>
        <w:spacing w:after="60"/>
      </w:pPr>
      <w:r>
        <w:t>Gate 2027-A: RPIL clears industrial reliability and customer ROI thresholds.</w:t>
      </w:r>
    </w:p>
    <w:p>
      <w:pPr>
        <w:pStyle w:val="ListBullet"/>
        <w:spacing w:after="60"/>
      </w:pPr>
      <w:r>
        <w:t>Gate 2027-B: recurring revenue becomes structurally more important than one-off engineering.</w:t>
      </w:r>
    </w:p>
    <w:p>
      <w:pPr>
        <w:pStyle w:val="ListBullet"/>
        <w:spacing w:after="60"/>
      </w:pPr>
      <w:r>
        <w:t>Gate 2028-A: RAS can support multiple large geographies without Lucien personally closing every customer.</w:t>
      </w:r>
    </w:p>
    <w:p>
      <w:pPr>
        <w:pStyle w:val="ListBullet"/>
        <w:spacing w:after="60"/>
      </w:pPr>
      <w:r>
        <w:t>Gate 2028-B: data rights and telemetry become a scalable contractual advantage rather than bespoke negotiation.</w:t>
      </w:r>
    </w:p>
    <w:p>
      <w:pPr>
        <w:pStyle w:val="ListBullet"/>
        <w:spacing w:after="60"/>
      </w:pPr>
      <w:r>
        <w:t>Gate 2029-A: RAS can acquire or partner for capabilities faster than it can build them internally.</w:t>
      </w:r>
    </w:p>
    <w:p>
      <w:pPr>
        <w:pStyle w:val="ListBullet"/>
        <w:spacing w:after="60"/>
      </w:pPr>
      <w:r>
        <w:t>Gate 2030-A: RAS is investable / financeable / governable as a large company without depending on Lucien’s daily intervention.</w:t>
      </w:r>
    </w:p>
    <w:p>
      <w:pPr>
        <w:pStyle w:val="Heading1"/>
        <w:spacing w:before="240" w:after="120"/>
      </w:pPr>
      <w:r>
        <w:t>10. RAS financial simulation model</w:t>
      </w:r>
    </w:p>
    <w:p>
      <w:pPr>
        <w:pStyle w:val="Heading2"/>
      </w:pPr>
      <w:r>
        <w:t>10.1 P&amp;L ledger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Line</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Track each period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Revenue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Product, subscription, deployment, engineering, fleet/data, licensing, support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COGS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Cloud/compute, hardware pass-through, field labor, subcontractors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Gross profit</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By product and by customer cohort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R&amp;D</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People, compute, lab, data, external research</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S&amp;M</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Sales team, travel, commissions, events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G&amp;A</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Finance, legal, insurance, rent, corporate overhead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EBITDA / EBIT</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Monthly and annual</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Taxes / financing</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Interest, tax, subsidies, credits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Free cash flow</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Capex + working capital + debt movements</w:t>
            </w:r>
          </w:p>
        </w:tc>
      </w:tr>
    </w:tbl>
    <w:p>
      <w:pPr>
        <w:spacing w:after="40"/>
      </w:pPr>
    </w:p>
    <w:p>
      <w:pPr>
        <w:pStyle w:val="Heading2"/>
      </w:pPr>
      <w:r>
        <w:t>10.2 Balance sheet &amp; cash</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Asset / liability</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Required fields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Cash</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Bank-by-bank, restricted cash, money-market, FX</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Receivables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Aging, customer concentration, expected loss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Inventory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Parts, electronics, finished systems, obsolescence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PP&amp;E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Every material physical asset with serial/location/status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IP</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Patent family, software/trade secret, carrying value, expiry/status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Debt</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Instrument, lender, coupon, maturity, covenants, collateral</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Equity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Shares, options, warrants, convertibles, dilution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Lease liabilities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Property, vehicles, equipment leases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Tax</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VAT, payroll, corporate, withholding, deferred tax</w:t>
            </w:r>
          </w:p>
        </w:tc>
      </w:tr>
    </w:tbl>
    <w:p>
      <w:pPr>
        <w:spacing w:after="40"/>
      </w:pPr>
    </w:p>
    <w:p>
      <w:pPr>
        <w:pStyle w:val="Heading1"/>
        <w:spacing w:before="240" w:after="120"/>
      </w:pPr>
      <w:r>
        <w:t>11. Physical infrastructure &amp; asset register</w:t>
      </w:r>
    </w:p>
    <w:p>
      <w:pPr>
        <w:spacing w:after="120" w:line="259" w:lineRule="auto"/>
      </w:pPr>
      <w:r>
        <w:t>Every material physical object survives the jump as a unique asset. No “and then the company bought more servers” without a ledger mutation.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Asset class</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2027–2030 treatment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HQ / offices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Lease changes, expansion, moves, subleases, fit-out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Labs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Robot cells, test rigs, environmental chambers, metrology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Compute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GPU servers, networking, storage, leased cloud, dedicated clusters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Robots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Each robot by model/serial/sim ID, owner, site, condition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Vehicles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Company fleet by VIN/sim ID, financing and disposal</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Inventory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Actuators, sensors, PCBs, machined parts, batteries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Data centers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Rack capacity, committed power, network and recurring fees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Real estate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Purchase price, debt, taxes, renovation, yield / usage</w:t>
            </w:r>
          </w:p>
        </w:tc>
      </w:tr>
    </w:tbl>
    <w:p>
      <w:pPr>
        <w:spacing w:after="40"/>
      </w:pPr>
    </w:p>
    <w:p>
      <w:pPr>
        <w:pStyle w:val="Heading1"/>
        <w:spacing w:before="240" w:after="120"/>
      </w:pPr>
      <w:r>
        <w:t>12. Product, customer and deployment engine</w:t>
      </w:r>
    </w:p>
    <w:p>
      <w:pPr>
        <w:spacing w:after="120" w:line="259" w:lineRule="auto"/>
      </w:pPr>
      <w:r>
        <w:t>The 2026 commercial catalog remains the product system of record until a simulated product mutation changes it. New SKUs require a rationale and economics.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Product layer</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2030 success metric</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Perception Engine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Reliable multi-sensor state estimation across customer hardware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Motion Stack</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Safe task execution with measurable recovery and commissioning time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Fleet Intelligence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Cross-site operational intelligence and fleet-level improvement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Simulation Core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Failure replay / validation that reduces physical deployment cost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Manipulation Lab Stack</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Strategic R&amp;D and high-value partner applications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RPIL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Model-agnostic intelligence layer integrating the stack</w:t>
            </w:r>
          </w:p>
        </w:tc>
      </w:tr>
    </w:tbl>
    <w:p>
      <w:pPr>
        <w:spacing w:after="40"/>
      </w:pPr>
    </w:p>
    <w:p>
      <w:pPr>
        <w:pStyle w:val="Heading2"/>
      </w:pPr>
      <w:r>
        <w:t>12.1 Customer ledger</w:t>
      </w:r>
    </w:p>
    <w:p>
      <w:pPr>
        <w:pStyle w:val="ListBullet"/>
        <w:spacing w:after="60"/>
      </w:pPr>
      <w:r>
        <w:t>Each customer receives a customer ID, contract history, ARR, one-time revenue, gross margin, payment terms, renewal date, data rights and strategic importance.</w:t>
      </w:r>
    </w:p>
    <w:p>
      <w:pPr>
        <w:pStyle w:val="ListBullet"/>
        <w:spacing w:after="60"/>
      </w:pPr>
      <w:r>
        <w:t>Customer concentration is calculated annually. No single customer may silently become a systemic risk.</w:t>
      </w:r>
    </w:p>
    <w:p>
      <w:pPr>
        <w:pStyle w:val="ListBullet"/>
        <w:spacing w:after="60"/>
      </w:pPr>
      <w:r>
        <w:t>Client raw data ownership and RAS rights to derived telemetry remain contract-specific.</w:t>
      </w:r>
    </w:p>
    <w:p>
      <w:pPr>
        <w:pStyle w:val="ListBullet"/>
        <w:spacing w:after="60"/>
      </w:pPr>
      <w:r>
        <w:t>Failed deployments, safety incidents and contractual disputes are logged as first-class events.</w:t>
      </w:r>
    </w:p>
    <w:p>
      <w:pPr>
        <w:pStyle w:val="Heading1"/>
        <w:spacing w:before="240" w:after="120"/>
      </w:pPr>
      <w:r>
        <w:t>13. People, leadership and organization</w:t>
      </w:r>
    </w:p>
    <w:p>
      <w:pPr>
        <w:spacing w:after="120" w:line="259" w:lineRule="auto"/>
      </w:pPr>
      <w:r>
        <w:t>The human network evolves independently. Employees may leave, be promoted, disagree, acquire competing offers, start companies or become strategic assets. Real people remain real-world actors; fictional colleagues remain [SIM].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People layer</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Track</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Headcount</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By function, geography, seniority and cost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Leadership</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CEO, CTO-equivalent, finance, operations, sales, legal/compliance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Key-person risk</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Replacement difficulty and retention risk</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Culture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Technical vs commercial tension, process maturity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Compensation</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Salary, bonus, equity, refresh grants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External network</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Investors, customers, founders, suppliers, regulators, advisors</w:t>
            </w:r>
          </w:p>
        </w:tc>
      </w:tr>
    </w:tbl>
    <w:p>
      <w:pPr>
        <w:spacing w:after="40"/>
      </w:pPr>
    </w:p>
    <w:p>
      <w:pPr>
        <w:spacing w:after="120" w:line="259" w:lineRule="auto"/>
      </w:pPr>
      <w:r>
        <w:t>Lucien’s own leadership evolution is a required storyline: from hands-on technical founder toward chairman/CEO/operator/investor depending on what the company becomes.</w:t>
      </w:r>
    </w:p>
    <w:p>
      <w:pPr>
        <w:pStyle w:val="Heading1"/>
        <w:spacing w:before="240" w:after="120"/>
      </w:pPr>
      <w:r>
        <w:t>14. Lucien personal-life simulation</w:t>
      </w:r>
    </w:p>
    <w:p>
      <w:pPr>
        <w:spacing w:after="120" w:line="259" w:lineRule="auto"/>
      </w:pPr>
      <w:r>
        <w:t>The jump must not treat Lucien as only a cap-table percentage. His personal world evolves, but personal facts are surfaced only when they materially alter the simulation or provide a meaningful human consequence.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Domain</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Required simulation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Home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Residence, lease/purchase, renovations, staff/services, security, location changes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Mobility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Cars, financing, disposal, aircraft/charter if ever justified, travel patterns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Luxury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Watches, jewellery, art, collectible or design objects when acquired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Investments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Public markets, private startups, funds, strategic stakes, cash</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Family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Relationships, gifts, family events, sibling dynamics, support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Friends / network</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Founder/investor/scientist/industrial network development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Time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How much of each year Lucien actually spends on RAS vs investment/personal projects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Lifestyle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Travel, hospitality, education, hobbies, discretionary consumption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Risk management</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Security, insurance, estate planning, legal structures</w:t>
            </w:r>
          </w:p>
        </w:tc>
      </w:tr>
    </w:tbl>
    <w:p>
      <w:pPr>
        <w:spacing w:after="40"/>
      </w:pPr>
    </w:p>
    <w:p>
      <w:pPr>
        <w:pStyle w:val="Heading1"/>
        <w:spacing w:before="240" w:after="120"/>
      </w:pPr>
      <w:r>
        <w:t>15. Personal wealth &amp; asset ledger</w:t>
      </w:r>
    </w:p>
    <w:p>
      <w:pPr>
        <w:spacing w:after="120" w:line="259" w:lineRule="auto"/>
      </w:pPr>
      <w:r>
        <w:t>The wealth engine tracks both “net worth” and “spendable capital”. Founder equity must not be mistaken for liquidity.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Asset class</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Mandatory fields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RAS equity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Shares, dilution, price/mark, voting rights, lockups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Cash</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Account, currency, balance, interest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Listed securities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Ticker, units, cost basis, market value, dividend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Private investments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Company, stake, cost, latest value, liquidity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Royalty/IP</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Underlying right, payment stream, expiry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Real estate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Address / identifier, purchase price, value, debt, cashflow</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Vehicles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Model, VIN/sim ID, value, debt, running cost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Watches/jewellery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Item ID, purchase price, current estimate, insurance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Art / collectibles / design</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Item ID, provenance, value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Other high-value goods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Item ID, value, location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Liabilities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Credit, vehicle finance, mortgage, guarantees, tax due</w:t>
            </w:r>
          </w:p>
        </w:tc>
      </w:tr>
    </w:tbl>
    <w:p>
      <w:pPr>
        <w:spacing w:after="40"/>
      </w:pPr>
    </w:p>
    <w:p>
      <w:pPr>
        <w:pStyle w:val="Heading1"/>
        <w:spacing w:before="240" w:after="120"/>
      </w:pPr>
      <w:r>
        <w:t>16. Real-estate decision framework</w:t>
      </w:r>
    </w:p>
    <w:p>
      <w:pPr>
        <w:spacing w:after="120" w:line="259" w:lineRule="auto"/>
      </w:pPr>
      <w:r>
        <w:t>The system may buy or sell property during the jump. Every transaction must include purchase price, taxes, financing, renovation, operating costs, expected value, actual use and strategic rationale.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Property tier</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Possible role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Luxembourg primary residence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Security, convenience, status, family proximity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Luxembourg investment property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Capital preservation / rental income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Zurich / Swiss base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Technology / investor / personal network; only if justified</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French / Mediterranean second home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Personal use and family life; discretionary</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Corporate property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RAS HQ, laboratory, manufacturing / test facilities</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Industrial real estate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Acquisition only where capacity economics justify ownership</w:t>
            </w:r>
          </w:p>
        </w:tc>
      </w:tr>
    </w:tbl>
    <w:p>
      <w:pPr>
        <w:spacing w:after="40"/>
      </w:pPr>
    </w:p>
    <w:tbl>
      <w:tblPr>
        <w:tblW w:type="auto" w:w="0"/>
        <w:jc w:val="center"/>
        <w:tblLook w:firstColumn="1" w:firstRow="1" w:lastColumn="0" w:lastRow="0" w:noHBand="0" w:noVBand="1" w:val="04A0"/>
      </w:tblPr>
      <w:tblGrid>
        <w:gridCol w:w="9994"/>
      </w:tblGrid>
      <w:tr>
        <w:tc>
          <w:tcPr>
            <w:tcW w:type="dxa" w:w="9994"/>
            <w:shd w:fill="F4F3EF"/>
            <w:tcBorders>
              <w:top w:val="single" w:sz="8" w:color="252A30"/>
              <w:left w:val="single" w:sz="12" w:color="252A30"/>
              <w:bottom w:val="single" w:sz="4" w:color="D9DADD"/>
              <w:right w:val="single" w:sz="4" w:color="D9DADD"/>
            </w:tcBorders>
          </w:tcPr>
          <w:p>
            <w:r>
              <w:rPr>
                <w:b/>
                <w:color w:val="252A30"/>
                <w:sz w:val="16"/>
              </w:rPr>
              <w:t>ANTI-BUBBLE RULE</w:t>
            </w:r>
          </w:p>
          <w:p>
            <w:pPr>
              <w:spacing w:after="40"/>
            </w:pPr>
            <w:r>
              <w:t>Lucien’s wealth may increase rapidly without an automatic property-buying spree. Property is purchased when utility, scarcity, financing and long-term strategic value justify it.</w:t>
            </w:r>
          </w:p>
        </w:tc>
      </w:tr>
    </w:tbl>
    <w:p>
      <w:pPr>
        <w:spacing w:after="40"/>
      </w:pPr>
    </w:p>
    <w:p>
      <w:pPr>
        <w:pStyle w:val="Heading1"/>
        <w:spacing w:before="240" w:after="120"/>
      </w:pPr>
      <w:r>
        <w:t>17. Capital, M&amp;A and financing engine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Action</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When it becomes permissible</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Required analysis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Debt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Predictable cash flow / asset-backed opportunity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Interest, maturity, covenants, downside case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Equity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Organic financing no longer supports a major opportunity or reduces strategic risk</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Dilution, control, investor fit, valuation, use of proceeds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Secondary sale by Lucien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Concentration risk becomes material or personal capital need is high</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Tax, signaling, control, liquidity</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Acquisition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Capability or market access is faster/cheaper to buy than build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Price, integration, customer overlap, IP, people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Joint venture / strategic partnership</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Partner controls critical distribution, hardware, data or infrastructure</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Exclusivity, control, economics, data rights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IPO preparation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Scale, governance and market conditions justify it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Audit readiness, governance, liquidity, market risk</w:t>
            </w:r>
          </w:p>
        </w:tc>
      </w:tr>
    </w:tbl>
    <w:p>
      <w:pPr>
        <w:spacing w:after="40"/>
      </w:pPr>
    </w:p>
    <w:p>
      <w:pPr>
        <w:pStyle w:val="Heading1"/>
        <w:spacing w:before="240" w:after="120"/>
      </w:pPr>
      <w:r>
        <w:t>18. Event generation &amp; failure injection</w:t>
      </w:r>
    </w:p>
    <w:p>
      <w:pPr>
        <w:spacing w:after="120" w:line="259" w:lineRule="auto"/>
      </w:pPr>
      <w:r>
        <w:t>A believable four-year jump requires events that are not all positive. The simulator must generate setbacks proportional to exposure.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Risk family</w:t>
            </w:r>
          </w:p>
        </w:tc>
        <w:tc>
          <w:tcPr>
            <w:tcW w:type="dxa" w:w="4997"/>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Examples to test 2027–2030</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Technology</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Model plateau, sim-to-real failure, safety bug, compute shortage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Commercial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Customer loss, delayed capex, margin compression, competitor undercut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Capital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Down round environment, credit tightening, valuation compression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People</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Executive departure, founder conflict, poaching, burnout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Supply chain</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GPU lead time, sensor shortage, rare-earth price shock</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Legal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IP dispute, customer liability, data rights conflict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Cyber</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Ransomware, model/data exfiltration, supply-chain compromise</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Geopolitics</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Export controls, sanctions, conflict escalation</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Personal</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Property loss, family dispute, major relationship change, security event</w:t>
            </w:r>
          </w:p>
        </w:tc>
      </w:tr>
      <w:tr>
        <w:tc>
          <w:tcPr>
            <w:tcW w:type="dxa" w:w="4997"/>
            <w:vAlign w:val="center"/>
            <w:tcBorders>
              <w:top w:val="single" w:sz="4" w:color="D2D4D7"/>
              <w:left w:val="single" w:sz="4" w:color="D2D4D7"/>
              <w:bottom w:val="single" w:sz="4" w:color="D2D4D7"/>
              <w:right w:val="single" w:sz="4" w:color="D2D4D7"/>
            </w:tcBorders>
          </w:tcPr>
          <w:p>
            <w:pPr>
              <w:spacing w:after="60"/>
            </w:pPr>
            <w:r>
              <w:rPr>
                <w:sz w:val="17"/>
              </w:rPr>
              <w:t>Reputation</w:t>
            </w:r>
          </w:p>
        </w:tc>
        <w:tc>
          <w:tcPr>
            <w:tcW w:type="dxa" w:w="4997"/>
            <w:vAlign w:val="center"/>
            <w:tcBorders>
              <w:top w:val="single" w:sz="4" w:color="D2D4D7"/>
              <w:left w:val="single" w:sz="4" w:color="D2D4D7"/>
              <w:bottom w:val="single" w:sz="4" w:color="D2D4D7"/>
              <w:right w:val="single" w:sz="4" w:color="D2D4D7"/>
            </w:tcBorders>
          </w:tcPr>
          <w:p>
            <w:pPr>
              <w:spacing w:after="60"/>
            </w:pPr>
            <w:r>
              <w:rPr>
                <w:sz w:val="17"/>
              </w:rPr>
              <w:t>Failed demo, public controversy, customer incident</w:t>
            </w:r>
          </w:p>
        </w:tc>
      </w:tr>
    </w:tbl>
    <w:p>
      <w:pPr>
        <w:spacing w:after="40"/>
      </w:pPr>
    </w:p>
    <w:p>
      <w:pPr>
        <w:pStyle w:val="Heading1"/>
        <w:spacing w:before="240" w:after="120"/>
      </w:pPr>
      <w:r>
        <w:t>19. Annual simulation script — without pre-deciding the outcome</w:t>
      </w:r>
    </w:p>
    <w:p>
      <w:pPr>
        <w:pStyle w:val="Heading2"/>
      </w:pPr>
      <w:r>
        <w:t>2027 — FOUNDATION YEAR</w:t>
      </w:r>
    </w:p>
    <w:p>
      <w:pPr>
        <w:pStyle w:val="ListBullet"/>
        <w:spacing w:after="60"/>
      </w:pPr>
      <w:r>
        <w:t>Q1: stabilize RPIL, close European industrial contracts, hire management depth, start data-rights standardization.</w:t>
      </w:r>
    </w:p>
    <w:p>
      <w:pPr>
        <w:pStyle w:val="ListBullet"/>
        <w:spacing w:after="60"/>
      </w:pPr>
      <w:r>
        <w:t>Q2: productize deployment and fleet workflows, assess first meaningful international market.</w:t>
      </w:r>
    </w:p>
    <w:p>
      <w:pPr>
        <w:pStyle w:val="ListBullet"/>
        <w:spacing w:after="60"/>
      </w:pPr>
      <w:r>
        <w:t>Q3: test scale economics, decide whether to raise growth capital or remain organically financed.</w:t>
      </w:r>
    </w:p>
    <w:p>
      <w:pPr>
        <w:pStyle w:val="ListBullet"/>
        <w:spacing w:after="60"/>
      </w:pPr>
      <w:r>
        <w:t>Q4: annual strategic review; revalue RAS; decide 2028 organization and facility requirements.</w:t>
      </w:r>
    </w:p>
    <w:p>
      <w:pPr>
        <w:pStyle w:val="Heading2"/>
      </w:pPr>
      <w:r>
        <w:t>2028 — SCALE YEAR</w:t>
      </w:r>
    </w:p>
    <w:p>
      <w:pPr>
        <w:pStyle w:val="ListBullet"/>
        <w:spacing w:after="60"/>
      </w:pPr>
      <w:r>
        <w:t>Q1: expand to one additional major geography if customer pull exists.</w:t>
      </w:r>
    </w:p>
    <w:p>
      <w:pPr>
        <w:pStyle w:val="ListBullet"/>
        <w:spacing w:after="60"/>
      </w:pPr>
      <w:r>
        <w:t>Q2: evaluate strategic hardware/OEM partnership and possible acquisition targets.</w:t>
      </w:r>
    </w:p>
    <w:p>
      <w:pPr>
        <w:pStyle w:val="ListBullet"/>
        <w:spacing w:after="60"/>
      </w:pPr>
      <w:r>
        <w:t>Q3: simulate LA28 macro/technology effects on robotics, infrastructure and capital markets; Olympics are a world event, not a forced RAS story. Los Angeles is scheduled to host the Games 14–30 July 2028. (Source: IOC/Olympic Movement official LA28 materials.)</w:t>
      </w:r>
    </w:p>
    <w:p>
      <w:pPr>
        <w:pStyle w:val="ListBullet"/>
        <w:spacing w:after="60"/>
      </w:pPr>
      <w:r>
        <w:t>Q4: strengthen governance, finance, security, and executive bench.</w:t>
      </w:r>
    </w:p>
    <w:p>
      <w:pPr>
        <w:pStyle w:val="Heading2"/>
      </w:pPr>
      <w:r>
        <w:t>2029 — PLATFORM YEAR</w:t>
      </w:r>
    </w:p>
    <w:p>
      <w:pPr>
        <w:pStyle w:val="ListBullet"/>
        <w:spacing w:after="60"/>
      </w:pPr>
      <w:r>
        <w:t>Q1: European political/institutional environment refresh ahead of 2029 European Parliament elections.</w:t>
      </w:r>
    </w:p>
    <w:p>
      <w:pPr>
        <w:pStyle w:val="ListBullet"/>
        <w:spacing w:after="60"/>
      </w:pPr>
      <w:r>
        <w:t>Q2: major strategic partnership/acquisition decision if warranted.</w:t>
      </w:r>
    </w:p>
    <w:p>
      <w:pPr>
        <w:pStyle w:val="ListBullet"/>
        <w:spacing w:after="60"/>
      </w:pPr>
      <w:r>
        <w:t>Q3: expand the data/fleet network; test whether the moat survives competitor replication.</w:t>
      </w:r>
    </w:p>
    <w:p>
      <w:pPr>
        <w:pStyle w:val="ListBullet"/>
        <w:spacing w:after="60"/>
      </w:pPr>
      <w:r>
        <w:t>Q4: decide whether 2030 is about profitability, scale, IPO-readiness or strategic consolidation.</w:t>
      </w:r>
    </w:p>
    <w:p>
      <w:pPr>
        <w:pStyle w:val="Heading2"/>
      </w:pPr>
      <w:r>
        <w:t>2030 — CONSOLIDATION / TRANSITION YEAR</w:t>
      </w:r>
    </w:p>
    <w:p>
      <w:pPr>
        <w:pStyle w:val="ListBullet"/>
        <w:spacing w:after="60"/>
      </w:pPr>
      <w:r>
        <w:t>Q1: audit the entire corporate architecture and founder dependency.</w:t>
      </w:r>
    </w:p>
    <w:p>
      <w:pPr>
        <w:pStyle w:val="ListBullet"/>
        <w:spacing w:after="60"/>
      </w:pPr>
      <w:r>
        <w:t>Q2: major capital allocation cycle — factories, compute, acquisitions, R&amp;D.</w:t>
      </w:r>
    </w:p>
    <w:p>
      <w:pPr>
        <w:pStyle w:val="ListBullet"/>
        <w:spacing w:after="60"/>
      </w:pPr>
      <w:r>
        <w:t>Q3: global category positioning and competitor response.</w:t>
      </w:r>
    </w:p>
    <w:p>
      <w:pPr>
        <w:pStyle w:val="ListBullet"/>
        <w:spacing w:after="60"/>
      </w:pPr>
      <w:r>
        <w:t>Q4: close 2030 books, final wealth/asset ledger, top-company/top-fortune rankings and 2031 opening position.</w:t>
      </w:r>
    </w:p>
    <w:p>
      <w:pPr>
        <w:pStyle w:val="Heading1"/>
        <w:spacing w:before="240" w:after="120"/>
      </w:pPr>
      <w:r>
        <w:t>20. Required 31/12/2030 final output</w:t>
      </w:r>
    </w:p>
    <w:p>
      <w:pPr>
        <w:spacing w:after="120" w:line="259" w:lineRule="auto"/>
      </w:pPr>
      <w:r>
        <w:t>The endpoint must be a true “photograph of the world”, not merely a story. The following blocks are mandatory.</w:t>
      </w:r>
    </w:p>
    <w:p>
      <w:pPr>
        <w:pStyle w:val="ListBullet"/>
        <w:spacing w:after="60"/>
      </w:pPr>
      <w:r>
        <w:t>Exact timestamp and information boundary.</w:t>
      </w:r>
    </w:p>
    <w:p>
      <w:pPr>
        <w:pStyle w:val="ListBullet"/>
        <w:spacing w:after="60"/>
      </w:pPr>
      <w:r>
        <w:t>Global macro table: GDP, inflation, rates, FX, commodities, debt, trade, unemployment.</w:t>
      </w:r>
    </w:p>
    <w:p>
      <w:pPr>
        <w:pStyle w:val="ListBullet"/>
        <w:spacing w:after="60"/>
      </w:pPr>
      <w:r>
        <w:t>Geopolitical map: major conflicts, alliances, export controls, sanctions, political institutions.</w:t>
      </w:r>
    </w:p>
    <w:p>
      <w:pPr>
        <w:pStyle w:val="ListBullet"/>
        <w:spacing w:after="60"/>
      </w:pPr>
      <w:r>
        <w:t>Technology maturity map: AI, robotics, semiconductors, quantum, materials, space, energy.</w:t>
      </w:r>
    </w:p>
    <w:p>
      <w:pPr>
        <w:pStyle w:val="ListBullet"/>
        <w:spacing w:after="60"/>
      </w:pPr>
      <w:r>
        <w:t>Top 50 public companies by market cap, with source-date and currency.</w:t>
      </w:r>
    </w:p>
    <w:p>
      <w:pPr>
        <w:pStyle w:val="ListBullet"/>
        <w:spacing w:after="60"/>
      </w:pPr>
      <w:r>
        <w:t>Top 50 fortunes, with source/method and asset concentration.</w:t>
      </w:r>
    </w:p>
    <w:p>
      <w:pPr>
        <w:pStyle w:val="ListBullet"/>
        <w:spacing w:after="60"/>
      </w:pPr>
      <w:r>
        <w:t>Top private companies / unicorns / strategic infrastructure companies where data permits.</w:t>
      </w:r>
    </w:p>
    <w:p>
      <w:pPr>
        <w:pStyle w:val="ListBullet"/>
        <w:spacing w:after="60"/>
      </w:pPr>
      <w:r>
        <w:t>RAS complete 2030 P&amp;L, cash flow, balance sheet, cap table, valuation, backlog and customer concentration.</w:t>
      </w:r>
    </w:p>
    <w:p>
      <w:pPr>
        <w:pStyle w:val="ListBullet"/>
        <w:spacing w:after="60"/>
      </w:pPr>
      <w:r>
        <w:t>RAS product stack with version, performance, installed base, ARR and gross margin.</w:t>
      </w:r>
    </w:p>
    <w:p>
      <w:pPr>
        <w:pStyle w:val="ListBullet"/>
        <w:spacing w:after="60"/>
      </w:pPr>
      <w:r>
        <w:t>Every RAS facility, robot, vehicle, compute cluster, inventory category and major asset.</w:t>
      </w:r>
    </w:p>
    <w:p>
      <w:pPr>
        <w:pStyle w:val="ListBullet"/>
        <w:spacing w:after="60"/>
      </w:pPr>
      <w:r>
        <w:t>Every major RAS executive and the organizational chart.</w:t>
      </w:r>
    </w:p>
    <w:p>
      <w:pPr>
        <w:pStyle w:val="ListBullet"/>
        <w:spacing w:after="60"/>
      </w:pPr>
      <w:r>
        <w:t>Lucien complete personal balance sheet and personal cashflow.</w:t>
      </w:r>
    </w:p>
    <w:p>
      <w:pPr>
        <w:pStyle w:val="ListBullet"/>
        <w:spacing w:after="60"/>
      </w:pPr>
      <w:r>
        <w:t>Lucien property portfolio with debt and current value.</w:t>
      </w:r>
    </w:p>
    <w:p>
      <w:pPr>
        <w:pStyle w:val="ListBullet"/>
        <w:spacing w:after="60"/>
      </w:pPr>
      <w:r>
        <w:t>Lucien vehicles, watches, jewellery, securities, private stakes and other HNW assets.</w:t>
      </w:r>
    </w:p>
    <w:p>
      <w:pPr>
        <w:pStyle w:val="ListBullet"/>
        <w:spacing w:after="60"/>
      </w:pPr>
      <w:r>
        <w:t>Lucien personal relationships and family status where simulation has material changes.</w:t>
      </w:r>
    </w:p>
    <w:p>
      <w:pPr>
        <w:pStyle w:val="ListBullet"/>
        <w:spacing w:after="60"/>
      </w:pPr>
      <w:r>
        <w:t>Complete major-events chronology 2027–2030.</w:t>
      </w:r>
    </w:p>
    <w:p>
      <w:pPr>
        <w:pStyle w:val="ListBullet"/>
        <w:spacing w:after="60"/>
      </w:pPr>
      <w:r>
        <w:t>Counterfactual / unrealized opportunities: what almost happened but did not.</w:t>
      </w:r>
    </w:p>
    <w:p>
      <w:pPr>
        <w:pStyle w:val="ListBullet"/>
        <w:spacing w:after="60"/>
      </w:pPr>
      <w:r>
        <w:t>Audit: accounting, ownership, time, physical uniqueness, information asymmetry and causal consistency.</w:t>
      </w:r>
    </w:p>
    <w:p>
      <w:pPr>
        <w:pStyle w:val="Heading1"/>
        <w:spacing w:before="240" w:after="120"/>
      </w:pPr>
      <w:r>
        <w:t>21. Event / ledger ID architecture for the jump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Entity</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Pattern</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Example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Snapshot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SNAP-YYYYMMDD-HHMM</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SNAP-20301231-2359</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Event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EVENT-YYYYMMDD-###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EVENT-20280314-004</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Decision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DEC-YYYYMMDD-###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DEC-20290111-002</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Transaction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TRX-YYYYMMDD-###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TRX-20290718-001</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Contract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CON-YYYY-####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CON-2028-0034</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Asset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ASSET-CLASS-####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ASSET-CMP-0042</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Facility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FAC-###</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FAC-004</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Person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PERSON-###</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PERSON-014</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Company</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COMP-037</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Audit</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AUD-YYYYMMDD-###</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AUD-20301231-001</w:t>
            </w:r>
          </w:p>
        </w:tc>
      </w:tr>
    </w:tbl>
    <w:p>
      <w:pPr>
        <w:spacing w:after="40"/>
      </w:pPr>
    </w:p>
    <w:p>
      <w:pPr>
        <w:pStyle w:val="Heading1"/>
        <w:spacing w:before="240" w:after="120"/>
      </w:pPr>
      <w:r>
        <w:t>22. Mandatory audit before locking 31/12/2030</w:t>
      </w:r>
    </w:p>
    <w:p>
      <w:pPr>
        <w:pStyle w:val="ListBullet"/>
        <w:spacing w:after="60"/>
      </w:pPr>
      <w:r>
        <w:t>Accounting reconciliation: assets = liabilities + equity.</w:t>
      </w:r>
    </w:p>
    <w:p>
      <w:pPr>
        <w:pStyle w:val="ListBullet"/>
        <w:spacing w:after="60"/>
      </w:pPr>
      <w:r>
        <w:t>Cash reconciliation: opening cash + receipts − payments + financing = closing cash.</w:t>
      </w:r>
    </w:p>
    <w:p>
      <w:pPr>
        <w:pStyle w:val="ListBullet"/>
        <w:spacing w:after="60"/>
      </w:pPr>
      <w:r>
        <w:t>Ownership reconciliation: all equity issuances, options, convertibles and secondaries reconcile to cap table.</w:t>
      </w:r>
    </w:p>
    <w:p>
      <w:pPr>
        <w:pStyle w:val="ListBullet"/>
        <w:spacing w:after="60"/>
      </w:pPr>
      <w:r>
        <w:t>Asset uniqueness: no robot, vehicle, property or server exists twice in the ledger.</w:t>
      </w:r>
    </w:p>
    <w:p>
      <w:pPr>
        <w:pStyle w:val="ListBullet"/>
        <w:spacing w:after="60"/>
      </w:pPr>
      <w:r>
        <w:t>Temporal consistency: contracts, leases, loans and employment dates do not overlap impossibly.</w:t>
      </w:r>
    </w:p>
    <w:p>
      <w:pPr>
        <w:pStyle w:val="ListBullet"/>
        <w:spacing w:after="60"/>
      </w:pPr>
      <w:r>
        <w:t>Capacity consistency: RAS cannot deploy more sites than its people, travel and commissioning capacity permit.</w:t>
      </w:r>
    </w:p>
    <w:p>
      <w:pPr>
        <w:pStyle w:val="ListBullet"/>
        <w:spacing w:after="60"/>
      </w:pPr>
      <w:r>
        <w:t>Technology consistency: product performance cannot leap without R&amp;D, data, compute and deployment evidence.</w:t>
      </w:r>
    </w:p>
    <w:p>
      <w:pPr>
        <w:pStyle w:val="ListBullet"/>
        <w:spacing w:after="60"/>
      </w:pPr>
      <w:r>
        <w:t>Information asymmetry: Lucien cannot act on facts not plausibly available to him at that date.</w:t>
      </w:r>
    </w:p>
    <w:p>
      <w:pPr>
        <w:pStyle w:val="ListBullet"/>
        <w:spacing w:after="60"/>
      </w:pPr>
      <w:r>
        <w:t>World autonomy: at least some major world events must materially affect RAS without being caused by Lucien.</w:t>
      </w:r>
    </w:p>
    <w:p>
      <w:pPr>
        <w:pStyle w:val="ListBullet"/>
        <w:spacing w:after="60"/>
      </w:pPr>
      <w:r>
        <w:t>Wealth audit: founder wealth changes reconcile to ownership, market marks, income, spending and realized transactions.</w:t>
      </w:r>
    </w:p>
    <w:p>
      <w:pPr>
        <w:pStyle w:val="ListBullet"/>
        <w:spacing w:after="60"/>
      </w:pPr>
      <w:r>
        <w:t>Personal liquidity audit: net worth and cash are shown separately.</w:t>
      </w:r>
    </w:p>
    <w:p>
      <w:pPr>
        <w:pStyle w:val="ListBullet"/>
        <w:spacing w:after="60"/>
      </w:pPr>
      <w:r>
        <w:t>No-retcon check: historical snapshots remain immutable.</w:t>
      </w:r>
    </w:p>
    <w:p>
      <w:pPr>
        <w:pStyle w:val="Heading1"/>
        <w:spacing w:before="240" w:after="120"/>
      </w:pPr>
      <w:r>
        <w:t>23. Execution protocol when the jump is actually run</w:t>
      </w:r>
    </w:p>
    <w:p>
      <w:pPr>
        <w:pStyle w:val="ListNumber"/>
        <w:spacing w:after="60"/>
      </w:pPr>
      <w:r>
        <w:t>Freeze the 01/01/2027 snapshot as immutable input.</w:t>
      </w:r>
    </w:p>
    <w:p>
      <w:pPr>
        <w:pStyle w:val="ListNumber"/>
        <w:spacing w:after="60"/>
      </w:pPr>
      <w:r>
        <w:t>Refresh the real-world information boundary at the moment of execution; future events remain simulated.</w:t>
      </w:r>
    </w:p>
    <w:p>
      <w:pPr>
        <w:pStyle w:val="ListNumber"/>
        <w:spacing w:after="60"/>
      </w:pPr>
      <w:r>
        <w:t>Advance 2027 in four quarterly causal batches, surfacing only material events but internally maintaining monthly state.</w:t>
      </w:r>
    </w:p>
    <w:p>
      <w:pPr>
        <w:pStyle w:val="ListNumber"/>
        <w:spacing w:after="60"/>
      </w:pPr>
      <w:r>
        <w:t>At every quarter, mutate world, industry, people, RAS and Lucien in sequence, then run audit.</w:t>
      </w:r>
    </w:p>
    <w:p>
      <w:pPr>
        <w:pStyle w:val="ListNumber"/>
        <w:spacing w:after="60"/>
      </w:pPr>
      <w:r>
        <w:t>Apply autonomous Lucien decisions under the mandate in Section 3. Escalate only the event classes explicitly marked as surfaced events.</w:t>
      </w:r>
    </w:p>
    <w:p>
      <w:pPr>
        <w:pStyle w:val="ListNumber"/>
        <w:spacing w:after="60"/>
      </w:pPr>
      <w:r>
        <w:t>Generate annual rankings and macro photographs at 31 December 2027, 2028 and 2029.</w:t>
      </w:r>
    </w:p>
    <w:p>
      <w:pPr>
        <w:pStyle w:val="ListNumber"/>
        <w:spacing w:after="60"/>
      </w:pPr>
      <w:r>
        <w:t>For 2030, use higher-resolution simulation in Q3–Q4 because the endpoint state is being formed.</w:t>
      </w:r>
    </w:p>
    <w:p>
      <w:pPr>
        <w:pStyle w:val="ListNumber"/>
        <w:spacing w:after="60"/>
      </w:pPr>
      <w:r>
        <w:t>Lock 31/12/2030 and produce the mandatory final output from Section 20.</w:t>
      </w:r>
    </w:p>
    <w:p>
      <w:pPr>
        <w:pStyle w:val="ListNumber"/>
        <w:spacing w:after="60"/>
      </w:pPr>
      <w:r>
        <w:t>Create a complete event register and a final control JSON containing every material ledger mutation.</w:t>
      </w:r>
    </w:p>
    <w:p>
      <w:pPr>
        <w:pStyle w:val="Heading1"/>
        <w:spacing w:before="240" w:after="120"/>
      </w:pPr>
      <w:r>
        <w:t>24. Research hierarchy &amp; evidence discipline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Priority</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Source family</w:t>
            </w:r>
          </w:p>
        </w:tc>
        <w:tc>
          <w:tcPr>
            <w:tcW w:type="dxa" w:w="3331"/>
            <w:vAlign w:val="center"/>
            <w:tcBorders>
              <w:top w:val="single" w:sz="4" w:color="D2D4D7"/>
              <w:left w:val="single" w:sz="4" w:color="D2D4D7"/>
              <w:bottom w:val="single" w:sz="4" w:color="D2D4D7"/>
              <w:right w:val="single" w:sz="4" w:color="D2D4D7"/>
            </w:tcBorders>
            <w:shd w:fill="252A30"/>
          </w:tcPr>
          <w:p>
            <w:pPr>
              <w:spacing w:after="60"/>
            </w:pPr>
            <w:r>
              <w:rPr>
                <w:b/>
                <w:color w:val="FFFFFF"/>
                <w:sz w:val="17"/>
              </w:rPr>
              <w:t>Use</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1</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Official government / regulator / central bank</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Rates, laws, elections, sanctions, public programs, official schedules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2</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International institutions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IMF, World Bank, OECD, BIS, WTO, UN, IEA, IFR</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3</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Company filings / audited releases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Revenue, capex, guidance, ownership, corporate events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4</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High-quality financial press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Breaking events, market reaction, cross-checking</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5</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Specialist industry sources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Semiconductor capacity, robotics deployments, space operations</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6</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Secondary databases</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Market cap, historical series, cross-check only</w:t>
            </w:r>
          </w:p>
        </w:tc>
      </w:tr>
      <w:tr>
        <w:tc>
          <w:tcPr>
            <w:tcW w:type="dxa" w:w="3331"/>
            <w:vAlign w:val="center"/>
            <w:tcBorders>
              <w:top w:val="single" w:sz="4" w:color="D2D4D7"/>
              <w:left w:val="single" w:sz="4" w:color="D2D4D7"/>
              <w:bottom w:val="single" w:sz="4" w:color="D2D4D7"/>
              <w:right w:val="single" w:sz="4" w:color="D2D4D7"/>
            </w:tcBorders>
          </w:tcPr>
          <w:p>
            <w:pPr>
              <w:spacing w:after="60"/>
            </w:pPr>
            <w:r>
              <w:rPr>
                <w:sz w:val="17"/>
              </w:rPr>
              <w:t>7</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Narrative / social media</w:t>
            </w:r>
          </w:p>
        </w:tc>
        <w:tc>
          <w:tcPr>
            <w:tcW w:type="dxa" w:w="3331"/>
            <w:vAlign w:val="center"/>
            <w:tcBorders>
              <w:top w:val="single" w:sz="4" w:color="D2D4D7"/>
              <w:left w:val="single" w:sz="4" w:color="D2D4D7"/>
              <w:bottom w:val="single" w:sz="4" w:color="D2D4D7"/>
              <w:right w:val="single" w:sz="4" w:color="D2D4D7"/>
            </w:tcBorders>
          </w:tcPr>
          <w:p>
            <w:pPr>
              <w:spacing w:after="60"/>
            </w:pPr>
            <w:r>
              <w:rPr>
                <w:sz w:val="17"/>
              </w:rPr>
              <w:t>Signal generation only; never sole basis for material facts</w:t>
            </w:r>
          </w:p>
        </w:tc>
      </w:tr>
    </w:tbl>
    <w:p>
      <w:pPr>
        <w:spacing w:after="40"/>
      </w:pPr>
    </w:p>
    <w:tbl>
      <w:tblPr>
        <w:tblW w:type="auto" w:w="0"/>
        <w:jc w:val="center"/>
        <w:tblLook w:firstColumn="1" w:firstRow="1" w:lastColumn="0" w:lastRow="0" w:noHBand="0" w:noVBand="1" w:val="04A0"/>
      </w:tblPr>
      <w:tblGrid>
        <w:gridCol w:w="9994"/>
      </w:tblGrid>
      <w:tr>
        <w:tc>
          <w:tcPr>
            <w:tcW w:type="dxa" w:w="9994"/>
            <w:shd w:fill="F4F3EF"/>
            <w:tcBorders>
              <w:top w:val="single" w:sz="8" w:color="9A2E2E"/>
              <w:left w:val="single" w:sz="12" w:color="9A2E2E"/>
              <w:bottom w:val="single" w:sz="4" w:color="D9DADD"/>
              <w:right w:val="single" w:sz="4" w:color="D9DADD"/>
            </w:tcBorders>
          </w:tcPr>
          <w:p>
            <w:r>
              <w:rPr>
                <w:b/>
                <w:color w:val="9A2E2E"/>
                <w:sz w:val="16"/>
              </w:rPr>
              <w:t>TRUTH-CLASS RULE</w:t>
            </w:r>
          </w:p>
          <w:p>
            <w:pPr>
              <w:spacing w:after="40"/>
            </w:pPr>
            <w:r>
              <w:t>A future event can be realistic without being REAL. Use [SIM] whenever the event is generated for the simulation, [PROJECTED] for a forward-looking model, and [PENDING] when evidence is genuinely unavailable.</w:t>
            </w:r>
          </w:p>
        </w:tc>
      </w:tr>
    </w:tbl>
    <w:p>
      <w:pPr>
        <w:spacing w:after="40"/>
      </w:pPr>
    </w:p>
    <w:p>
      <w:pPr>
        <w:pStyle w:val="Heading1"/>
        <w:spacing w:before="240" w:after="120"/>
      </w:pPr>
      <w:r>
        <w:t>25. Final design decision</w:t>
      </w:r>
    </w:p>
    <w:p>
      <w:pPr>
        <w:spacing w:after="120" w:line="259" w:lineRule="auto"/>
      </w:pPr>
      <w:r>
        <w:t>This dossier intentionally does not hard-code the 2030 winner, valuation or wealth outcome. It hard-codes the machinery that decides how those outcomes emerge. The user has delegated Lucien’s decisions, but the world retains independent causality.</w:t>
      </w:r>
    </w:p>
    <w:p>
      <w:pPr>
        <w:spacing w:after="120" w:line="259" w:lineRule="auto"/>
      </w:pPr>
      <w:r>
        <w:t>The optimal jump is therefore a four-year autonomous simulation with quarterly checkpoints, annual world photographs, continuous ledgers and a much deeper resolution whenever technology, finance, M&amp;A, personal wealth or a geopolitical shock changes the trajectory.</w:t>
      </w:r>
    </w:p>
    <w:tbl>
      <w:tblPr>
        <w:tblW w:type="auto" w:w="0"/>
        <w:jc w:val="center"/>
        <w:tblLook w:firstColumn="1" w:firstRow="1" w:lastColumn="0" w:lastRow="0" w:noHBand="0" w:noVBand="1" w:val="04A0"/>
      </w:tblPr>
      <w:tblGrid>
        <w:gridCol w:w="9994"/>
      </w:tblGrid>
      <w:tr>
        <w:tc>
          <w:tcPr>
            <w:tcW w:type="dxa" w:w="9994"/>
            <w:shd w:fill="F4F3EF"/>
            <w:tcBorders>
              <w:top w:val="single" w:sz="8" w:color="1B6B4B"/>
              <w:left w:val="single" w:sz="12" w:color="1B6B4B"/>
              <w:bottom w:val="single" w:sz="4" w:color="D9DADD"/>
              <w:right w:val="single" w:sz="4" w:color="D9DADD"/>
            </w:tcBorders>
          </w:tcPr>
          <w:p>
            <w:r>
              <w:rPr>
                <w:b/>
                <w:color w:val="1B6B4B"/>
                <w:sz w:val="16"/>
              </w:rPr>
              <w:t>READY STATE</w:t>
            </w:r>
          </w:p>
          <w:p>
            <w:pPr>
              <w:spacing w:after="40"/>
            </w:pPr>
            <w:r>
              <w:t>The dossier is ready to execute the 01/01/2027 → 31/12/2030 temporal jump. No new clarification is required to begin.</w:t>
            </w:r>
          </w:p>
        </w:tc>
      </w:tr>
    </w:tbl>
    <w:p>
      <w:pPr>
        <w:spacing w:after="40"/>
      </w:pPr>
    </w:p>
    <w:p>
      <w:pPr>
        <w:pStyle w:val="Heading1"/>
        <w:spacing w:before="240" w:after="120"/>
      </w:pPr>
      <w:r>
        <w:t>Appendix A — Research anchors consulted</w:t>
      </w:r>
    </w:p>
    <w:p>
      <w:pPr>
        <w:spacing w:after="120" w:line="259" w:lineRule="auto"/>
      </w:pPr>
      <w:r>
        <w:t>Current real-world anchors consulted while designing this jump protocol include the IMF July 2026 World Economic Outlook update, the official Olympic movement materials for LA28, and European Parliament materials on the 2029 election cycle. These anchors are used only to preserve the distinction between scheduled/real events and simulated future outcomes. (Sources: IMF; IOC/Olympic Movement; European Parliament.)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8"/>
        <w:sz w:val="15"/>
      </w:rPr>
      <w:t xml:space="preserve">ROSENFELD  ·  TEMPORAL JUMP MASTER DOSSIER  ·  2027–2030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783080" cy="293972"/>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
                  <a:stretch>
                    <a:fillRect/>
                  </a:stretch>
                </pic:blipFill>
                <pic:spPr>
                  <a:xfrm>
                    <a:off x="0" y="0"/>
                    <a:ext cx="1783080" cy="2939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B0D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0D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2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2A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8C919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