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2B87" w14:textId="2B134B47" w:rsidR="00F771D4" w:rsidRPr="00F771D4" w:rsidRDefault="00F771D4" w:rsidP="00F771D4">
      <w:pPr>
        <w:pStyle w:val="Heading2"/>
      </w:pPr>
      <w:r>
        <w:t xml:space="preserve">Summary for Policymakers - </w:t>
      </w:r>
      <w:proofErr w:type="spellStart"/>
      <w:r>
        <w:t>Sriver</w:t>
      </w:r>
      <w:proofErr w:type="spellEnd"/>
    </w:p>
    <w:p w14:paraId="07F66685" w14:textId="77777777" w:rsidR="00F771D4" w:rsidRPr="00F771D4" w:rsidRDefault="00F771D4" w:rsidP="00F771D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It is very likely that the well-mixed GHGs were the main driver of tropospheric warming since 1979 and extremely likely humans caused the hole in the ozone layer</w:t>
      </w:r>
    </w:p>
    <w:p w14:paraId="3AE7D73B" w14:textId="77777777" w:rsidR="00F771D4" w:rsidRPr="00F771D4" w:rsidRDefault="00F771D4" w:rsidP="00F771D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Very likely humans melted Greenland ice w/ limited evidence of humans causing Antarctic ice to lose mass</w:t>
      </w:r>
    </w:p>
    <w:p w14:paraId="71762A6A" w14:textId="7E6B1F80" w:rsidR="00F771D4" w:rsidRPr="00045089" w:rsidRDefault="001B28C3" w:rsidP="00F771D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Changes in land biosphere since 1970 have caused poleward shift in climate zones, which has caused +2 growing days per decade in the Northern extratropic regions (except Georgia, which has lost a few days)</w:t>
      </w:r>
    </w:p>
    <w:p w14:paraId="21902687" w14:textId="5A5DA526" w:rsidR="00045089" w:rsidRPr="00045089" w:rsidRDefault="00045089" w:rsidP="0004508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Land will heat up more than water, but there are still marine heatwaves</w:t>
      </w:r>
    </w:p>
    <w:p w14:paraId="651A7DBF" w14:textId="735599E1" w:rsidR="00045089" w:rsidRPr="00045089" w:rsidRDefault="00045089" w:rsidP="0004508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El Nino will be amplified in the second half of the 21st century</w:t>
      </w:r>
    </w:p>
    <w:p w14:paraId="323E1FA8" w14:textId="0E04C031" w:rsidR="001B28C3" w:rsidRPr="008070A6" w:rsidRDefault="00045089" w:rsidP="008070A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Loss of permafrost carbon following permafrost thaw is IRREVERSIBLE at centennial time scales (high confidence)</w:t>
      </w:r>
      <w:r w:rsidR="008070A6">
        <w:t>, which is false and dogmatic thinking as the permafrost can be regenerated with the reintroduction of Beringian mammals in the Boreal tundra of Russia and Canada</w:t>
      </w:r>
    </w:p>
    <w:p w14:paraId="1FC07C25" w14:textId="7F97DF34" w:rsidR="00F771D4" w:rsidRPr="008070A6" w:rsidRDefault="00F771D4" w:rsidP="008070A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C9698B" w14:textId="4E707253" w:rsidR="00F771D4" w:rsidRDefault="00F771D4" w:rsidP="00F771D4">
      <w:pPr>
        <w:pStyle w:val="Heading2"/>
      </w:pPr>
      <w:r>
        <w:t>Fournier Reading</w:t>
      </w:r>
    </w:p>
    <w:p w14:paraId="26EDA3DE" w14:textId="77777777" w:rsidR="00544081" w:rsidRPr="00544081" w:rsidRDefault="00544081" w:rsidP="0054408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We are taking a different path than the previous 7 interglacial periods for all GHGs</w:t>
      </w:r>
    </w:p>
    <w:p w14:paraId="4ADEC2AD" w14:textId="6EBF966E" w:rsidR="00F771D4" w:rsidRPr="00544081" w:rsidRDefault="00F771D4" w:rsidP="0054408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E80764" w14:textId="39790054" w:rsidR="00F771D4" w:rsidRPr="00F771D4" w:rsidRDefault="00F771D4" w:rsidP="00F771D4">
      <w:pPr>
        <w:pStyle w:val="Heading2"/>
      </w:pPr>
      <w:proofErr w:type="spellStart"/>
      <w:r>
        <w:lastRenderedPageBreak/>
        <w:t>Sriver</w:t>
      </w:r>
      <w:proofErr w:type="spellEnd"/>
      <w:r>
        <w:t xml:space="preserve"> Lecture</w:t>
      </w:r>
    </w:p>
    <w:sectPr w:rsidR="00F771D4" w:rsidRPr="00F7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B1849"/>
    <w:multiLevelType w:val="hybridMultilevel"/>
    <w:tmpl w:val="3D009E5C"/>
    <w:lvl w:ilvl="0" w:tplc="0BA651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02"/>
    <w:rsid w:val="00045089"/>
    <w:rsid w:val="001B28C3"/>
    <w:rsid w:val="00221F38"/>
    <w:rsid w:val="00544081"/>
    <w:rsid w:val="006E1C02"/>
    <w:rsid w:val="008070A6"/>
    <w:rsid w:val="00A55A68"/>
    <w:rsid w:val="00B54758"/>
    <w:rsid w:val="00F7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056E"/>
  <w15:chartTrackingRefBased/>
  <w15:docId w15:val="{6A96EB86-DA7D-43BA-A1AA-1407B72E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2</cp:revision>
  <dcterms:created xsi:type="dcterms:W3CDTF">2024-01-18T17:43:00Z</dcterms:created>
  <dcterms:modified xsi:type="dcterms:W3CDTF">2024-01-19T16:48:00Z</dcterms:modified>
</cp:coreProperties>
</file>