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df" ContentType="application/pdf"/>
  <Override PartName="/word/media/rId23.pdf" ContentType="application/pdf"/>
  <Override PartName="/word/media/rId29.pdf" ContentType="application/pdf"/>
  <Override PartName="/word/media/rId32.pdf" ContentType="application/pdf"/>
  <Override PartName="/word/media/rId35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Photosynthesis-light</w:t>
      </w:r>
      <w:r>
        <w:t xml:space="preserve"> </w:t>
      </w:r>
      <w:r>
        <w:t xml:space="preserve">relationships</w:t>
      </w:r>
      <w:r>
        <w:t xml:space="preserve"> </w:t>
      </w:r>
      <w:r>
        <w:t xml:space="preserve">are</w:t>
      </w:r>
      <w:r>
        <w:t xml:space="preserve"> </w:t>
      </w:r>
      <w:r>
        <w:t xml:space="preserve">more</w:t>
      </w:r>
      <w:r>
        <w:t xml:space="preserve"> </w:t>
      </w:r>
      <w:r>
        <w:t xml:space="preserve">variable</w:t>
      </w:r>
      <w:r>
        <w:t xml:space="preserve"> </w:t>
      </w:r>
      <w:r>
        <w:t xml:space="preserve">in</w:t>
      </w:r>
      <w:r>
        <w:t xml:space="preserve"> </w:t>
      </w:r>
      <w:r>
        <w:t xml:space="preserve">time</w:t>
      </w:r>
      <w:r>
        <w:t xml:space="preserve"> </w:t>
      </w:r>
      <w:r>
        <w:t xml:space="preserve">than</w:t>
      </w:r>
      <w:r>
        <w:t xml:space="preserve"> </w:t>
      </w:r>
      <w:r>
        <w:t xml:space="preserve">in</w:t>
      </w:r>
      <w:r>
        <w:t xml:space="preserve"> </w:t>
      </w:r>
      <w:r>
        <w:t xml:space="preserve">space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shallow</w:t>
      </w:r>
      <w:r>
        <w:t xml:space="preserve"> </w:t>
      </w:r>
      <w:r>
        <w:t xml:space="preserve">eutrophic</w:t>
      </w:r>
      <w:r>
        <w:t xml:space="preserve"> </w:t>
      </w:r>
      <w:r>
        <w:t xml:space="preserve">lake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S.</w:t>
      </w:r>
      <w:r>
        <w:t xml:space="preserve"> </w:t>
      </w:r>
      <w:r>
        <w:t xml:space="preserve">Phillips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†</m:t>
            </m:r>
          </m:sup>
        </m:sSup>
      </m:oMath>
      <w:r>
        <w:br/>
      </w:r>
      <w:r>
        <w:t xml:space="preserve">Amanda</w:t>
      </w:r>
      <w:r>
        <w:t xml:space="preserve"> </w:t>
      </w:r>
      <w:r>
        <w:t xml:space="preserve">R.</w:t>
      </w:r>
      <w:r>
        <w:t xml:space="preserve"> </w:t>
      </w:r>
      <w:r>
        <w:t xml:space="preserve">McCormick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3</m:t>
            </m:r>
          </m:sup>
        </m:sSup>
      </m:oMath>
      <w:r>
        <w:br/>
      </w:r>
      <w:r>
        <w:t xml:space="preserve">Jamieson</w:t>
      </w:r>
      <w:r>
        <w:t xml:space="preserve"> </w:t>
      </w:r>
      <w:r>
        <w:t xml:space="preserve">C.</w:t>
      </w:r>
      <w:r>
        <w:t xml:space="preserve"> </w:t>
      </w:r>
      <w:r>
        <w:t xml:space="preserve">Botsch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br/>
      </w:r>
      <w:r>
        <w:t xml:space="preserve">Kristian</w:t>
      </w:r>
      <w:r>
        <w:t xml:space="preserve"> </w:t>
      </w:r>
      <w:r>
        <w:t xml:space="preserve">R.</w:t>
      </w:r>
      <w:r>
        <w:t xml:space="preserve"> </w:t>
      </w:r>
      <w:r>
        <w:t xml:space="preserve">Book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br/>
      </w:r>
      <w:r>
        <w:t xml:space="preserve">Anthony</w:t>
      </w:r>
      <w:r>
        <w:t xml:space="preserve"> </w:t>
      </w:r>
      <w:r>
        <w:t xml:space="preserve">R.</w:t>
      </w:r>
      <w:r>
        <w:t xml:space="preserve"> </w:t>
      </w:r>
      <w:r>
        <w:t xml:space="preserve">Ives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FirstParagraph"/>
      </w:pPr>
      <w:r>
        <w:t xml:space="preserve">1. Department of Integrative Biology, University of Wisconsin, Madison, Wisconsin 53706 USA</w:t>
      </w:r>
    </w:p>
    <w:p>
      <w:pPr>
        <w:pStyle w:val="BodyText"/>
      </w:pPr>
      <w:r>
        <w:t xml:space="preserve">2. Department of Aquaculture and Fish Biology, Hólar University, Skagafjörur 551 Iceland</w:t>
      </w:r>
    </w:p>
    <w:p>
      <w:pPr>
        <w:pStyle w:val="BodyText"/>
      </w:pPr>
      <w:r>
        <w:t xml:space="preserve">3. Department of Land, Air and Water Resources,</w:t>
      </w:r>
      <w:r>
        <w:t xml:space="preserve"> </w:t>
      </w:r>
      <w:r>
        <w:t xml:space="preserve">University of California, Davis, CA, USA</w:t>
      </w:r>
    </w:p>
    <w:p>
      <w:pPr>
        <w:pStyle w:val="BodyText"/>
      </w:pPr>
      <m:oMath>
        <m:r>
          <m:t>†</m:t>
        </m:r>
      </m:oMath>
      <w:r>
        <w:t xml:space="preserve"> </w:t>
      </w:r>
      <w:r>
        <w:t xml:space="preserve">E-mail: joseph@holar.is</w:t>
      </w:r>
    </w:p>
    <w:p>
      <w:pPr>
        <w:pStyle w:val="BodyText"/>
      </w:pPr>
      <w:r>
        <w:t xml:space="preserve">Running head:</w:t>
      </w:r>
      <w:r>
        <w:t xml:space="preserve"> </w:t>
      </w:r>
      <w:r>
        <w:t xml:space="preserve">Variable PI curves</w:t>
      </w:r>
    </w:p>
    <w:bookmarkStart w:id="20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 data described here are from</w:t>
      </w:r>
      <w:r>
        <w:t xml:space="preserve"> </w:t>
      </w:r>
      <w:r>
        <w:t xml:space="preserve">“</w:t>
      </w:r>
      <w:r>
        <w:t xml:space="preserve">light gradient incubations</w:t>
      </w:r>
      <w:r>
        <w:t xml:space="preserve">”</w:t>
      </w:r>
      <w:r>
        <w:t xml:space="preserve"> </w:t>
      </w:r>
      <w:r>
        <w:t xml:space="preserve">conducted at Mývatn in in 2018 and 2019.</w:t>
      </w:r>
      <w:r>
        <w:t xml:space="preserve"> </w:t>
      </w:r>
      <w:r>
        <w:t xml:space="preserve">Pelagic and benthic incubations were conducted at ST33 and Reykjahli in 2018</w:t>
      </w:r>
      <w:r>
        <w:t xml:space="preserve"> </w:t>
      </w:r>
      <w:r>
        <w:t xml:space="preserve">and at those two locations plus E5 in 2019.</w:t>
      </w:r>
      <w:r>
        <w:t xml:space="preserve"> </w:t>
      </w:r>
      <w:r>
        <w:t xml:space="preserve">Here, I treat ST33 as reprsentative of the South Basin,</w:t>
      </w:r>
      <w:r>
        <w:t xml:space="preserve"> </w:t>
      </w:r>
      <w:r>
        <w:t xml:space="preserve">Reykjahli as representative of the North Basin,</w:t>
      </w:r>
      <w:r>
        <w:t xml:space="preserve"> </w:t>
      </w:r>
      <w:r>
        <w:t xml:space="preserve">and E5 as representative of the East Basin.</w:t>
      </w:r>
      <w:r>
        <w:t xml:space="preserve"> </w:t>
      </w:r>
      <w:r>
        <w:t xml:space="preserve">In both years, there were substantial cyanobacteria blooms;</w:t>
      </w:r>
      <w:r>
        <w:t xml:space="preserve"> </w:t>
      </w:r>
      <w:r>
        <w:t xml:space="preserve">it will probably be good to present data on spatiotemporal patterns in the blooms.</w:t>
      </w:r>
      <w:r>
        <w:t xml:space="preserve"> </w:t>
      </w:r>
      <w:r>
        <w:t xml:space="preserve">In 2018, we collected data in June, July, and August;</w:t>
      </w:r>
      <w:r>
        <w:t xml:space="preserve"> </w:t>
      </w:r>
      <w:r>
        <w:t xml:space="preserve">while in 2019 we only collected data in July and August.</w:t>
      </w:r>
      <w:r>
        <w:t xml:space="preserve"> </w:t>
      </w:r>
      <w:r>
        <w:t xml:space="preserve">For a given year-month combination,</w:t>
      </w:r>
      <w:r>
        <w:t xml:space="preserve"> </w:t>
      </w:r>
      <w:r>
        <w:t xml:space="preserve">sampling events across sites and zone (pelagic vs. benthic)</w:t>
      </w:r>
      <w:r>
        <w:t xml:space="preserve"> </w:t>
      </w:r>
      <w:r>
        <w:t xml:space="preserve">were either conducted on the same day or within a few days.</w:t>
      </w:r>
      <w:r>
        <w:t xml:space="preserve"> </w:t>
      </w:r>
      <w:r>
        <w:t xml:space="preserve">Note that some combinations of sample date, basin,</w:t>
      </w:r>
      <w:r>
        <w:t xml:space="preserve"> </w:t>
      </w:r>
      <w:r>
        <w:t xml:space="preserve">and zone (benthic vs. pelagic) are missing.</w:t>
      </w:r>
    </w:p>
    <w:p>
      <w:pPr>
        <w:pStyle w:val="BodyText"/>
      </w:pPr>
      <w:r>
        <w:t xml:space="preserve">Benthic incubations used intact sediment cores in the tall acrylic tubes,</w:t>
      </w:r>
      <w:r>
        <w:t xml:space="preserve"> </w:t>
      </w:r>
      <w:r>
        <w:t xml:space="preserve">while pelagic incubations used water collected with the Schindler trap in the short tubes.</w:t>
      </w:r>
      <w:r>
        <w:t xml:space="preserve"> </w:t>
      </w:r>
      <w:r>
        <w:t xml:space="preserve">Schinler tows were taken for the full water column depth at a given site</w:t>
      </w:r>
      <w:r>
        <w:t xml:space="preserve"> </w:t>
      </w:r>
      <w:r>
        <w:t xml:space="preserve">to provided an integrated picture of the full water column.</w:t>
      </w:r>
      <w:r>
        <w:t xml:space="preserve"> </w:t>
      </w:r>
      <w:r>
        <w:t xml:space="preserve">We wrapped tubes with varying layers of mosquito net or black plastic</w:t>
      </w:r>
      <w:r>
        <w:t xml:space="preserve"> </w:t>
      </w:r>
      <w:r>
        <w:t xml:space="preserve">to create a gradient of light levels.</w:t>
      </w:r>
      <w:r>
        <w:t xml:space="preserve"> </w:t>
      </w:r>
      <w:r>
        <w:t xml:space="preserve">For the benthci incubations, we also wrapped the bottom portion of each tube</w:t>
      </w:r>
      <w:r>
        <w:t xml:space="preserve"> </w:t>
      </w:r>
      <w:r>
        <w:t xml:space="preserve">corresponding to the sediment layer with black plastic.</w:t>
      </w:r>
    </w:p>
    <w:p>
      <w:pPr>
        <w:pStyle w:val="BodyText"/>
      </w:pPr>
      <w:r>
        <w:t xml:space="preserve">We conducted incubations using floating racks, with the tubes hanging at 0.5m</w:t>
      </w:r>
      <w:r>
        <w:t xml:space="preserve"> </w:t>
      </w:r>
      <w:r>
        <w:t xml:space="preserve">following the routine incubations.</w:t>
      </w:r>
      <w:r>
        <w:t xml:space="preserve"> </w:t>
      </w:r>
      <w:r>
        <w:t xml:space="preserve">After setting up the racks and shading, we allowed the tubes to acclimate for about 1h</w:t>
      </w:r>
      <w:r>
        <w:t xml:space="preserve"> </w:t>
      </w:r>
      <w:r>
        <w:t xml:space="preserve">befor taking the initial DO readings.</w:t>
      </w:r>
      <w:r>
        <w:t xml:space="preserve"> </w:t>
      </w:r>
      <w:r>
        <w:t xml:space="preserve">After the initial readings, the tubes were incubated</w:t>
      </w:r>
      <w:r>
        <w:t xml:space="preserve"> </w:t>
      </w:r>
      <w:r>
        <w:t xml:space="preserve">for an average of either 6.24h (min = 3.48h; max 8.83h) for the pelagic</w:t>
      </w:r>
      <w:r>
        <w:t xml:space="preserve"> </w:t>
      </w:r>
      <w:r>
        <w:t xml:space="preserve">or 1.99h (min = 1.05h; max 3.33h) for the benthic.</w:t>
      </w:r>
      <w:r>
        <w:t xml:space="preserve"> </w:t>
      </w:r>
      <w:r>
        <w:t xml:space="preserve">I calculated the net metabolism in each tube as the change in DO concentration</w:t>
      </w:r>
      <w:r>
        <w:t xml:space="preserve"> </w:t>
      </w:r>
      <w:r>
        <w:t xml:space="preserve">(converted to mg</w:t>
      </w:r>
      <w:r>
        <w:t xml:space="preserve"> </w:t>
      </w:r>
      <m:oMath>
        <m:sSup>
          <m:e>
            <m:r>
              <m:rPr>
                <m:nor/>
                <m:sty m:val="p"/>
              </m:rPr>
              <m:t>m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), multiplied by the water column depth,</w:t>
      </w:r>
      <w:r>
        <w:t xml:space="preserve"> </w:t>
      </w:r>
      <w:r>
        <w:t xml:space="preserve">and divided by the incubation duration.</w:t>
      </w:r>
      <w:r>
        <w:t xml:space="preserve"> </w:t>
      </w:r>
      <w:r>
        <w:t xml:space="preserve">This resulted in areal flux rates,</w:t>
      </w:r>
      <w:r>
        <w:t xml:space="preserve"> </w:t>
      </w:r>
      <w:r>
        <w:t xml:space="preserve">which can be interpreted as DO fluxes across either the sediment surface (for the benthic)</w:t>
      </w:r>
      <w:r>
        <w:t xml:space="preserve"> </w:t>
      </w:r>
      <w:r>
        <w:t xml:space="preserve">or across an average water-column cross-section (for the pelagic).</w:t>
      </w:r>
      <w:r>
        <w:t xml:space="preserve"> </w:t>
      </w:r>
      <w:r>
        <w:t xml:space="preserve">The benthic and pelagic data are comparable as aeral flux rates,</w:t>
      </w:r>
      <w:r>
        <w:t xml:space="preserve"> </w:t>
      </w:r>
      <w:r>
        <w:t xml:space="preserve">although comparting total benthic vs. pelagic production would require</w:t>
      </w:r>
      <w:r>
        <w:t xml:space="preserve"> </w:t>
      </w:r>
      <w:r>
        <w:t xml:space="preserve">integrating the pelagic fluxes across the full water column depth.</w:t>
      </w:r>
    </w:p>
    <w:p>
      <w:pPr>
        <w:pStyle w:val="BodyText"/>
      </w:pPr>
      <w:r>
        <w:t xml:space="preserve">The ambient light environment during the incubations was quantified</w:t>
      </w:r>
      <w:r>
        <w:t xml:space="preserve"> </w:t>
      </w:r>
      <w:r>
        <w:t xml:space="preserve">using combination of Li-COR readings taken multiple times during each incubation</w:t>
      </w:r>
      <w:r>
        <w:t xml:space="preserve"> </w:t>
      </w:r>
      <w:r>
        <w:t xml:space="preserve">and HOBO loggers deployed on the racks (when available).</w:t>
      </w:r>
      <w:r>
        <w:t xml:space="preserve"> </w:t>
      </w:r>
      <w:r>
        <w:t xml:space="preserve">The light available in the tubes was estimated based on the number of layers of mosquito net,</w:t>
      </w:r>
      <w:r>
        <w:t xml:space="preserve"> </w:t>
      </w:r>
      <w:r>
        <w:t xml:space="preserve">for which we determined a fixed conversion using the Li-COR meter in empty acrylic tubes</w:t>
      </w:r>
      <w:r>
        <w:t xml:space="preserve"> </w:t>
      </w:r>
      <w:r>
        <w:t xml:space="preserve">with the corresponding amount of shading and with the top stoppered.</w:t>
      </w:r>
    </w:p>
    <w:p>
      <w:pPr>
        <w:pStyle w:val="BodyText"/>
      </w:pPr>
      <w:r>
        <w:t xml:space="preserve">Some additional data were taken,</w:t>
      </w:r>
      <w:r>
        <w:t xml:space="preserve"> </w:t>
      </w:r>
      <w:r>
        <w:t xml:space="preserve">including midges (tube counts and larvaal form sieved sediment)</w:t>
      </w:r>
      <w:r>
        <w:t xml:space="preserve"> </w:t>
      </w:r>
      <w:r>
        <w:t xml:space="preserve">and chlorophyll/phycocyanin from handheld probes and from filtration.</w:t>
      </w:r>
      <w:r>
        <w:t xml:space="preserve"> </w:t>
      </w:r>
      <w:r>
        <w:t xml:space="preserve">However, these data have some gaps and there are some weird anamolies in the chlorophyll data</w:t>
      </w:r>
      <w:r>
        <w:t xml:space="preserve"> </w:t>
      </w:r>
      <w:r>
        <w:t xml:space="preserve">(e.g., the hanheld and filtered measurements are not correlated,</w:t>
      </w:r>
      <w:r>
        <w:t xml:space="preserve"> </w:t>
      </w:r>
      <w:r>
        <w:t xml:space="preserve">even though we have independent confirmation from other data that they should be).</w:t>
      </w:r>
      <w:r>
        <w:t xml:space="preserve"> </w:t>
      </w:r>
      <w:r>
        <w:t xml:space="preserve">Therefore, I am not currently including those data in any analyses.</w:t>
      </w:r>
    </w:p>
    <w:bookmarkEnd w:id="20"/>
    <w:bookmarkStart w:id="21" w:name="fitting-the-pi-curves"/>
    <w:p>
      <w:pPr>
        <w:pStyle w:val="Heading1"/>
      </w:pPr>
      <w:r>
        <w:t xml:space="preserve">Fitting the PI curves</w:t>
      </w:r>
    </w:p>
    <w:p>
      <w:pPr>
        <w:pStyle w:val="FirstParagraph"/>
      </w:pPr>
      <w:r>
        <w:t xml:space="preserve">I fit a single model to the data for all sites and sampling dates,</w:t>
      </w:r>
      <w:r>
        <w:t xml:space="preserve"> </w:t>
      </w:r>
      <w:r>
        <w:t xml:space="preserve">done separately for the benthic and pelagic data.</w:t>
      </w:r>
      <w:r>
        <w:t xml:space="preserve"> </w:t>
      </w:r>
      <w:r>
        <w:t xml:space="preserve">While I fit the two zones separately,</w:t>
      </w:r>
      <w:r>
        <w:t xml:space="preserve"> </w:t>
      </w:r>
      <w:r>
        <w:t xml:space="preserve">I wanted to use a PI curve of the same form</w:t>
      </w:r>
      <w:r>
        <w:t xml:space="preserve"> </w:t>
      </w:r>
      <w:r>
        <w:t xml:space="preserve">so that the parameter estimates would be comparable.</w:t>
      </w:r>
      <w:r>
        <w:t xml:space="preserve"> </w:t>
      </w:r>
      <w:r>
        <w:t xml:space="preserve">The pelagic incubations showed clear signs of photoinhibition,</w:t>
      </w:r>
      <w:r>
        <w:t xml:space="preserve"> </w:t>
      </w:r>
      <w:r>
        <w:t xml:space="preserve">while the benthic did not.</w:t>
      </w:r>
      <w:r>
        <w:t xml:space="preserve"> </w:t>
      </w:r>
      <w:r>
        <w:t xml:space="preserve">Therefore, I fit the data with a two-parameter photoinhibition curve</w:t>
      </w:r>
      <w:r>
        <w:t xml:space="preserve"> </w:t>
      </w:r>
      <w:r>
        <w:t xml:space="preserve">(plus a parameter for respiration):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NEP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s</m:t>
              </m:r>
              <m:r>
                <m:t>(</m:t>
              </m:r>
              <m:r>
                <m:t>i</m:t>
              </m:r>
              <m:r>
                <m:t>)</m:t>
              </m:r>
            </m:sub>
          </m:sSub>
          <m:r>
            <m:t>×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rPr>
                          <m:nor/>
                          <m:sty m:val="p"/>
                        </m:rPr>
                        <m:t>PAR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ω</m:t>
                      </m:r>
                    </m:e>
                    <m:sub>
                      <m:r>
                        <m:t>s</m:t>
                      </m:r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b>
                  </m:sSub>
                </m:den>
              </m:f>
            </m:e>
          </m:d>
          <m:r>
            <m:t>×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rPr>
                          <m:nor/>
                          <m:sty m:val="p"/>
                        </m:rPr>
                        <m:t>PAR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ω</m:t>
                      </m:r>
                    </m:e>
                    <m:sub>
                      <m:r>
                        <m:t>s</m:t>
                      </m:r>
                      <m:r>
                        <m:t>[</m:t>
                      </m:r>
                      <m:r>
                        <m:t>i</m:t>
                      </m:r>
                      <m:r>
                        <m:t>]</m:t>
                      </m:r>
                    </m:sub>
                  </m:sSub>
                </m:den>
              </m:f>
            </m:e>
          </m:d>
          <m:r>
            <m:t>−</m:t>
          </m:r>
          <m:sSub>
            <m:e>
              <m:r>
                <m:t>ρ</m:t>
              </m:r>
            </m:e>
            <m:sub>
              <m:r>
                <m:t>s</m:t>
              </m:r>
              <m:r>
                <m:t>(</m:t>
              </m:r>
              <m:r>
                <m:t>i</m:t>
              </m:r>
              <m:r>
                <m:t>)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  <m:r>
              <m:t>(</m:t>
            </m:r>
            <m:r>
              <m:t>i</m:t>
            </m:r>
            <m:r>
              <m:t>)</m:t>
            </m:r>
          </m:sub>
        </m:sSub>
      </m:oMath>
      <w:r>
        <w:t xml:space="preserve"> </w:t>
      </w:r>
      <w:r>
        <w:t xml:space="preserve">is the maximum GPP,</w:t>
      </w:r>
      <w:r>
        <w:t xml:space="preserve"> </w:t>
      </w:r>
      <m:oMath>
        <m:sSub>
          <m:e>
            <m:r>
              <m:t>ω</m:t>
            </m:r>
          </m:e>
          <m:sub>
            <m:r>
              <m:t>s</m:t>
            </m:r>
            <m:r>
              <m:t>(</m:t>
            </m:r>
            <m:r>
              <m:t>i</m:t>
            </m:r>
            <m:r>
              <m:t>)</m:t>
            </m:r>
          </m:sub>
        </m:sSub>
      </m:oMath>
      <w:r>
        <w:t xml:space="preserve"> </w:t>
      </w:r>
      <w:r>
        <w:t xml:space="preserve">is the optimum PAR,</w:t>
      </w:r>
      <w:r>
        <w:t xml:space="preserve"> </w:t>
      </w:r>
      <m:oMath>
        <m:sSub>
          <m:e>
            <m:r>
              <m:t>ρ</m:t>
            </m:r>
          </m:e>
          <m:sub>
            <m:r>
              <m:t>s</m:t>
            </m:r>
            <m:r>
              <m:t>(</m:t>
            </m:r>
            <m:r>
              <m:t>i</m:t>
            </m:r>
            <m:r>
              <m:t>)</m:t>
            </m:r>
          </m:sub>
        </m:sSub>
      </m:oMath>
      <w:r>
        <w:t xml:space="preserve"> </w:t>
      </w:r>
      <w:r>
        <w:t xml:space="preserve">is respiration,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residual for observation</w:t>
      </w:r>
      <w:r>
        <w:t xml:space="preserve"> </w:t>
      </w:r>
      <m:oMath>
        <m:r>
          <m:t>i</m:t>
        </m:r>
      </m:oMath>
      <w:r>
        <w:t xml:space="preserve">.</w:t>
      </w:r>
      <w:r>
        <w:t xml:space="preserve"> </w:t>
      </w:r>
      <w:r>
        <w:t xml:space="preserve">The function</w:t>
      </w:r>
      <w:r>
        <w:t xml:space="preserve"> </w:t>
      </w:r>
      <m:oMath>
        <m:r>
          <m:t>s</m:t>
        </m:r>
        <m:r>
          <m:t>(</m:t>
        </m:r>
        <m:r>
          <m:t>i</m:t>
        </m:r>
        <m:r>
          <m:t>)</m:t>
        </m:r>
      </m:oMath>
      <w:r>
        <w:t xml:space="preserve"> </w:t>
      </w:r>
      <w:r>
        <w:t xml:space="preserve">maps observations to date-site combination</w:t>
      </w:r>
      <w:r>
        <w:t xml:space="preserve"> </w:t>
      </w:r>
      <m:oMath>
        <m:r>
          <m:t>j</m:t>
        </m:r>
      </m:oMath>
      <w:r>
        <w:t xml:space="preserve">,</w:t>
      </w:r>
      <w:r>
        <w:t xml:space="preserve"> </w:t>
      </w:r>
      <w:r>
        <w:t xml:space="preserve">such that a single PI curve is inferred for each.</w:t>
      </w:r>
    </w:p>
    <w:p>
      <w:pPr>
        <w:pStyle w:val="BodyText"/>
      </w:pPr>
      <w:r>
        <w:t xml:space="preserve">The optimum PAR</w:t>
      </w:r>
      <w:r>
        <w:t xml:space="preserve"> </w:t>
      </w:r>
      <m:oMath>
        <m:sSub>
          <m:e>
            <m:r>
              <m:t>ω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scales the rate at which the maximum GPP is reached</w:t>
      </w:r>
      <w:r>
        <w:t xml:space="preserve"> </w:t>
      </w:r>
      <w:r>
        <w:t xml:space="preserve">(with higher</w:t>
      </w:r>
      <w:r>
        <w:t xml:space="preserve"> </w:t>
      </w:r>
      <m:oMath>
        <m:sSub>
          <m:e>
            <m:r>
              <m:t>ω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corresopnding to a slower saturation).</w:t>
      </w:r>
      <w:r>
        <w:t xml:space="preserve"> </w:t>
      </w:r>
      <w:r>
        <w:t xml:space="preserve">This can be illustrated by calcualating the initial slope of the PI curve</w:t>
      </w:r>
      <w:r>
        <w:t xml:space="preserve"> </w:t>
      </w:r>
      <w:r>
        <w:t xml:space="preserve">(i.e.,</w:t>
      </w:r>
      <w:r>
        <w:t xml:space="preserve"> </w:t>
      </w:r>
      <w:r>
        <w:t xml:space="preserve">“</w:t>
      </w:r>
      <m:oMath>
        <m:r>
          <m:t>α</m:t>
        </m:r>
      </m:oMath>
      <w:r>
        <w:t xml:space="preserve">”</w:t>
      </w:r>
      <w:r>
        <w:t xml:space="preserve"> </w:t>
      </w:r>
      <w:r>
        <w:t xml:space="preserve">in the hyperbolic-tangent model):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rPr>
                  <m:nor/>
                  <m:sty m:val="p"/>
                </m:rPr>
                <m:t>PAR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sSub>
                <m:e>
                  <m:r>
                    <m:rPr>
                      <m:nor/>
                      <m:sty m:val="p"/>
                    </m:rPr>
                    <m:t>NEP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rPr>
                  <m:nor/>
                  <m:sty m:val="p"/>
                </m:rPr>
                <m:t>d</m:t>
              </m:r>
              <m:r>
                <m:rPr>
                  <m:nor/>
                  <m:sty m:val="p"/>
                </m:rPr>
                <m:t>PAR</m:t>
              </m:r>
            </m:den>
          </m:f>
          <m:r>
            <m:t>=</m:t>
          </m:r>
          <m:r>
            <m:t>e</m:t>
          </m:r>
          <m:r>
            <m:t>×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</m:num>
            <m:den>
              <m:sSub>
                <m:e>
                  <m:r>
                    <m:t>ω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base of the natural logarithm.</w:t>
      </w:r>
      <w:r>
        <w:t xml:space="preserve"> </w:t>
      </w:r>
      <w:r>
        <w:t xml:space="preserve">An important corollary of this point is that</w:t>
      </w:r>
      <w:r>
        <w:t xml:space="preserve"> </w:t>
      </w:r>
      <m:oMath>
        <m:sSub>
          <m:e>
            <m:r>
              <m:t>ω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a meaningful parameter</w:t>
      </w:r>
      <w:r>
        <w:t xml:space="preserve"> </w:t>
      </w:r>
      <w:r>
        <w:t xml:space="preserve">even if the observed PAR remains well below the optimum PAR.</w:t>
      </w:r>
      <w:r>
        <w:t xml:space="preserve"> </w:t>
      </w:r>
      <w:r>
        <w:t xml:space="preserve">An alternative would be to parameterize the model in terms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interpret the results in terms of this initial slope.</w:t>
      </w:r>
      <w:r>
        <w:t xml:space="preserve"> </w:t>
      </w:r>
      <w:r>
        <w:t xml:space="preserve">However, the reparameterized version makes the overall form of the curve</w:t>
      </w:r>
      <w:r>
        <w:t xml:space="preserve"> </w:t>
      </w:r>
      <w:r>
        <w:t xml:space="preserve">(and specifically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as the max GPP) less clear.</w:t>
      </w:r>
      <w:r>
        <w:t xml:space="preserve"> </w:t>
      </w:r>
      <w:r>
        <w:t xml:space="preserve">I also like that</w:t>
      </w:r>
      <w:r>
        <w:t xml:space="preserve"> </w:t>
      </w:r>
      <m:oMath>
        <m:sSub>
          <m:e>
            <m:r>
              <m:t>ω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has units of PAR,</w:t>
      </w:r>
      <w:r>
        <w:t xml:space="preserve"> </w:t>
      </w:r>
      <w:r>
        <w:t xml:space="preserve">which makes it easier to interpret its scale.</w:t>
      </w:r>
      <w:r>
        <w:t xml:space="preserve"> </w:t>
      </w:r>
      <w:r>
        <w:t xml:space="preserve">Below I discuss how this can be related to the half-saturation constant to help</w:t>
      </w:r>
      <w:r>
        <w:t xml:space="preserve"> </w:t>
      </w:r>
      <w:r>
        <w:t xml:space="preserve">compare my PI curve fits to Amanda’s</w:t>
      </w:r>
      <w:r>
        <w:t xml:space="preserve"> </w:t>
      </w:r>
      <w:r>
        <w:rPr>
          <w:i/>
        </w:rPr>
        <w:t xml:space="preserve">Inland Waters</w:t>
      </w:r>
      <w:r>
        <w:t xml:space="preserve"> </w:t>
      </w:r>
      <w:r>
        <w:t xml:space="preserve">paper.</w:t>
      </w:r>
    </w:p>
    <w:p>
      <w:pPr>
        <w:pStyle w:val="BodyText"/>
      </w:pPr>
      <w:r>
        <w:t xml:space="preserve">Variation in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was modeled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=</m:t>
          </m:r>
          <m:sSub>
            <m:e>
              <m:r>
                <m:t>γ</m:t>
              </m:r>
            </m:e>
            <m:sub>
              <m:r>
                <m:t>β</m:t>
              </m:r>
            </m:sub>
          </m:sSub>
          <m:r>
            <m:t>×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σ</m:t>
                  </m:r>
                </m:e>
                <m:sub>
                  <m:r>
                    <m:t>β</m:t>
                  </m:r>
                </m:sub>
              </m:sSub>
              <m:r>
                <m:t>×</m:t>
              </m:r>
              <m:sSub>
                <m:e>
                  <m:r>
                    <m:t>Z</m:t>
                  </m:r>
                </m:e>
                <m:sub>
                  <m:r>
                    <m:t>β</m:t>
                  </m:r>
                  <m:r>
                    <m:t>,</m:t>
                  </m:r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Z</m:t>
            </m:r>
          </m:e>
          <m:sub>
            <m:r>
              <m:t>β</m:t>
            </m:r>
            <m: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is a standard-normal deviate for site-date combination</w:t>
      </w:r>
      <w:r>
        <w:t xml:space="preserve"> </w:t>
      </w:r>
      <m:oMath>
        <m:r>
          <m:t>j</m:t>
        </m:r>
      </m:oMath>
      <w:r>
        <w:t xml:space="preserve">.</w:t>
      </w:r>
      <w:r>
        <w:t xml:space="preserve"> </w:t>
      </w:r>
      <w:r>
        <w:t xml:space="preserve">This is the same as modeling variation in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as following a</w:t>
      </w:r>
      <w:r>
        <w:t xml:space="preserve"> </w:t>
      </w:r>
      <w:r>
        <w:t xml:space="preserve">lognormal distribution,</w:t>
      </w:r>
      <w:r>
        <w:t xml:space="preserve"> </w:t>
      </w:r>
      <w:r>
        <w:t xml:space="preserve">with log-scale mean</w:t>
      </w:r>
      <w:r>
        <w:t xml:space="preserve"> </w:t>
      </w:r>
      <m:oMath>
        <m:sSub>
          <m:e>
            <m:r>
              <m:t>μ</m:t>
            </m:r>
          </m:e>
          <m:sub>
            <m:r>
              <m:t>β</m:t>
            </m:r>
          </m:sub>
        </m:sSub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sSub>
              <m:e>
                <m:r>
                  <m:t>γ</m:t>
                </m:r>
              </m:e>
              <m:sub>
                <m:r>
                  <m:t>β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β</m:t>
            </m:r>
          </m:sub>
        </m:sSub>
      </m:oMath>
      <w:r>
        <w:t xml:space="preserve">.</w:t>
      </w:r>
      <w:r>
        <w:t xml:space="preserve"> </w:t>
      </w:r>
      <w:r>
        <w:t xml:space="preserve">This parameterization makes clear that</w:t>
      </w:r>
      <w:r>
        <w:t xml:space="preserve"> </w:t>
      </w:r>
      <m:oMath>
        <m:sSub>
          <m:e>
            <m:r>
              <m:t>σ</m:t>
            </m:r>
          </m:e>
          <m:sub>
            <m:r>
              <m:t>β</m:t>
            </m:r>
          </m:sub>
        </m:sSub>
      </m:oMath>
      <w:r>
        <w:t xml:space="preserve"> </w:t>
      </w:r>
      <w:r>
        <w:t xml:space="preserve">can be interpreted as scaling proportional deviations</w:t>
      </w:r>
      <w:r>
        <w:t xml:space="preserve"> </w:t>
      </w:r>
      <w:r>
        <w:t xml:space="preserve">with respect to a reference scale</w:t>
      </w:r>
      <w:r>
        <w:t xml:space="preserve"> </w:t>
      </w:r>
      <m:oMath>
        <m:sSub>
          <m:e>
            <m:r>
              <m:t>γ</m:t>
            </m:r>
          </m:e>
          <m:sub>
            <m:r>
              <m:t>β</m:t>
            </m:r>
          </m:sub>
        </m:sSub>
      </m:oMath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m:oMath>
        <m:sSub>
          <m:e>
            <m:r>
              <m:t>σ</m:t>
            </m:r>
          </m:e>
          <m:sub>
            <m:r>
              <m:t>β</m:t>
            </m:r>
          </m:sub>
        </m:sSub>
        <m:r>
          <m:t>=</m:t>
        </m:r>
        <m:r>
          <m:t>0.5</m:t>
        </m:r>
      </m:oMath>
      <w:r>
        <w:t xml:space="preserve"> </w:t>
      </w:r>
      <w:r>
        <w:t xml:space="preserve">implies that a 1-standard deviation change on the log scale would result in</w:t>
      </w:r>
      <w:r>
        <w:t xml:space="preserve"> </w:t>
      </w:r>
      <w:r>
        <w:t xml:space="preserve">an increase of 65% or decrease of 60% on the natural scale.</w:t>
      </w:r>
      <w:r>
        <w:t xml:space="preserve"> </w:t>
      </w:r>
      <w:r>
        <w:t xml:space="preserve">Variation in</w:t>
      </w:r>
      <w:r>
        <w:t xml:space="preserve"> </w:t>
      </w:r>
      <m:oMath>
        <m:sSub>
          <m:e>
            <m:r>
              <m:t>ω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ρ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was modeled analagously,</w:t>
      </w:r>
      <w:r>
        <w:t xml:space="preserve"> </w:t>
      </w:r>
      <w:r>
        <w:t xml:space="preserve">with parameters</w:t>
      </w:r>
      <w:r>
        <w:t xml:space="preserve"> </w:t>
      </w:r>
      <m:oMath>
        <m:sSub>
          <m:e>
            <m:r>
              <m:t>μ</m:t>
            </m:r>
          </m:e>
          <m:sub>
            <m:r>
              <m:t>ω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ω</m:t>
            </m:r>
          </m:sub>
        </m:sSub>
      </m:oMath>
      <w:r>
        <w:t xml:space="preserve"> </w:t>
      </w:r>
      <w:r>
        <w:t xml:space="preserve">for the former;</w:t>
      </w:r>
      <w:r>
        <w:t xml:space="preserve"> </w:t>
      </w:r>
      <w:r>
        <w:t xml:space="preserve">and</w:t>
      </w:r>
      <w:r>
        <w:t xml:space="preserve"> </w:t>
      </w:r>
      <w:r>
        <w:t xml:space="preserve">$\mu_{\rho\right}$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ρ</m:t>
            </m:r>
          </m:sub>
        </m:sSub>
      </m:oMath>
      <w:r>
        <w:t xml:space="preserve"> </w:t>
      </w:r>
      <w:r>
        <w:t xml:space="preserve">for the latter.</w:t>
      </w:r>
      <w:r>
        <w:t xml:space="preserve"> </w:t>
      </w:r>
      <w:r>
        <w:t xml:space="preserve">Because the standard deviations characterize proportional deviations</w:t>
      </w:r>
      <w:r>
        <w:t xml:space="preserve"> </w:t>
      </w:r>
      <w:r>
        <w:t xml:space="preserve">with respect to some reference scale,</w:t>
      </w:r>
      <w:r>
        <w:t xml:space="preserve"> </w:t>
      </w:r>
      <w:r>
        <w:t xml:space="preserve">they are directly comparable to each other,</w:t>
      </w:r>
      <w:r>
        <w:t xml:space="preserve"> </w:t>
      </w:r>
      <w:r>
        <w:t xml:space="preserve">despite the fact that</w:t>
      </w:r>
      <w:r>
        <w:t xml:space="preserve"> </w:t>
      </w:r>
      <m:oMath>
        <m:sSub>
          <m:e>
            <m:r>
              <m:t>ω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has different units than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ρ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I z-scored the aeral DO flux data and divided PAR by its mean across the full data set</w:t>
      </w:r>
      <w:r>
        <w:t xml:space="preserve"> </w:t>
      </w:r>
      <w:r>
        <w:t xml:space="preserve">for each zone prior to fitting the model.</w:t>
      </w:r>
      <w:r>
        <w:t xml:space="preserve"> </w:t>
      </w:r>
      <w:r>
        <w:t xml:space="preserve">I then back-scaled the parameters accordingly.</w:t>
      </w:r>
      <w:r>
        <w:t xml:space="preserve"> </w:t>
      </w:r>
      <w:r>
        <w:t xml:space="preserve">I fit the models using Bayesian approach in Stan 2.19,</w:t>
      </w:r>
      <w:r>
        <w:t xml:space="preserve"> </w:t>
      </w:r>
      <w:r>
        <w:t xml:space="preserve">run in R 4.0.3 usin the</w:t>
      </w:r>
      <w:r>
        <w:t xml:space="preserve"> </w:t>
      </w:r>
      <w:r>
        <w:rPr>
          <w:rStyle w:val="VerbatimChar"/>
        </w:rPr>
        <w:t xml:space="preserve">rstan</w:t>
      </w:r>
      <w:r>
        <w:t xml:space="preserve"> </w:t>
      </w:r>
      <w:r>
        <w:t xml:space="preserve">package.</w:t>
      </w:r>
      <w:r>
        <w:t xml:space="preserve"> </w:t>
      </w:r>
      <w:r>
        <w:t xml:space="preserve">The model was fit with 4 chains,</w:t>
      </w:r>
      <w:r>
        <w:t xml:space="preserve"> </w:t>
      </w:r>
      <w:r>
        <w:t xml:space="preserve">3000 iterations (1500 of warm-up and 150 of sampling),</w:t>
      </w:r>
      <w:r>
        <w:t xml:space="preserve"> </w:t>
      </w:r>
      <w:r>
        <w:t xml:space="preserve">tree depth of 11, and</w:t>
      </w:r>
      <w:r>
        <w:t xml:space="preserve"> </w:t>
      </w:r>
      <w:r>
        <w:t xml:space="preserve">“</w:t>
      </w:r>
      <w:r>
        <w:t xml:space="preserve">adapt delta</w:t>
      </w:r>
      <w:r>
        <w:t xml:space="preserve">”</w:t>
      </w:r>
      <w:r>
        <w:t xml:space="preserve"> </w:t>
      </w:r>
      <w:r>
        <w:t xml:space="preserve">of 0.975.</w:t>
      </w:r>
      <w:r>
        <w:t xml:space="preserve"> </w:t>
      </w:r>
      <w:r>
        <w:t xml:space="preserve">Convergence was assessed by the number of divergent transitions</w:t>
      </w:r>
      <w:r>
        <w:t xml:space="preserve"> </w:t>
      </w:r>
      <w:r>
        <w:t xml:space="preserve">and the potential scale reduction factor (R̂),</w:t>
      </w:r>
      <w:r>
        <w:t xml:space="preserve"> </w:t>
      </w:r>
      <w:r>
        <w:t xml:space="preserve">which quantifies the relative variance within and between chains.</w:t>
      </w:r>
      <w:r>
        <w:t xml:space="preserve"> </w:t>
      </w:r>
      <w:r>
        <w:t xml:space="preserve">We used posterior medians as point estimates</w:t>
      </w:r>
      <w:r>
        <w:t xml:space="preserve"> </w:t>
      </w:r>
      <w:r>
        <w:t xml:space="preserve">and quantile-based uncertainty intervals</w:t>
      </w:r>
      <w:r>
        <w:t xml:space="preserve"> </w:t>
      </w:r>
      <w:r>
        <w:t xml:space="preserve">with coverage analogous to standard errors</w:t>
      </w:r>
      <w:r>
        <w:t xml:space="preserve"> </w:t>
      </w:r>
      <w:r>
        <w:t xml:space="preserve">(16% and 84% quantiles for 68% coverage).</w:t>
      </w:r>
      <w:r>
        <w:t xml:space="preserve"> </w:t>
      </w:r>
      <w:r>
        <w:t xml:space="preserve">The model used standard-normal priors for the means of the lognormal distributions</w:t>
      </w:r>
      <w:r>
        <w:t xml:space="preserve"> </w:t>
      </w:r>
      <w:r>
        <w:t xml:space="preserve">and Gamma priors with 1.5 and scale parameter 0.75 for all standard deviations.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photoinhibition model fit both the pelagic and benthic data well</w:t>
      </w:r>
      <w:r>
        <w:t xml:space="preserve"> </w:t>
      </w:r>
      <w:r>
        <w:t xml:space="preserve">(Figures</w:t>
      </w:r>
      <w:r>
        <w:t xml:space="preserve"> </w:t>
      </w:r>
      <w:hyperlink w:anchor="fig:nep-pel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w:anchor="fig:nep-ben">
        <w:r>
          <w:rPr>
            <w:rStyle w:val="Hyperlink"/>
          </w:rPr>
          <w:t xml:space="preserve">2</w:t>
        </w:r>
      </w:hyperlink>
      <w:r>
        <w:t xml:space="preserve">).</w:t>
      </w:r>
      <w:r>
        <w:t xml:space="preserve"> </w:t>
      </w:r>
      <w:r>
        <w:t xml:space="preserve">Benthic GPP was clearly detected for all date-site combintions,</w:t>
      </w:r>
      <w:r>
        <w:t xml:space="preserve"> </w:t>
      </w:r>
      <w:r>
        <w:t xml:space="preserve">while for several dates in both the North and South basins GPP was very low</w:t>
      </w:r>
      <w:r>
        <w:t xml:space="preserve"> </w:t>
      </w:r>
      <w:r>
        <w:t xml:space="preserve">across all light levels.</w:t>
      </w:r>
      <w:r>
        <w:t xml:space="preserve"> </w:t>
      </w:r>
      <w:r>
        <w:t xml:space="preserve">For those date-site combinations that did have substantial pelagic GPP,</w:t>
      </w:r>
      <w:r>
        <w:t xml:space="preserve"> </w:t>
      </w:r>
      <w:r>
        <w:t xml:space="preserve">there was evidence of modest photoinhibition.</w:t>
      </w:r>
      <w:r>
        <w:t xml:space="preserve"> </w:t>
      </w:r>
      <w:r>
        <w:t xml:space="preserve">In contrast, benthic GPP did not appear to be photoinhibited on any sample dates.</w:t>
      </w:r>
    </w:p>
    <w:p>
      <w:pPr>
        <w:pStyle w:val="BodyText"/>
      </w:pPr>
      <w:r>
        <w:t xml:space="preserve">For the pelagic PI curves,</w:t>
      </w:r>
      <w:r>
        <w:t xml:space="preserve"> </w:t>
      </w:r>
      <w:r>
        <w:t xml:space="preserve">maximum GPP varied substantially through time in both the North and South basins</w:t>
      </w:r>
      <w:r>
        <w:t xml:space="preserve"> </w:t>
      </w:r>
      <w:r>
        <w:t xml:space="preserve">(Figures</w:t>
      </w:r>
      <w:r>
        <w:t xml:space="preserve"> </w:t>
      </w:r>
      <w:hyperlink w:anchor="fig:pa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and</w:t>
      </w:r>
      <w:r>
        <w:t xml:space="preserve"> </w:t>
      </w:r>
      <w:hyperlink w:anchor="fig:sd">
        <w:r>
          <w:rPr>
            <w:rStyle w:val="Hyperlink"/>
          </w:rPr>
          <w:t xml:space="preserve">4</w:t>
        </w:r>
      </w:hyperlink>
      <w:r>
        <w:t xml:space="preserve">)</w:t>
      </w:r>
      <w:r>
        <w:t xml:space="preserve"> </w:t>
      </w:r>
      <w:r>
        <w:t xml:space="preserve">broadly corresponding to increases in water-column cyanobactera</w:t>
      </w:r>
      <w:r>
        <w:t xml:space="preserve"> </w:t>
      </w:r>
      <w:r>
        <w:t xml:space="preserve">[data not shown, but it would be good to do so I think].</w:t>
      </w:r>
      <w:r>
        <w:t xml:space="preserve"> </w:t>
      </w:r>
      <w:r>
        <w:t xml:space="preserve">However, pelagic optimum PAR and respiration were very similar between basins</w:t>
      </w:r>
      <w:r>
        <w:t xml:space="preserve"> </w:t>
      </w:r>
      <w:r>
        <w:t xml:space="preserve">and remained quite stable through time.</w:t>
      </w:r>
    </w:p>
    <w:p>
      <w:pPr>
        <w:pStyle w:val="BodyText"/>
      </w:pPr>
      <w:r>
        <w:t xml:space="preserve">Optimum PAR and respiration remained largely</w:t>
      </w:r>
    </w:p>
    <w:p>
      <w:pPr>
        <w:pStyle w:val="BodyText"/>
      </w:pPr>
      <w:r>
        <w:t xml:space="preserve">All date-site combinations had clearaly benthic GPP,</w:t>
      </w:r>
      <w:r>
        <w:t xml:space="preserve"> </w:t>
      </w:r>
      <w:r>
        <w:t xml:space="preserve">and this was true for most</w:t>
      </w:r>
    </w:p>
    <w:p>
      <w:pPr>
        <w:pStyle w:val="BodyText"/>
      </w:pPr>
      <w:r>
        <w:t xml:space="preserve">In the pelagic incubatins, several dates in both the North and South basins</w:t>
      </w:r>
      <w:r>
        <w:t xml:space="preserve"> </w:t>
      </w:r>
      <w:r>
        <w:t xml:space="preserve">had negilible GPP across all light levels.</w:t>
      </w:r>
      <w:r>
        <w:t xml:space="preserve"> </w:t>
      </w:r>
      <w:r>
        <w:t xml:space="preserve">However,</w:t>
      </w:r>
    </w:p>
    <w:p>
      <w:pPr>
        <w:pStyle w:val="BodyText"/>
      </w:pPr>
      <w:r>
        <w:t xml:space="preserve">In contrast, there were other dates in both basins where</w:t>
      </w:r>
    </w:p>
    <w:p>
      <w:pPr>
        <w:pStyle w:val="BodyText"/>
      </w:pPr>
      <w:r>
        <w:t xml:space="preserve">The pelagic PI curves appear to show much variation in the maximum GPP,</w:t>
      </w:r>
      <w:r>
        <w:t xml:space="preserve"> </w:t>
      </w:r>
      <w:r>
        <w:t xml:space="preserve">with some sample dates in both the North and South basins having negligible GPP</w:t>
      </w:r>
      <w:r>
        <w:t xml:space="preserve"> </w:t>
      </w:r>
      <w:r>
        <w:t xml:space="preserve">across all light levels.</w:t>
      </w:r>
      <w:r>
        <w:t xml:space="preserve"> </w:t>
      </w:r>
      <w:r>
        <w:t xml:space="preserve">Other sample dates have substantial GPP peaking at a level well below the observed maximum,</w:t>
      </w:r>
      <w:r>
        <w:t xml:space="preserve"> </w:t>
      </w:r>
      <w:r>
        <w:t xml:space="preserve">and therefore have indications of photoinhibition.</w:t>
      </w:r>
      <w:r>
        <w:t xml:space="preserve"> </w:t>
      </w:r>
      <w:r>
        <w:t xml:space="preserve">The benthic PI curves appear to have less variation in overall net metabolism</w:t>
      </w:r>
      <w:r>
        <w:t xml:space="preserve"> </w:t>
      </w:r>
      <w:r>
        <w:t xml:space="preserve">and there seems to be little evidence of photoinhibition.</w:t>
      </w:r>
    </w:p>
    <w:p>
      <w:pPr>
        <w:pStyle w:val="BodyText"/>
      </w:pPr>
      <w:r>
        <w:t xml:space="preserve">These general impressions are supported by the parameter esimtates.</w:t>
      </w:r>
      <w:r>
        <w:t xml:space="preserve"> </w:t>
      </w:r>
      <w:r>
        <w:t xml:space="preserve">Optimum PAR remains fairly consistent through time and among locations</w:t>
      </w:r>
      <w:r>
        <w:t xml:space="preserve"> </w:t>
      </w:r>
      <w:r>
        <w:t xml:space="preserve">for both the pelagic and benthic incubations,</w:t>
      </w:r>
      <w:r>
        <w:t xml:space="preserve"> </w:t>
      </w:r>
      <w:r>
        <w:t xml:space="preserve">with the main exception being benthic production in August 2019 in the East Basin.</w:t>
      </w:r>
      <w:r>
        <w:t xml:space="preserve"> </w:t>
      </w:r>
      <w:r>
        <w:t xml:space="preserve">Max GPP is more variable, especially for the pelagic incubations.</w:t>
      </w:r>
      <w:r>
        <w:t xml:space="preserve"> </w:t>
      </w:r>
      <w:r>
        <w:t xml:space="preserve">The large changes in pelagic GPP correspond pretty clearly with</w:t>
      </w:r>
      <w:r>
        <w:t xml:space="preserve"> </w:t>
      </w:r>
      <w:r>
        <w:t xml:space="preserve">the presence of cyanobacterial blooms</w:t>
      </w:r>
      <w:r>
        <w:t xml:space="preserve"> </w:t>
      </w:r>
      <w:r>
        <w:t xml:space="preserve">(as mentioned above, it would be good to back this up with observational data of the bloom).</w:t>
      </w:r>
      <w:r>
        <w:t xml:space="preserve"> </w:t>
      </w:r>
      <w:r>
        <w:t xml:space="preserve">Max GPP for the benthic incubations was relatively stable by comparison.</w:t>
      </w:r>
      <w:r>
        <w:t xml:space="preserve"> </w:t>
      </w:r>
      <w:r>
        <w:t xml:space="preserve">In contrast, respiration was fairly consistent for the pelagic incubations,</w:t>
      </w:r>
      <w:r>
        <w:t xml:space="preserve"> </w:t>
      </w:r>
      <w:r>
        <w:t xml:space="preserve">while for the benthic incubations it was much higher in August of 2019</w:t>
      </w:r>
      <w:r>
        <w:t xml:space="preserve"> </w:t>
      </w:r>
      <w:r>
        <w:t xml:space="preserve">(which is driven by low observed NEPs, as seen in Figure</w:t>
      </w:r>
      <w:r>
        <w:t xml:space="preserve"> </w:t>
      </w:r>
      <w:hyperlink w:anchor="fig:nep-ben">
        <w:r>
          <w:rPr>
            <w:rStyle w:val="Hyperlink"/>
          </w:rPr>
          <w:t xml:space="preserve">2</w:t>
        </w:r>
      </w:hyperlink>
      <w:r>
        <w:t xml:space="preserve">).</w:t>
      </w:r>
      <w:r>
        <w:t xml:space="preserve"> </w:t>
      </w:r>
      <w:r>
        <w:t xml:space="preserve">I don’t have an easy explanation for this;</w:t>
      </w:r>
      <w:r>
        <w:t xml:space="preserve"> </w:t>
      </w:r>
      <w:r>
        <w:t xml:space="preserve">the most obvious explanation would be temperature,</w:t>
      </w:r>
      <w:r>
        <w:t xml:space="preserve"> </w:t>
      </w:r>
      <w:r>
        <w:t xml:space="preserve">but there really isn’t a clear association in the data.</w:t>
      </w:r>
    </w:p>
    <w:p>
      <w:pPr>
        <w:pStyle w:val="BodyText"/>
      </w:pPr>
      <w:r>
        <w:t xml:space="preserve">The relative variation implied by the standard deviations (Figure</w:t>
      </w:r>
      <w:r>
        <w:t xml:space="preserve"> </w:t>
      </w:r>
      <w:hyperlink w:anchor="fig:sd">
        <w:r>
          <w:rPr>
            <w:rStyle w:val="Hyperlink"/>
          </w:rPr>
          <w:t xml:space="preserve">4</w:t>
        </w:r>
      </w:hyperlink>
      <w:r>
        <w:t xml:space="preserve">)</w:t>
      </w:r>
      <w:r>
        <w:t xml:space="preserve"> </w:t>
      </w:r>
      <w:r>
        <w:t xml:space="preserve">supports the interpretations described above.</w:t>
      </w:r>
      <w:r>
        <w:t xml:space="preserve"> </w:t>
      </w:r>
      <w:r>
        <w:t xml:space="preserve">Variation in pptimum PAR was similar for benthic and pelagic production.</w:t>
      </w:r>
    </w:p>
    <w:p>
      <w:pPr>
        <w:pStyle w:val="BodyText"/>
      </w:pPr>
      <w:r>
        <w:t xml:space="preserve">To quantify the relative variation among sites and among sampling dates (i.e., within sites),</w:t>
      </w:r>
      <w:r>
        <w:t xml:space="preserve"> </w:t>
      </w:r>
      <w:r>
        <w:t xml:space="preserve">I used ANOVA to calculate F ratios of between vs. within site variation</w:t>
      </w:r>
      <w:r>
        <w:t xml:space="preserve"> </w:t>
      </w:r>
      <w:r>
        <w:t xml:space="preserve">in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ω</m:t>
            </m:r>
          </m:e>
          <m:sub>
            <m:r>
              <m:t>j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ρ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on a log scale.</w:t>
      </w:r>
      <w:r>
        <w:t xml:space="preserve"> </w:t>
      </w:r>
      <w:r>
        <w:t xml:space="preserve">Moreoever, I report the log F ratio, which is symmetrical about 0 with 0 indicating equal variance within and between sites.</w:t>
      </w:r>
      <w:r>
        <w:t xml:space="preserve"> </w:t>
      </w:r>
      <w:r>
        <w:t xml:space="preserve">I performed this calculation across the full posterior distirbutions for the parameters,</w:t>
      </w:r>
      <w:r>
        <w:t xml:space="preserve"> </w:t>
      </w:r>
      <w:r>
        <w:t xml:space="preserve">resulting in a posterior distribution of log F ratios.</w:t>
      </w:r>
      <w:r>
        <w:t xml:space="preserve"> </w:t>
      </w:r>
      <w:r>
        <w:t xml:space="preserve">For all but one parameter, the log F ratios were less than zero,</w:t>
      </w:r>
      <w:r>
        <w:t xml:space="preserve"> </w:t>
      </w:r>
      <w:r>
        <w:t xml:space="preserve">indicating greater variation among sampling dates (i.e., within sites) than among sites</w:t>
      </w:r>
      <w:r>
        <w:t xml:space="preserve"> </w:t>
      </w:r>
      <w:r>
        <w:t xml:space="preserve">(Figure</w:t>
      </w:r>
      <w:r>
        <w:t xml:space="preserve"> </w:t>
      </w:r>
      <w:hyperlink w:anchor="fig:var">
        <w:r>
          <w:rPr>
            <w:rStyle w:val="Hyperlink"/>
          </w:rPr>
          <w:t xml:space="preserve">5</w:t>
        </w:r>
      </w:hyperlink>
      <w:r>
        <w:t xml:space="preserve">).</w:t>
      </w:r>
      <w:r>
        <w:t xml:space="preserve"> </w:t>
      </w:r>
      <w:r>
        <w:t xml:space="preserve">The two F ratios most clearly below zero, pelagic max GPP and benthic respiration,</w:t>
      </w:r>
      <w:r>
        <w:t xml:space="preserve"> </w:t>
      </w:r>
      <w:r>
        <w:t xml:space="preserve">correspond to the two parameters with the greatest overall level of variability</w:t>
      </w:r>
      <w:r>
        <w:t xml:space="preserve"> </w:t>
      </w:r>
      <w:r>
        <w:t xml:space="preserve">(Figure</w:t>
      </w:r>
      <w:r>
        <w:t xml:space="preserve"> </w:t>
      </w:r>
      <w:hyperlink w:anchor="fig:sd">
        <w:r>
          <w:rPr>
            <w:rStyle w:val="Hyperlink"/>
          </w:rPr>
          <w:t xml:space="preserve">4</w:t>
        </w:r>
      </w:hyperlink>
      <w:r>
        <w:t xml:space="preserve">).</w:t>
      </w:r>
      <w:r>
        <w:t xml:space="preserve"> </w:t>
      </w:r>
      <w:r>
        <w:t xml:space="preserve">Together, these results indicate that variation in parameters of the pelagic and benthic PI curves was greater between time points than between sites, although the overall levels</w:t>
      </w:r>
      <w:r>
        <w:t xml:space="preserve"> </w:t>
      </w:r>
      <w:r>
        <w:t xml:space="preserve">of variation wer generally comparable.</w:t>
      </w:r>
    </w:p>
    <w:bookmarkEnd w:id="22"/>
    <w:bookmarkStart w:id="38" w:name="Xbc9a3940d12104c77eeb4dbbff11418e874f906"/>
    <w:p>
      <w:pPr>
        <w:pStyle w:val="Heading1"/>
      </w:pPr>
      <w:r>
        <w:t xml:space="preserve">Comparison to Amanda’s</w:t>
      </w:r>
      <w:r>
        <w:t xml:space="preserve"> </w:t>
      </w:r>
      <w:r>
        <w:rPr>
          <w:i/>
        </w:rPr>
        <w:t xml:space="preserve">Inland Waters</w:t>
      </w:r>
      <w:r>
        <w:t xml:space="preserve"> </w:t>
      </w:r>
      <w:r>
        <w:t xml:space="preserve">paper</w:t>
      </w:r>
    </w:p>
    <w:p>
      <w:pPr>
        <w:pStyle w:val="FirstParagraph"/>
      </w:pPr>
      <w:r>
        <w:t xml:space="preserve">The half saturation constant for equation</w:t>
      </w:r>
      <w:r>
        <w:t xml:space="preserve"> </w:t>
      </w:r>
      <w:hyperlink w:anchor="eq:pi-curve">
        <w:r>
          <w:rPr>
            <w:rStyle w:val="Hyperlink"/>
          </w:rPr>
          <w:t xml:space="preserve">[eq:pi-curve]</w:t>
        </w:r>
      </w:hyperlink>
      <w:r>
        <w:t xml:space="preserve"> </w:t>
      </w:r>
      <w:r>
        <w:t xml:space="preserve">is given by solving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ω</m:t>
                  </m:r>
                </m:den>
              </m:f>
            </m:e>
          </m:d>
          <m:r>
            <m:t>×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ω</m:t>
                  </m:r>
                </m:den>
              </m:f>
            </m:e>
          </m:d>
          <m: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t>&lt;</m:t>
        </m:r>
        <m:r>
          <m:t>K</m:t>
        </m:r>
        <m:r>
          <m:t>&lt;</m:t>
        </m:r>
        <m:r>
          <m:t>ω</m:t>
        </m:r>
      </m:oMath>
      <w:r>
        <w:t xml:space="preserve">, which yields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=</m:t>
          </m:r>
          <m:r>
            <m:t>−</m:t>
          </m:r>
          <m:r>
            <m:t>ω</m:t>
          </m:r>
          <m:r>
            <m:t> </m:t>
          </m:r>
          <m:r>
            <m:t>W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0.5</m:t>
              </m:r>
              <m:r>
                <m:t>/</m:t>
              </m:r>
              <m:r>
                <m:t>e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is the product log function.</w:t>
      </w:r>
      <w:r>
        <w:t xml:space="preserve"> </w:t>
      </w:r>
      <w:r>
        <w:t xml:space="preserve">This cannot be expressed in terms of elementary functions,</w:t>
      </w:r>
      <w:r>
        <w:t xml:space="preserve"> </w:t>
      </w:r>
      <w:r>
        <w:t xml:space="preserve">but approximately evaluates as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≈</m:t>
          </m:r>
          <m:r>
            <m:t>0.231961</m:t>
          </m:r>
          <m:r>
            <m:t> </m:t>
          </m:r>
          <m:r>
            <m:t>ω</m:t>
          </m:r>
        </m:oMath>
      </m:oMathPara>
    </w:p>
    <w:p>
      <w:pPr>
        <w:pStyle w:val="FirstParagraph"/>
      </w:pPr>
      <w:r>
        <w:t xml:space="preserve">To provide further context, we can make approximations by analogy to the</w:t>
      </w:r>
      <w:r>
        <w:t xml:space="preserve"> </w:t>
      </w:r>
      <w:r>
        <w:t xml:space="preserve">hyperbolic tangent and Michaelis-mention PI curves,</w:t>
      </w:r>
      <w:r>
        <w:t xml:space="preserve"> </w:t>
      </w:r>
      <w:r>
        <w:t xml:space="preserve">which have analytical expression for the half-saturation constant.</w:t>
      </w:r>
      <w:r>
        <w:t xml:space="preserve"> </w:t>
      </w:r>
      <w:r>
        <w:t xml:space="preserve">For the hyperbolic tangeent, the half-saturation constant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rPr>
                  <m:nor/>
                  <m:sty m:val="p"/>
                </m:rPr>
                <m:t>tanh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β</m:t>
              </m:r>
            </m:num>
            <m:den>
              <m:r>
                <m:t>α</m:t>
              </m:r>
            </m:den>
          </m:f>
          <m:sSup>
            <m:e>
              <m:r>
                <m:rPr>
                  <m:nor/>
                  <m:sty m:val="p"/>
                </m:rPr>
                <m:t>tanh</m:t>
              </m:r>
            </m:e>
            <m:sup>
              <m: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r>
                <m:t>0.5</m:t>
              </m:r>
            </m:e>
          </m:d>
        </m:oMath>
      </m:oMathPara>
    </w:p>
    <w:p>
      <w:pPr>
        <w:pStyle w:val="FirstParagraph"/>
      </w:pPr>
      <w:r>
        <w:t xml:space="preserve">If we substitute in the exprssion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from equation</w:t>
      </w:r>
      <w:r>
        <w:t xml:space="preserve"> </w:t>
      </w:r>
      <w:hyperlink w:anchor="eq:alpha">
        <w:r>
          <w:rPr>
            <w:rStyle w:val="Hyperlink"/>
          </w:rPr>
          <w:t xml:space="preserve">[eq:alpha]</w:t>
        </w:r>
      </w:hyperlink>
      <w:r>
        <w:t xml:space="preserve">,</w:t>
      </w:r>
      <w:r>
        <w:t xml:space="preserve"> </w:t>
      </w:r>
      <w:r>
        <w:t xml:space="preserve">we obtain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rPr>
                  <m:nor/>
                  <m:sty m:val="p"/>
                </m:rPr>
                <m:t>tanh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ω</m:t>
              </m:r>
            </m:num>
            <m:den>
              <m:r>
                <m:t>e</m:t>
              </m:r>
            </m:den>
          </m:f>
          <m:sSup>
            <m:e>
              <m:r>
                <m:rPr>
                  <m:nor/>
                  <m:sty m:val="p"/>
                </m:rPr>
                <m:t>tanh</m:t>
              </m:r>
            </m:e>
            <m:sup>
              <m: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r>
                <m:t>0.5</m:t>
              </m:r>
            </m:e>
          </m:d>
          <m:r>
            <m:t>=</m:t>
          </m:r>
          <m:r>
            <m:t>0.2020784</m:t>
          </m:r>
          <m:r>
            <m:t> </m:t>
          </m:r>
          <m:r>
            <m:t>ω</m:t>
          </m:r>
        </m:oMath>
      </m:oMathPara>
    </w:p>
    <w:p>
      <w:pPr>
        <w:pStyle w:val="FirstParagraph"/>
      </w:pPr>
      <w:r>
        <w:t xml:space="preserve">Suppose the half saturation constant for the Michaelis-Mention PI curve is</w:t>
      </w:r>
      <w:r>
        <w:t xml:space="preserve"> </w:t>
      </w:r>
      <m:oMath>
        <m:sSub>
          <m:e>
            <m:r>
              <m:t>K</m:t>
            </m:r>
          </m:e>
          <m:sub>
            <m:r>
              <m:rPr>
                <m:nor/>
                <m:sty m:val="p"/>
              </m:rPr>
              <m:t>MM</m:t>
            </m:r>
          </m:sub>
        </m:sSub>
      </m:oMath>
      <w:r>
        <w:t xml:space="preserve">.</w:t>
      </w:r>
      <w:r>
        <w:t xml:space="preserve"> </w:t>
      </w:r>
      <w:r>
        <w:t xml:space="preserve">Then the initial slope of the curve is</w:t>
      </w:r>
      <w:r>
        <w:t xml:space="preserve"> </w:t>
      </w:r>
      <m:oMath>
        <m:sSub>
          <m:e>
            <m:r>
              <m:t>α</m:t>
            </m:r>
          </m:e>
          <m:sub>
            <m:r>
              <m:t>M</m:t>
            </m:r>
            <m:r>
              <m:t>M</m:t>
            </m:r>
          </m:sub>
        </m:sSub>
        <m:r>
          <m:t>=</m:t>
        </m:r>
        <m:r>
          <m:t>β</m:t>
        </m:r>
        <m:r>
          <m:t>/</m:t>
        </m:r>
        <m:sSub>
          <m:e>
            <m:r>
              <m:t>K</m:t>
            </m:r>
          </m:e>
          <m:sub>
            <m:r>
              <m:rPr>
                <m:nor/>
                <m:sty m:val="p"/>
              </m:rPr>
              <m:t>MM</m:t>
            </m:r>
          </m:sub>
        </m:sSub>
      </m:oMath>
      <w:r>
        <w:t xml:space="preserve">.</w:t>
      </w:r>
      <w:r>
        <w:t xml:space="preserve"> </w:t>
      </w:r>
      <w:r>
        <w:t xml:space="preserve">If we set</w:t>
      </w:r>
      <w:r>
        <w:t xml:space="preserve"> </w:t>
      </w:r>
      <m:oMath>
        <m:r>
          <m:t>α</m:t>
        </m:r>
        <m:r>
          <m:t>=</m:t>
        </m:r>
        <m:sSub>
          <m:e>
            <m:r>
              <m:t>α</m:t>
            </m:r>
          </m:e>
          <m:sub>
            <m:r>
              <m:t>M</m:t>
            </m:r>
            <m:r>
              <m:t>M</m:t>
            </m:r>
          </m:sub>
        </m:sSub>
      </m:oMath>
      <w:r>
        <w:t xml:space="preserve"> </w:t>
      </w:r>
      <w:r>
        <w:t xml:space="preserve">and solve for</w:t>
      </w:r>
      <w:r>
        <w:t xml:space="preserve"> </w:t>
      </w:r>
      <m:oMath>
        <m:sSub>
          <m:e>
            <m:r>
              <m:t>K</m:t>
            </m:r>
          </m:e>
          <m:sub>
            <m:r>
              <m:rPr>
                <m:nor/>
                <m:sty m:val="p"/>
              </m:rPr>
              <m:t>MM</m:t>
            </m:r>
          </m:sub>
        </m:sSub>
      </m:oMath>
      <w:r>
        <w:t xml:space="preserve">, we obtain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rPr>
                  <m:nor/>
                  <m:sty m:val="p"/>
                </m:rPr>
                <m:t>MM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ω</m:t>
              </m:r>
            </m:num>
            <m:den>
              <m:r>
                <m:t>e</m:t>
              </m:r>
            </m:den>
          </m:f>
          <m:r>
            <m:t>=</m:t>
          </m:r>
          <m:r>
            <m:t>0.3678794</m:t>
          </m:r>
          <m:r>
            <m:t> </m:t>
          </m:r>
          <m:r>
            <m:t>ω</m:t>
          </m:r>
        </m:oMath>
      </m:oMathPara>
    </w:p>
    <w:p>
      <w:pPr>
        <w:pStyle w:val="FirstParagraph"/>
      </w:pPr>
      <w:r>
        <w:t xml:space="preserve">Therefore, the average half saturations for pelagic production</w:t>
      </w:r>
      <w:r>
        <w:t xml:space="preserve"> </w:t>
      </w:r>
      <w:r>
        <w:t xml:space="preserve">from this analysis are 45, 38, and 69</w:t>
      </w:r>
      <w:r>
        <w:t xml:space="preserve"> </w:t>
      </w:r>
      <m:oMath>
        <m:r>
          <m:t>μ</m:t>
        </m:r>
        <m:r>
          <m:rPr>
            <m:nor/>
            <m:sty m:val="p"/>
          </m:rPr>
          <m:t>mol</m:t>
        </m:r>
        <m:r>
          <m:t> </m:t>
        </m:r>
        <m:r>
          <m:rPr>
            <m:nor/>
            <m:sty m:val="p"/>
          </m:rPr>
          <m:t>photons</m:t>
        </m:r>
        <m:r>
          <m:t> </m:t>
        </m:r>
        <m:sSup>
          <m:e>
            <m:r>
              <m:rPr>
                <m:nor/>
                <m:sty m:val="p"/>
              </m:rPr>
              <m:t>m</m:t>
            </m:r>
          </m:e>
          <m:sup>
            <m:r>
              <m:t>−</m:t>
            </m:r>
            <m:r>
              <m:t>2</m:t>
            </m:r>
          </m:sup>
        </m:sSup>
        <m:r>
          <m:t> </m:t>
        </m:r>
        <m:sSup>
          <m:e>
            <m:r>
              <m:rPr>
                <m:nor/>
                <m:sty m:val="p"/>
              </m:rPr>
              <m:t>s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for the direct, hyperbolic tangent, Michaelis-Mention approximations.</w:t>
      </w:r>
      <w:r>
        <w:t xml:space="preserve"> </w:t>
      </w:r>
      <w:r>
        <w:t xml:space="preserve">These are pretty close to th value 46 that Amanda obtianed</w:t>
      </w:r>
      <w:r>
        <w:t xml:space="preserve"> </w:t>
      </w:r>
      <w:r>
        <w:t xml:space="preserve">in her</w:t>
      </w:r>
      <w:r>
        <w:t xml:space="preserve"> </w:t>
      </w:r>
      <w:r>
        <w:rPr>
          <w:i/>
        </w:rPr>
        <w:t xml:space="preserve">Inland Waters</w:t>
      </w:r>
      <w:r>
        <w:t xml:space="preserve"> </w:t>
      </w:r>
      <w:r>
        <w:t xml:space="preserve">paper.</w:t>
      </w:r>
      <w:r>
        <w:t xml:space="preserve"> </w:t>
      </w:r>
      <w:r>
        <w:t xml:space="preserve">That is not too suprising, since they use the same data.</w:t>
      </w:r>
      <w:r>
        <w:t xml:space="preserve"> </w:t>
      </w:r>
      <w:r>
        <w:t xml:space="preserve">However, the results are also very close for benthic production:</w:t>
      </w:r>
      <w:r>
        <w:t xml:space="preserve"> </w:t>
      </w:r>
      <w:r>
        <w:t xml:space="preserve">104, 88, and 160 compared to 111.</w:t>
      </w:r>
      <w:r>
        <w:t xml:space="preserve"> </w:t>
      </w:r>
      <w:r>
        <w:t xml:space="preserve">Amanda’s analysis used data from routine incubations,</w:t>
      </w:r>
      <w:r>
        <w:t xml:space="preserve"> </w:t>
      </w:r>
      <w:r>
        <w:t xml:space="preserve">while mine used the light gradient incubations.</w:t>
      </w:r>
      <w:r>
        <w:t xml:space="preserve"> </w:t>
      </w:r>
      <w:r>
        <w:t xml:space="preserve">It is quite comforting that they gave similar results.</w:t>
      </w:r>
    </w:p>
    <w:p>
      <w:pPr>
        <w:pStyle w:val="BodyText"/>
      </w:pPr>
      <w:r>
        <w:t xml:space="preserve">c|ccc</w:t>
      </w:r>
      <w:r>
        <w:t xml:space="preserve"> </w:t>
      </w:r>
      <w:r>
        <w:t xml:space="preserve">Pelagic</w:t>
      </w:r>
      <w:r>
        <w:br/>
      </w:r>
      <w:r>
        <w:t xml:space="preserve">&amp; max GPP &amp; opt PAR &amp; Resp</w:t>
      </w:r>
      <w:r>
        <w:br/>
      </w:r>
      <w:r>
        <w:t xml:space="preserve">GPP &amp; 1 &amp; &amp; &amp; &amp;</w:t>
      </w:r>
      <w:r>
        <w:br/>
      </w:r>
      <w:r>
        <w:t xml:space="preserve">opt PAR &amp; -0.12 (-0.41, 0.21) &amp; 1 &amp; &amp;</w:t>
      </w:r>
      <w:r>
        <w:br/>
      </w:r>
      <w:r>
        <w:t xml:space="preserve">Resp &amp; -0.13 (-0.41, 0.20) &amp; 0.04 (-0.32, 0.43) &amp; 1</w:t>
      </w:r>
      <w:r>
        <w:br/>
      </w:r>
    </w:p>
    <w:p>
      <w:pPr>
        <w:pStyle w:val="CaptionedFigure"/>
      </w:pPr>
      <w:bookmarkStart w:id="24" w:name="fig:nep-pel"/>
      <w:r>
        <w:drawing>
          <wp:inline>
            <wp:extent cx="3200400" cy="3556000"/>
            <wp:effectExtent b="0" l="0" r="0" t="0"/>
            <wp:docPr descr="[fig:nep-pel] Fits of the photoinhibition curves to the pelagic data. Ribbons are posterior standard errors. " title="" id="1" name="Picture"/>
            <a:graphic>
              <a:graphicData uri="http://schemas.openxmlformats.org/drawingml/2006/picture">
                <pic:pic>
                  <pic:nvPicPr>
                    <pic:cNvPr descr="../analysis/figures/fig_nep_pel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bookmarkStart w:id="25" w:name="fig:nep-pel"/>
      <w:r>
        <w:t xml:space="preserve">[fig:nep-pel]</w:t>
      </w:r>
      <w:bookmarkEnd w:id="25"/>
      <w:r>
        <w:t xml:space="preserve"> </w:t>
      </w:r>
      <w:r>
        <w:t xml:space="preserve">Fits of the photoinhibition curves to the pelagic data.</w:t>
      </w:r>
      <w:r>
        <w:t xml:space="preserve"> </w:t>
      </w:r>
      <w:r>
        <w:t xml:space="preserve">Ribbons are posterior standard errors.</w:t>
      </w:r>
      <w:r>
        <w:t xml:space="preserve"> </w:t>
      </w:r>
    </w:p>
    <w:p>
      <w:pPr>
        <w:pStyle w:val="CaptionedFigure"/>
      </w:pPr>
      <w:bookmarkStart w:id="27" w:name="fig:nep-ben"/>
      <w:r>
        <w:drawing>
          <wp:inline>
            <wp:extent cx="3200400" cy="5295900"/>
            <wp:effectExtent b="0" l="0" r="0" t="0"/>
            <wp:docPr descr="[fig:nep-ben] Fits of the photoinhibition curves to the benthic data. Ribbons are posterior standard errors. " title="" id="1" name="Picture"/>
            <a:graphic>
              <a:graphicData uri="http://schemas.openxmlformats.org/drawingml/2006/picture">
                <pic:pic>
                  <pic:nvPicPr>
                    <pic:cNvPr descr="../analysis/figures/fig_nep_be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:nep-ben"/>
      <w:r>
        <w:t xml:space="preserve">[fig:nep-ben]</w:t>
      </w:r>
      <w:bookmarkEnd w:id="28"/>
      <w:r>
        <w:t xml:space="preserve"> </w:t>
      </w:r>
      <w:r>
        <w:t xml:space="preserve">Fits of the photoinhibition curves to the benthic data.</w:t>
      </w:r>
      <w:r>
        <w:t xml:space="preserve"> </w:t>
      </w:r>
      <w:r>
        <w:t xml:space="preserve">Ribbons are posterior standard errors.</w:t>
      </w:r>
      <w:r>
        <w:t xml:space="preserve"> </w:t>
      </w:r>
    </w:p>
    <w:p>
      <w:pPr>
        <w:pStyle w:val="CaptionedFigure"/>
      </w:pPr>
      <w:bookmarkStart w:id="30" w:name="fig:par"/>
      <w:r>
        <w:drawing>
          <wp:inline>
            <wp:extent cx="3200400" cy="4572000"/>
            <wp:effectExtent b="0" l="0" r="0" t="0"/>
            <wp:docPr descr="[fig:par] Variation in the metabolism parameters between sites and sampling dates. max GPP and respiration are in units of \text{mg}~\text{O}_2~\text{m}^{-2}~\text{h}^{-1} and optimum PAR is in units of \mu\text{mol}~\text{photons}~\text{m}^{-2}~\text{s}^{-1}. Points are posterior medians and error bars are posterior standard errors. " title="" id="1" name="Picture"/>
            <a:graphic>
              <a:graphicData uri="http://schemas.openxmlformats.org/drawingml/2006/picture">
                <pic:pic>
                  <pic:nvPicPr>
                    <pic:cNvPr descr="../analysis/figures/fig_par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bookmarkStart w:id="31" w:name="fig:par"/>
      <w:r>
        <w:t xml:space="preserve">[fig:par]</w:t>
      </w:r>
      <w:bookmarkEnd w:id="31"/>
      <w:r>
        <w:t xml:space="preserve"> </w:t>
      </w:r>
      <w:r>
        <w:t xml:space="preserve">Variation in the metabolism parameters between sites and sampling dates.</w:t>
      </w:r>
      <w:r>
        <w:t xml:space="preserve"> </w:t>
      </w:r>
      <w:r>
        <w:t xml:space="preserve">max GPP and respiration are in units of</w:t>
      </w:r>
      <w:r>
        <w:t xml:space="preserve"> </w:t>
      </w:r>
      <m:oMath>
        <m:r>
          <m:rPr>
            <m:nor/>
            <m:sty m:val="p"/>
          </m:rPr>
          <m:t>mg</m:t>
        </m:r>
        <m:r>
          <m:t> </m:t>
        </m:r>
        <m:sSub>
          <m:e>
            <m:r>
              <m:rPr>
                <m:nor/>
                <m:sty m:val="p"/>
              </m:rPr>
              <m:t>O</m:t>
            </m:r>
          </m:e>
          <m:sub>
            <m:r>
              <m:t>2</m:t>
            </m:r>
          </m:sub>
        </m:sSub>
        <m:r>
          <m:t> </m:t>
        </m:r>
        <m:sSup>
          <m:e>
            <m:r>
              <m:rPr>
                <m:nor/>
                <m:sty m:val="p"/>
              </m:rPr>
              <m:t>m</m:t>
            </m:r>
          </m:e>
          <m:sup>
            <m:r>
              <m:t>−</m:t>
            </m:r>
            <m:r>
              <m:t>2</m:t>
            </m:r>
          </m:sup>
        </m:sSup>
        <m:r>
          <m:t> </m:t>
        </m:r>
        <m:sSup>
          <m:e>
            <m:r>
              <m:rPr>
                <m:nor/>
                <m:sty m:val="p"/>
              </m:rPr>
              <m:t>h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and optimum PAR is in units of</w:t>
      </w:r>
      <w:r>
        <w:t xml:space="preserve"> </w:t>
      </w:r>
      <m:oMath>
        <m:r>
          <m:t>μ</m:t>
        </m:r>
        <m:r>
          <m:rPr>
            <m:nor/>
            <m:sty m:val="p"/>
          </m:rPr>
          <m:t>mol</m:t>
        </m:r>
        <m:r>
          <m:t> </m:t>
        </m:r>
        <m:r>
          <m:rPr>
            <m:nor/>
            <m:sty m:val="p"/>
          </m:rPr>
          <m:t>photons</m:t>
        </m:r>
        <m:r>
          <m:t> </m:t>
        </m:r>
        <m:sSup>
          <m:e>
            <m:r>
              <m:rPr>
                <m:nor/>
                <m:sty m:val="p"/>
              </m:rPr>
              <m:t>m</m:t>
            </m:r>
          </m:e>
          <m:sup>
            <m:r>
              <m:t>−</m:t>
            </m:r>
            <m:r>
              <m:t>2</m:t>
            </m:r>
          </m:sup>
        </m:sSup>
        <m:r>
          <m:t> </m:t>
        </m:r>
        <m:sSup>
          <m:e>
            <m:r>
              <m:rPr>
                <m:nor/>
                <m:sty m:val="p"/>
              </m:rPr>
              <m:t>s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.</w:t>
      </w:r>
      <w:r>
        <w:t xml:space="preserve"> </w:t>
      </w:r>
      <w:r>
        <w:t xml:space="preserve">Points are posterior medians and error bars are posterior standard errors.</w:t>
      </w:r>
      <w:r>
        <w:t xml:space="preserve"> </w:t>
      </w:r>
    </w:p>
    <w:p>
      <w:pPr>
        <w:pStyle w:val="CaptionedFigure"/>
      </w:pPr>
      <w:bookmarkStart w:id="33" w:name="fig:sd"/>
      <w:r>
        <w:drawing>
          <wp:inline>
            <wp:extent cx="3200400" cy="2286000"/>
            <wp:effectExtent b="0" l="0" r="0" t="0"/>
            <wp:docPr descr="[fig:sd] Standard deviations for variation in the metabolism parameters. Points are posterior medians and error bars are posterior standard errors. " title="" id="1" name="Picture"/>
            <a:graphic>
              <a:graphicData uri="http://schemas.openxmlformats.org/drawingml/2006/picture">
                <pic:pic>
                  <pic:nvPicPr>
                    <pic:cNvPr descr="../analysis/figures/fig_s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bookmarkStart w:id="34" w:name="fig:sd"/>
      <w:r>
        <w:t xml:space="preserve">[fig:sd]</w:t>
      </w:r>
      <w:bookmarkEnd w:id="34"/>
      <w:r>
        <w:t xml:space="preserve"> </w:t>
      </w:r>
      <w:r>
        <w:t xml:space="preserve">Standard deviations for variation in the metabolism parameters.</w:t>
      </w:r>
      <w:r>
        <w:t xml:space="preserve"> </w:t>
      </w:r>
      <w:r>
        <w:t xml:space="preserve">Points are posterior medians and error bars are posterior standard errors.</w:t>
      </w:r>
      <w:r>
        <w:t xml:space="preserve"> </w:t>
      </w:r>
    </w:p>
    <w:p>
      <w:pPr>
        <w:pStyle w:val="CaptionedFigure"/>
      </w:pPr>
      <w:bookmarkStart w:id="36" w:name="fig:var"/>
      <w:r>
        <w:drawing>
          <wp:inline>
            <wp:extent cx="3200400" cy="2286000"/>
            <wp:effectExtent b="0" l="0" r="0" t="0"/>
            <wp:docPr descr="[fig:var] Log F ratios calculated from ANOVA for each parameter. The ratio compares the variation between sites to the variation within, and a log-ratio of 0 indicates equal variation. This was calculated over the full posterior distributions for each parameter; the points are medians and error bars are standard errors from the resulting distribution of log F ratios. " title="" id="1" name="Picture"/>
            <a:graphic>
              <a:graphicData uri="http://schemas.openxmlformats.org/drawingml/2006/picture">
                <pic:pic>
                  <pic:nvPicPr>
                    <pic:cNvPr descr="../analysis/figures/fig_var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bookmarkStart w:id="37" w:name="fig:var"/>
      <w:r>
        <w:t xml:space="preserve">[fig:var]</w:t>
      </w:r>
      <w:bookmarkEnd w:id="37"/>
      <w:r>
        <w:t xml:space="preserve"> </w:t>
      </w:r>
      <w:r>
        <w:t xml:space="preserve">Log F ratios calculated from ANOVA for each parameter.</w:t>
      </w:r>
      <w:r>
        <w:t xml:space="preserve"> </w:t>
      </w:r>
      <w:r>
        <w:t xml:space="preserve">The ratio compares the variation between sites to the variation within,</w:t>
      </w:r>
      <w:r>
        <w:t xml:space="preserve"> </w:t>
      </w:r>
      <w:r>
        <w:t xml:space="preserve">and a log-ratio of 0 indicates equal variation.</w:t>
      </w:r>
      <w:r>
        <w:t xml:space="preserve"> </w:t>
      </w:r>
      <w:r>
        <w:t xml:space="preserve">This was calculated over the full posterior distributions for each parameter;</w:t>
      </w:r>
      <w:r>
        <w:t xml:space="preserve"> </w:t>
      </w:r>
      <w:r>
        <w:t xml:space="preserve">the points are medians and error bars are standard errors from the resulting</w:t>
      </w:r>
      <w:r>
        <w:t xml:space="preserve"> </w:t>
      </w:r>
      <w:r>
        <w:t xml:space="preserve">distribution of log F ratios.</w:t>
      </w:r>
      <w:r>
        <w:t xml:space="preserve"> 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df" /><Relationship Type="http://schemas.openxmlformats.org/officeDocument/2006/relationships/image" Id="rId23" Target="media/rId23.pdf" /><Relationship Type="http://schemas.openxmlformats.org/officeDocument/2006/relationships/image" Id="rId29" Target="media/rId29.pdf" /><Relationship Type="http://schemas.openxmlformats.org/officeDocument/2006/relationships/image" Id="rId32" Target="media/rId32.pdf" /><Relationship Type="http://schemas.openxmlformats.org/officeDocument/2006/relationships/image" Id="rId35" Target="media/rId35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Photosynthesis-light relationships are more variable in time than in space for a shallow eutrophic lake</dc:title>
  <dc:creator>Joseph S. Phillips^{1,2,\dagger} Amanda R. McCormick^{1,3} Jamieson C. Botsch^{1} Kristian R. Book^{1} Anthony R. Ives^{1}</dc:creator>
  <cp:keywords/>
  <dcterms:created xsi:type="dcterms:W3CDTF">2022-02-24T10:35:51Z</dcterms:created>
  <dcterms:modified xsi:type="dcterms:W3CDTF">2022-02-24T10:35:51Z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date">
    <vt:lpwstr/>
  </property>
</Properties>
</file>