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df" ContentType="application/pdf"/>
  <Override PartName="/word/media/rId53.pdf" ContentType="application/pdf"/>
  <Override PartName="/word/media/rId47.pdf" ContentType="application/pdf"/>
  <Override PartName="/word/media/rId35.pdf" ContentType="application/pdf"/>
  <Override PartName="/word/media/rId56.pdf" ContentType="application/pdf"/>
  <Override PartName="/word/media/rId38.pdf" ContentType="application/pdf"/>
  <Override PartName="/word/media/rId44.pdf" ContentType="application/pdf"/>
  <Override PartName="/word/media/rId50.pdf" ContentType="application/pdf"/>
  <Override PartName="/word/media/rId4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Opposing</w:t>
      </w:r>
      <w:r>
        <w:t xml:space="preserve"> </w:t>
      </w:r>
      <w:r>
        <w:t xml:space="preserve">trends</w:t>
      </w:r>
      <w:r>
        <w:t xml:space="preserve"> </w:t>
      </w:r>
      <w:r>
        <w:t xml:space="preserve">in</w:t>
      </w:r>
      <w:r>
        <w:t xml:space="preserve"> </w:t>
      </w:r>
      <w:r>
        <w:t xml:space="preserve">survival</w:t>
      </w:r>
      <w:r>
        <w:t xml:space="preserve"> </w:t>
      </w:r>
      <w:r>
        <w:t xml:space="preserve">and</w:t>
      </w:r>
      <w:r>
        <w:t xml:space="preserve"> </w:t>
      </w:r>
      <w:r>
        <w:t xml:space="preserve">recruitment</w:t>
      </w:r>
      <w:r>
        <w:t xml:space="preserve"> </w:t>
      </w:r>
      <w:r>
        <w:t xml:space="preserve">slow</w:t>
      </w:r>
      <w:r>
        <w:t xml:space="preserve"> </w:t>
      </w:r>
      <w:r>
        <w:t xml:space="preserve">the</w:t>
      </w:r>
      <w:r>
        <w:t xml:space="preserve"> </w:t>
      </w:r>
      <w:r>
        <w:t xml:space="preserve">recovery</w:t>
      </w:r>
      <w:r>
        <w:t xml:space="preserve"> </w:t>
      </w:r>
      <w:r>
        <w:t xml:space="preserve">of</w:t>
      </w:r>
      <w:r>
        <w:t xml:space="preserve"> </w:t>
      </w:r>
      <w:r>
        <w:t xml:space="preserve">an</w:t>
      </w:r>
      <w:r>
        <w:t xml:space="preserve"> </w:t>
      </w:r>
      <w:r>
        <w:t xml:space="preserve">historically</w:t>
      </w:r>
      <w:r>
        <w:t xml:space="preserve"> </w:t>
      </w:r>
      <w:r>
        <w:t xml:space="preserve">overexploited</w:t>
      </w:r>
      <w:r>
        <w:t xml:space="preserve"> </w:t>
      </w:r>
      <w:r>
        <w:t xml:space="preserve">fishery</w:t>
      </w:r>
    </w:p>
    <w:p>
      <w:pPr>
        <w:pStyle w:val="Author"/>
      </w:pPr>
      <w:r>
        <w:t xml:space="preserve">Joseph</w:t>
      </w:r>
      <w:r>
        <w:t xml:space="preserve"> </w:t>
      </w:r>
      <w:r>
        <w:t xml:space="preserve">S.</w:t>
      </w:r>
      <w:r>
        <w:t xml:space="preserve"> </w:t>
      </w:r>
      <w:r>
        <w:t xml:space="preserve">Phillips</w:t>
      </w:r>
      <m:oMath>
        <m:sSup>
          <m:e>
            <m:r>
              <m:t>​</m:t>
            </m:r>
          </m:e>
          <m:sup>
            <m:r>
              <m:t>1</m:t>
            </m:r>
            <m:r>
              <m:t>,</m:t>
            </m:r>
            <m:r>
              <m:t>2</m:t>
            </m:r>
            <m:r>
              <m:t>,</m:t>
            </m:r>
            <m:r>
              <m:t>†</m:t>
            </m:r>
          </m:sup>
        </m:sSup>
      </m:oMath>
      <w:r>
        <w:br/>
      </w:r>
      <w:r>
        <w:t xml:space="preserve">Guni</w:t>
      </w:r>
      <w:r>
        <w:t xml:space="preserve"> </w:t>
      </w:r>
      <w:r>
        <w:t xml:space="preserve">Gubergsson</w:t>
      </w:r>
      <m:oMath>
        <m:sSup>
          <m:e>
            <m:r>
              <m:t>​</m:t>
            </m:r>
          </m:e>
          <m:sup>
            <m:r>
              <m:t>3</m:t>
            </m:r>
          </m:sup>
        </m:sSup>
      </m:oMath>
      <w:r>
        <w:br/>
      </w:r>
      <w:r>
        <w:t xml:space="preserve">Anthony</w:t>
      </w:r>
      <w:r>
        <w:t xml:space="preserve"> </w:t>
      </w:r>
      <w:r>
        <w:t xml:space="preserve">R.</w:t>
      </w:r>
      <w:r>
        <w:t xml:space="preserve"> </w:t>
      </w:r>
      <w:r>
        <w:t xml:space="preserve">Ives</w:t>
      </w:r>
      <m:oMath>
        <m:sSup>
          <m:e>
            <m:r>
              <m:t>​</m:t>
            </m:r>
          </m:e>
          <m:sup>
            <m:r>
              <m:t>2</m:t>
            </m:r>
          </m:sup>
        </m:sSup>
      </m:oMath>
    </w:p>
    <w:p>
      <w:pPr>
        <w:pStyle w:val="FirstParagraph"/>
      </w:pPr>
      <w:r>
        <w:t xml:space="preserve">1. Department of Aquaculture and Fish Biology,</w:t>
      </w:r>
      <w:r>
        <w:t xml:space="preserve"> </w:t>
      </w:r>
      <w:r>
        <w:t xml:space="preserve">Hólar University, Skagafjörur 551 Iceland</w:t>
      </w:r>
    </w:p>
    <w:p>
      <w:pPr>
        <w:pStyle w:val="BodyText"/>
      </w:pPr>
      <w:r>
        <w:t xml:space="preserve">2. Department of Integrative Biology,</w:t>
      </w:r>
      <w:r>
        <w:t xml:space="preserve"> </w:t>
      </w:r>
      <w:r>
        <w:t xml:space="preserve">University of Wisconsin, Madison, Wisconsin 53706 USA</w:t>
      </w:r>
    </w:p>
    <w:p>
      <w:pPr>
        <w:pStyle w:val="BodyText"/>
      </w:pPr>
      <w:r>
        <w:t xml:space="preserve">3. Marine and Freshwater Research Institute, Reykjavík Iceland</w:t>
      </w:r>
    </w:p>
    <w:p>
      <w:pPr>
        <w:pStyle w:val="BodyText"/>
      </w:pPr>
      <m:oMath>
        <m:r>
          <m:t>†</m:t>
        </m:r>
      </m:oMath>
      <w:r>
        <w:t xml:space="preserve"> </w:t>
      </w:r>
      <w:r>
        <w:t xml:space="preserve">E-mail: joseph@holar.is</w:t>
      </w:r>
    </w:p>
    <w:p>
      <w:pPr>
        <w:pStyle w:val="BodyText"/>
      </w:pPr>
      <w:r>
        <w:t xml:space="preserve">Running head:</w:t>
      </w:r>
      <w:r>
        <w:t xml:space="preserve"> </w:t>
      </w:r>
      <w:r>
        <w:t xml:space="preserve">Arctic charr demography</w:t>
      </w:r>
    </w:p>
    <w:bookmarkStart w:id="20" w:name="abstract"/>
    <w:p>
      <w:pPr>
        <w:pStyle w:val="Heading1"/>
      </w:pPr>
      <w:r>
        <w:t xml:space="preserve">Abstract</w:t>
      </w:r>
    </w:p>
    <w:p>
      <w:pPr>
        <w:pStyle w:val="FirstParagraph"/>
      </w:pPr>
      <w:r>
        <w:t xml:space="preserve">Quantifying temporal variation in demographic rates is a central goal of population ecology,</w:t>
      </w:r>
      <w:r>
        <w:t xml:space="preserve"> </w:t>
      </w:r>
      <w:r>
        <w:t xml:space="preserve">in both basic and applied settings.</w:t>
      </w:r>
      <w:r>
        <w:t xml:space="preserve"> </w:t>
      </w:r>
      <w:r>
        <w:t xml:space="preserve">In this study, we analyzed a multidecadal age-structured time series</w:t>
      </w:r>
      <w:r>
        <w:t xml:space="preserve"> </w:t>
      </w:r>
      <w:r>
        <w:t xml:space="preserve">of Arctic charr (</w:t>
      </w:r>
      <w:r>
        <w:rPr>
          <w:i/>
        </w:rPr>
        <w:t xml:space="preserve">Salvelinus alpinus</w:t>
      </w:r>
      <w:r>
        <w:t xml:space="preserve">) catch in Lake Mývatn, Iceland,</w:t>
      </w:r>
      <w:r>
        <w:t xml:space="preserve"> </w:t>
      </w:r>
      <w:r>
        <w:t xml:space="preserve">to infer the time-varying demographic response of the population</w:t>
      </w:r>
      <w:r>
        <w:t xml:space="preserve"> </w:t>
      </w:r>
      <w:r>
        <w:t xml:space="preserve">to reduced harvest in the wake of the fishery’s collapse.</w:t>
      </w:r>
      <w:r>
        <w:t xml:space="preserve"> </w:t>
      </w:r>
      <w:r>
        <w:t xml:space="preserve">Our analysis shows that while survival probability of adults increased following the alleviation</w:t>
      </w:r>
      <w:r>
        <w:t xml:space="preserve"> </w:t>
      </w:r>
      <w:r>
        <w:t xml:space="preserve">of harvesting pressure,</w:t>
      </w:r>
      <w:r>
        <w:t xml:space="preserve"> </w:t>
      </w:r>
      <w:r>
        <w:t xml:space="preserve">per recruitment consistently declined over the most of the study period,</w:t>
      </w:r>
      <w:r>
        <w:t xml:space="preserve"> </w:t>
      </w:r>
      <w:r>
        <w:t xml:space="preserve">until the final three years when it began to increase.</w:t>
      </w:r>
      <w:r>
        <w:t xml:space="preserve"> </w:t>
      </w:r>
      <w:r>
        <w:t xml:space="preserve">The countervailing demographic trends resulted</w:t>
      </w:r>
      <w:r>
        <w:t xml:space="preserve"> </w:t>
      </w:r>
      <w:r>
        <w:t xml:space="preserve">in limited directional change in the total population size and population growth rate.</w:t>
      </w:r>
      <w:r>
        <w:t xml:space="preserve"> </w:t>
      </w:r>
      <w:r>
        <w:t xml:space="preserve">Rather, the population dynamics were dominated by large interannual variability</w:t>
      </w:r>
      <w:r>
        <w:t xml:space="preserve"> </w:t>
      </w:r>
      <w:r>
        <w:t xml:space="preserve">and a shift towards an older age distribution.</w:t>
      </w:r>
      <w:r>
        <w:t xml:space="preserve"> </w:t>
      </w:r>
      <w:r>
        <w:t xml:space="preserve">These results are indicative of a slow recovery of the population following its collapse,</w:t>
      </w:r>
      <w:r>
        <w:t xml:space="preserve"> </w:t>
      </w:r>
      <w:r>
        <w:t xml:space="preserve">despite the rising number of adults due to relaxed harvest.</w:t>
      </w:r>
    </w:p>
    <w:p>
      <w:pPr>
        <w:pStyle w:val="BodyText"/>
      </w:pPr>
      <w:r>
        <w:rPr>
          <w:i/>
        </w:rPr>
        <w:t xml:space="preserve">Keywords</w:t>
      </w:r>
      <w:r>
        <w:t xml:space="preserve">:</w:t>
      </w:r>
      <w:r>
        <w:t xml:space="preserve"> </w:t>
      </w:r>
      <w:r>
        <w:t xml:space="preserve">demography; Lake Mývatn; population dynamics;</w:t>
      </w:r>
      <w:r>
        <w:t xml:space="preserve"> </w:t>
      </w:r>
      <w:r>
        <w:rPr>
          <w:i/>
        </w:rPr>
        <w:t xml:space="preserve">Salvelinus alpinus</w:t>
      </w:r>
    </w:p>
    <w:bookmarkEnd w:id="20"/>
    <w:bookmarkStart w:id="21" w:name="introduction"/>
    <w:p>
      <w:pPr>
        <w:pStyle w:val="Heading1"/>
      </w:pPr>
      <w:r>
        <w:t xml:space="preserve">Introduction</w:t>
      </w:r>
    </w:p>
    <w:p>
      <w:pPr>
        <w:pStyle w:val="FirstParagraph"/>
      </w:pPr>
      <w:r>
        <w:t xml:space="preserve">Quantifying temporal variation in demographic rates is a central goal of population ecology,</w:t>
      </w:r>
      <w:r>
        <w:t xml:space="preserve"> </w:t>
      </w:r>
      <w:r>
        <w:t xml:space="preserve">because this underpins efforts to characterize both exogenous and</w:t>
      </w:r>
      <w:r>
        <w:t xml:space="preserve"> </w:t>
      </w:r>
      <w:r>
        <w:t xml:space="preserve">endogenous drivers of population dynamics</w:t>
      </w:r>
      <w:r>
        <w:t xml:space="preserve"> </w:t>
      </w:r>
      <w:r>
        <w:t xml:space="preserve">(Twombly 1994; Zeng et al. 1998; Koons et al. 2016)</w:t>
      </w:r>
      <w:r>
        <w:t xml:space="preserve">.</w:t>
      </w:r>
      <w:r>
        <w:t xml:space="preserve"> </w:t>
      </w:r>
      <w:r>
        <w:t xml:space="preserve">However, this endeavor is challenging,</w:t>
      </w:r>
      <w:r>
        <w:t xml:space="preserve"> </w:t>
      </w:r>
      <w:r>
        <w:t xml:space="preserve">as even the characterization of directional trends in demographic rates requires</w:t>
      </w:r>
      <w:r>
        <w:t xml:space="preserve"> </w:t>
      </w:r>
      <w:r>
        <w:t xml:space="preserve">data spanning many years and</w:t>
      </w:r>
      <w:r>
        <w:t xml:space="preserve"> </w:t>
      </w:r>
      <w:r>
        <w:t xml:space="preserve">often relies on intensive mark-recapture (and related) approaches for statistical inference</w:t>
      </w:r>
      <w:r>
        <w:t xml:space="preserve"> </w:t>
      </w:r>
      <w:r>
        <w:t xml:space="preserve">(e.g., Forcada, Trathan, and Murphy 2008; Hunter et al. 2010)</w:t>
      </w:r>
      <w:r>
        <w:t xml:space="preserve">.</w:t>
      </w:r>
      <w:r>
        <w:t xml:space="preserve"> </w:t>
      </w:r>
      <w:r>
        <w:t xml:space="preserve">Both of these challenges are amplified in populations subject to large interannual variation</w:t>
      </w:r>
      <w:r>
        <w:t xml:space="preserve"> </w:t>
      </w:r>
      <w:r>
        <w:t xml:space="preserve">in demographic rates,</w:t>
      </w:r>
      <w:r>
        <w:t xml:space="preserve"> </w:t>
      </w:r>
      <w:r>
        <w:t xml:space="preserve">which are often the targets of both basic and applied interest</w:t>
      </w:r>
      <w:r>
        <w:t xml:space="preserve"> </w:t>
      </w:r>
      <w:r>
        <w:t xml:space="preserve">(e.g., White, Bruggeman, and Garrott 2007)</w:t>
      </w:r>
      <w:r>
        <w:t xml:space="preserve">.</w:t>
      </w:r>
      <w:r>
        <w:t xml:space="preserve"> </w:t>
      </w:r>
      <w:r>
        <w:t xml:space="preserve">Consequently,</w:t>
      </w:r>
      <w:r>
        <w:t xml:space="preserve"> </w:t>
      </w:r>
      <w:r>
        <w:t xml:space="preserve">there is a need for additional studies that</w:t>
      </w:r>
      <w:r>
        <w:t xml:space="preserve"> </w:t>
      </w:r>
      <w:r>
        <w:t xml:space="preserve">explicitly quantify temporal variation in demographic rates</w:t>
      </w:r>
      <w:r>
        <w:t xml:space="preserve"> </w:t>
      </w:r>
      <w:r>
        <w:t xml:space="preserve">and the resulting population dynamics,</w:t>
      </w:r>
      <w:r>
        <w:t xml:space="preserve"> </w:t>
      </w:r>
      <w:r>
        <w:t xml:space="preserve">particularly for populations that have not been the subjects</w:t>
      </w:r>
      <w:r>
        <w:t xml:space="preserve"> </w:t>
      </w:r>
      <w:r>
        <w:t xml:space="preserve">of intensive mark-recapture-style campaigns.</w:t>
      </w:r>
    </w:p>
    <w:p>
      <w:pPr>
        <w:pStyle w:val="BodyText"/>
      </w:pPr>
      <w:r>
        <w:t xml:space="preserve">In this study, we analyzed a multidecadal age-structured time series</w:t>
      </w:r>
      <w:r>
        <w:t xml:space="preserve"> </w:t>
      </w:r>
      <w:r>
        <w:t xml:space="preserve">of Arctic charr (</w:t>
      </w:r>
      <w:r>
        <w:rPr>
          <w:i/>
        </w:rPr>
        <w:t xml:space="preserve">Salvelinus alpinus</w:t>
      </w:r>
      <w:r>
        <w:t xml:space="preserve">) catch in Lake Mývatn, Iceland,</w:t>
      </w:r>
      <w:r>
        <w:t xml:space="preserve"> </w:t>
      </w:r>
      <w:r>
        <w:t xml:space="preserve">to infer the time-varying demographic response of the population</w:t>
      </w:r>
      <w:r>
        <w:t xml:space="preserve"> </w:t>
      </w:r>
      <w:r>
        <w:t xml:space="preserve">to reduced harvest in the wake of the fishery’s collapse.</w:t>
      </w:r>
      <w:r>
        <w:t xml:space="preserve"> </w:t>
      </w:r>
      <w:r>
        <w:t xml:space="preserve">Arctic charr are salmonids with a circumpolar distribution</w:t>
      </w:r>
      <w:r>
        <w:t xml:space="preserve"> </w:t>
      </w:r>
      <w:r>
        <w:t xml:space="preserve">and are the main targets of</w:t>
      </w:r>
      <w:r>
        <w:t xml:space="preserve"> </w:t>
      </w:r>
      <w:r>
        <w:t xml:space="preserve">numerous commercial fisheries</w:t>
      </w:r>
      <w:r>
        <w:t xml:space="preserve"> </w:t>
      </w:r>
      <w:r>
        <w:t xml:space="preserve">(Klemetsen et al. 2003)</w:t>
      </w:r>
      <w:r>
        <w:t xml:space="preserve">.</w:t>
      </w:r>
      <w:r>
        <w:t xml:space="preserve"> </w:t>
      </w:r>
      <w:r>
        <w:t xml:space="preserve">Moreover,</w:t>
      </w:r>
      <w:r>
        <w:t xml:space="preserve"> </w:t>
      </w:r>
      <w:r>
        <w:t xml:space="preserve">Arctic charr have important effects in many arctic</w:t>
      </w:r>
      <w:r>
        <w:t xml:space="preserve"> </w:t>
      </w:r>
      <w:r>
        <w:t xml:space="preserve">and boreal freshwater food webs owing to their roles as top consumers</w:t>
      </w:r>
      <w:r>
        <w:t xml:space="preserve"> </w:t>
      </w:r>
      <w:r>
        <w:t xml:space="preserve">(Jeppesen et al. 2001; Klemetsen et al. 2003)</w:t>
      </w:r>
      <w:r>
        <w:t xml:space="preserve">.</w:t>
      </w:r>
      <w:r>
        <w:t xml:space="preserve"> </w:t>
      </w:r>
      <w:r>
        <w:t xml:space="preserve">In Mývatn, the charr sustained a large commercial fishery throughout much of the</w:t>
      </w:r>
      <w:r>
        <w:t xml:space="preserve"> </w:t>
      </w:r>
      <w:r>
        <w:t xml:space="preserve">twentieth century that was subject to exploitation rates upwards of 80%,</w:t>
      </w:r>
      <w:r>
        <w:t xml:space="preserve"> </w:t>
      </w:r>
      <w:r>
        <w:t xml:space="preserve">associated in the fishery’s collapse by the late 1980s</w:t>
      </w:r>
      <w:r>
        <w:t xml:space="preserve"> </w:t>
      </w:r>
      <w:r>
        <w:t xml:space="preserve">(Gu</w:t>
      </w:r>
      <w:r>
        <w:t xml:space="preserve">bergsson 2004)</w:t>
      </w:r>
      <w:r>
        <w:t xml:space="preserve">.</w:t>
      </w:r>
      <w:r>
        <w:t xml:space="preserve"> </w:t>
      </w:r>
      <w:r>
        <w:t xml:space="preserve">The a portion of the lake was also dredged during this period,</w:t>
      </w:r>
      <w:r>
        <w:t xml:space="preserve"> </w:t>
      </w:r>
      <w:r>
        <w:t xml:space="preserve">which may have contributed the the decline of the fishery</w:t>
      </w:r>
      <w:r>
        <w:t xml:space="preserve"> </w:t>
      </w:r>
      <w:r>
        <w:t xml:space="preserve">(Á. Einarsson et al. 2004)</w:t>
      </w:r>
      <w:r>
        <w:t xml:space="preserve">.</w:t>
      </w:r>
      <w:r>
        <w:t xml:space="preserve"> </w:t>
      </w:r>
      <w:r>
        <w:t xml:space="preserve">A monitoring program was instituted in 1986 to monitor the population’s</w:t>
      </w:r>
      <w:r>
        <w:t xml:space="preserve"> </w:t>
      </w:r>
      <w:r>
        <w:t xml:space="preserve">response to declining harvesting pressure,</w:t>
      </w:r>
      <w:r>
        <w:t xml:space="preserve"> </w:t>
      </w:r>
      <w:r>
        <w:t xml:space="preserve">including catch restrictions imposed in the early 2000s.</w:t>
      </w:r>
    </w:p>
    <w:p>
      <w:pPr>
        <w:pStyle w:val="BodyText"/>
      </w:pPr>
      <w:r>
        <w:t xml:space="preserve">Using these monitoring data,</w:t>
      </w:r>
      <w:r>
        <w:t xml:space="preserve"> </w:t>
      </w:r>
      <w:r>
        <w:t xml:space="preserve">we parameterized an age-structured demographic model with time-varying recruitment and survival</w:t>
      </w:r>
      <w:r>
        <w:t xml:space="preserve"> </w:t>
      </w:r>
      <w:r>
        <w:t xml:space="preserve">to characterize the dynamics of the population.</w:t>
      </w:r>
      <w:r>
        <w:t xml:space="preserve"> </w:t>
      </w:r>
      <w:r>
        <w:t xml:space="preserve">We modeled temporal variation in the demographic rates as random walks,</w:t>
      </w:r>
      <w:r>
        <w:t xml:space="preserve"> </w:t>
      </w:r>
      <w:r>
        <w:t xml:space="preserve">an approach that had previously been applied</w:t>
      </w:r>
      <w:r>
        <w:t xml:space="preserve"> </w:t>
      </w:r>
      <w:r>
        <w:t xml:space="preserve">to infer population growth rates from non-structured abundance</w:t>
      </w:r>
      <w:r>
        <w:t xml:space="preserve"> </w:t>
      </w:r>
      <w:r>
        <w:t xml:space="preserve">(Zeng et al. 1998)</w:t>
      </w:r>
      <w:r>
        <w:t xml:space="preserve"> </w:t>
      </w:r>
      <w:r>
        <w:t xml:space="preserve">and for age-specific mortality rates inferred from fisheries stock assessments</w:t>
      </w:r>
      <w:r>
        <w:t xml:space="preserve"> </w:t>
      </w:r>
      <w:r>
        <w:t xml:space="preserve">(Nielsen and Berg 2014)</w:t>
      </w:r>
      <w:r>
        <w:t xml:space="preserve">.</w:t>
      </w:r>
      <w:r>
        <w:t xml:space="preserve"> </w:t>
      </w:r>
      <w:r>
        <w:t xml:space="preserve">This method takes advantage of the entire time series for estimating the parameters</w:t>
      </w:r>
      <w:r>
        <w:t xml:space="preserve"> </w:t>
      </w:r>
      <w:r>
        <w:t xml:space="preserve">while allowing them to vary smoothly through time.</w:t>
      </w:r>
      <w:r>
        <w:t xml:space="preserve"> </w:t>
      </w:r>
      <w:r>
        <w:t xml:space="preserve">Furthermore, the model is able to characterize a range of dynamics including those</w:t>
      </w:r>
      <w:r>
        <w:t xml:space="preserve"> </w:t>
      </w:r>
      <w:r>
        <w:t xml:space="preserve">arising from negative density-dependence and environmental perturbations.</w:t>
      </w:r>
      <w:r>
        <w:t xml:space="preserve"> </w:t>
      </w:r>
      <w:r>
        <w:t xml:space="preserve">The latter may be particularly important in the case of the Mývatn’s charr,</w:t>
      </w:r>
      <w:r>
        <w:t xml:space="preserve"> </w:t>
      </w:r>
      <w:r>
        <w:t xml:space="preserve">because the lake is subject to large fluctuations in primary and secondary production</w:t>
      </w:r>
      <w:r>
        <w:t xml:space="preserve"> </w:t>
      </w:r>
      <w:r>
        <w:t xml:space="preserve">that may cascade up to the charr population</w:t>
      </w:r>
      <w:r>
        <w:t xml:space="preserve"> </w:t>
      </w:r>
      <w:r>
        <w:t xml:space="preserve">(Á. Einarsson et al. 2004; Á. Einarsson and Örnólfsdóttir 2004; Gardarsson et al. 2004)</w:t>
      </w:r>
      <w:r>
        <w:t xml:space="preserve">.</w:t>
      </w:r>
      <w:r>
        <w:t xml:space="preserve"> </w:t>
      </w:r>
      <w:r>
        <w:t xml:space="preserve">Accordingly, the purpose of our analysis is to</w:t>
      </w:r>
      <w:r>
        <w:t xml:space="preserve"> </w:t>
      </w:r>
      <w:r>
        <w:t xml:space="preserve">(i) characterize interannual variability in survival recruitment</w:t>
      </w:r>
      <w:r>
        <w:t xml:space="preserve"> </w:t>
      </w:r>
      <w:r>
        <w:t xml:space="preserve">in Mývatn’s charr population,</w:t>
      </w:r>
      <w:r>
        <w:t xml:space="preserve"> </w:t>
      </w:r>
      <w:r>
        <w:t xml:space="preserve">and (ii) determine whether directional trends in these demographic rates have</w:t>
      </w:r>
      <w:r>
        <w:t xml:space="preserve"> </w:t>
      </w:r>
      <w:r>
        <w:t xml:space="preserve">resulted in the recovery of the population in the wake of its collapse.</w:t>
      </w:r>
    </w:p>
    <w:bookmarkEnd w:id="21"/>
    <w:bookmarkStart w:id="25" w:name="methods"/>
    <w:p>
      <w:pPr>
        <w:pStyle w:val="Heading1"/>
      </w:pPr>
      <w:r>
        <w:t xml:space="preserve">Methods</w:t>
      </w:r>
    </w:p>
    <w:bookmarkStart w:id="22" w:name="study-system"/>
    <w:p>
      <w:pPr>
        <w:pStyle w:val="Heading2"/>
      </w:pPr>
      <w:r>
        <w:t xml:space="preserve">Study system</w:t>
      </w:r>
    </w:p>
    <w:p>
      <w:pPr>
        <w:pStyle w:val="FirstParagraph"/>
      </w:pPr>
      <w:r>
        <w:t xml:space="preserve">Mývatn is located in northeastern Iceland (65°40’N 17°00’W)</w:t>
      </w:r>
      <w:r>
        <w:t xml:space="preserve"> </w:t>
      </w:r>
      <w:r>
        <w:t xml:space="preserve">and has a tundra-subarctic climate</w:t>
      </w:r>
      <w:r>
        <w:t xml:space="preserve"> </w:t>
      </w:r>
      <w:r>
        <w:t xml:space="preserve">(Björnsson and Jónsson 2004; Á. Einarsson et al. 2004)</w:t>
      </w:r>
      <w:r>
        <w:t xml:space="preserve">.</w:t>
      </w:r>
      <w:r>
        <w:t xml:space="preserve"> </w:t>
      </w:r>
      <w:r>
        <w:t xml:space="preserve">The lake spans</w:t>
      </w:r>
      <w:r>
        <w:t xml:space="preserve"> </w:t>
      </w:r>
      <m:oMath>
        <m:r>
          <m:t>37</m:t>
        </m:r>
        <m:sSup>
          <m:e>
            <m:r>
              <m:rPr>
                <m:nor/>
                <m:sty m:val="p"/>
              </m:rPr>
              <m:t>km</m:t>
            </m:r>
          </m:e>
          <m:sup>
            <m:r>
              <m:t>2</m:t>
            </m:r>
          </m:sup>
        </m:sSup>
      </m:oMath>
      <w:r>
        <w:t xml:space="preserve">,</w:t>
      </w:r>
      <w:r>
        <w:t xml:space="preserve"> </w:t>
      </w:r>
      <w:r>
        <w:t xml:space="preserve">divided into north (</w:t>
      </w:r>
      <w:r>
        <w:t xml:space="preserve">“</w:t>
      </w:r>
      <w:r>
        <w:t xml:space="preserve">Ytrifloi</w:t>
      </w:r>
      <w:r>
        <w:t xml:space="preserve">”</w:t>
      </w:r>
      <w:r>
        <w:t xml:space="preserve">;</w:t>
      </w:r>
      <w:r>
        <w:t xml:space="preserve"> </w:t>
      </w:r>
      <m:oMath>
        <m:r>
          <m:t>8</m:t>
        </m:r>
        <m:sSup>
          <m:e>
            <m:r>
              <m:rPr>
                <m:nor/>
                <m:sty m:val="p"/>
              </m:rPr>
              <m:t>km</m:t>
            </m:r>
          </m:e>
          <m:sup>
            <m:r>
              <m:t>2</m:t>
            </m:r>
          </m:sup>
        </m:sSup>
      </m:oMath>
      <w:r>
        <w:t xml:space="preserve">)</w:t>
      </w:r>
      <w:r>
        <w:t xml:space="preserve"> </w:t>
      </w:r>
      <w:r>
        <w:t xml:space="preserve">and south (</w:t>
      </w:r>
      <w:r>
        <w:t xml:space="preserve">“</w:t>
      </w:r>
      <w:r>
        <w:t xml:space="preserve">Syrifloi</w:t>
      </w:r>
      <w:r>
        <w:t xml:space="preserve">”</w:t>
      </w:r>
      <w:r>
        <w:t xml:space="preserve">;</w:t>
      </w:r>
      <w:r>
        <w:t xml:space="preserve"> </w:t>
      </w:r>
      <m:oMath>
        <m:r>
          <m:t>29</m:t>
        </m:r>
        <m:sSup>
          <m:e>
            <m:r>
              <m:rPr>
                <m:nor/>
                <m:sty m:val="p"/>
              </m:rPr>
              <m:t>km</m:t>
            </m:r>
          </m:e>
          <m:sup>
            <m:r>
              <m:t>2</m:t>
            </m:r>
          </m:sup>
        </m:sSup>
      </m:oMath>
      <w:r>
        <w:t xml:space="preserve">) basins</w:t>
      </w:r>
      <w:r>
        <w:t xml:space="preserve"> </w:t>
      </w:r>
      <w:r>
        <w:t xml:space="preserve">connected by a narrow channel</w:t>
      </w:r>
      <w:r>
        <w:t xml:space="preserve"> </w:t>
      </w:r>
      <w:r>
        <w:t xml:space="preserve">(Á. Einarsson et al. 2004)</w:t>
      </w:r>
      <w:r>
        <w:t xml:space="preserve">.</w:t>
      </w:r>
      <w:r>
        <w:t xml:space="preserve"> </w:t>
      </w:r>
      <w:r>
        <w:t xml:space="preserve">Mývatn is shallow (south basin mean depth = 2.3m) and</w:t>
      </w:r>
      <w:r>
        <w:t xml:space="preserve"> </w:t>
      </w:r>
      <w:r>
        <w:t xml:space="preserve">fed by nutrient-rich springs that sustain high benthic primary and secondary production.</w:t>
      </w:r>
      <w:r>
        <w:t xml:space="preserve"> </w:t>
      </w:r>
      <w:r>
        <w:t xml:space="preserve">The latter comprises large but temporally variable populations of benthic invertebrates</w:t>
      </w:r>
      <w:r>
        <w:t xml:space="preserve"> </w:t>
      </w:r>
      <w:r>
        <w:t xml:space="preserve">such as midges and cladocerans</w:t>
      </w:r>
      <w:r>
        <w:t xml:space="preserve"> </w:t>
      </w:r>
      <w:r>
        <w:t xml:space="preserve">(Á. Einarsson and Örnólfsdóttir 2004; Gardarsson et al. 2004)</w:t>
      </w:r>
      <w:r>
        <w:t xml:space="preserve">.</w:t>
      </w:r>
      <w:r>
        <w:t xml:space="preserve"> </w:t>
      </w:r>
      <w:r>
        <w:t xml:space="preserve">The benthic invertebrates are in turn</w:t>
      </w:r>
      <w:r>
        <w:t xml:space="preserve"> </w:t>
      </w:r>
      <w:r>
        <w:t xml:space="preserve">an important food source for Mývatn’s vertebrate populations,</w:t>
      </w:r>
      <w:r>
        <w:t xml:space="preserve"> </w:t>
      </w:r>
      <w:r>
        <w:t xml:space="preserve">including Arctic charr, threespine stickleback (</w:t>
      </w:r>
      <w:r>
        <w:rPr>
          <w:i/>
        </w:rPr>
        <w:t xml:space="preserve">Gasterosteus aculeatus</w:t>
      </w:r>
      <w:r>
        <w:t xml:space="preserve">),</w:t>
      </w:r>
      <w:r>
        <w:t xml:space="preserve"> </w:t>
      </w:r>
      <w:r>
        <w:t xml:space="preserve">brown trout (</w:t>
      </w:r>
      <w:r>
        <w:rPr>
          <w:i/>
        </w:rPr>
        <w:t xml:space="preserve">Salmo trutta</w:t>
      </w:r>
      <w:r>
        <w:t xml:space="preserve">), and waterfowl</w:t>
      </w:r>
      <w:r>
        <w:t xml:space="preserve"> </w:t>
      </w:r>
      <w:r>
        <w:t xml:space="preserve">(Á. Einarsson et al. 2004)</w:t>
      </w:r>
      <w:r>
        <w:t xml:space="preserve">.</w:t>
      </w:r>
      <w:r>
        <w:t xml:space="preserve"> </w:t>
      </w:r>
      <w:r>
        <w:t xml:space="preserve">The north basin was historically dredged,</w:t>
      </w:r>
      <w:r>
        <w:t xml:space="preserve"> </w:t>
      </w:r>
      <w:r>
        <w:t xml:space="preserve">which likely affected many populations in the lake,</w:t>
      </w:r>
      <w:r>
        <w:t xml:space="preserve"> </w:t>
      </w:r>
      <w:r>
        <w:t xml:space="preserve">although such effects are poorly understood</w:t>
      </w:r>
      <w:r>
        <w:t xml:space="preserve"> </w:t>
      </w:r>
      <w:r>
        <w:t xml:space="preserve">(Á. Einarsson et al. 2004)</w:t>
      </w:r>
      <w:r>
        <w:t xml:space="preserve">.</w:t>
      </w:r>
    </w:p>
    <w:p>
      <w:pPr>
        <w:pStyle w:val="BodyText"/>
      </w:pPr>
      <w:r>
        <w:t xml:space="preserve">While some Arctic charr populations are anadromous,</w:t>
      </w:r>
      <w:r>
        <w:t xml:space="preserve"> </w:t>
      </w:r>
      <w:r>
        <w:t xml:space="preserve">Mývatn’s population to resides strictly within the lake;</w:t>
      </w:r>
      <w:r>
        <w:t xml:space="preserve"> </w:t>
      </w:r>
      <w:r>
        <w:t xml:space="preserve">while there is major outflow that connects the lake to the Greenland Sea,</w:t>
      </w:r>
      <w:r>
        <w:t xml:space="preserve"> </w:t>
      </w:r>
      <w:r>
        <w:t xml:space="preserve">naturally barriers likely prevent individuals from entering the lake from downriver</w:t>
      </w:r>
      <w:r>
        <w:t xml:space="preserve"> </w:t>
      </w:r>
      <w:r>
        <w:t xml:space="preserve">(Gu</w:t>
      </w:r>
      <w:r>
        <w:t xml:space="preserve">bergsson 2004)</w:t>
      </w:r>
      <w:r>
        <w:t xml:space="preserve">.</w:t>
      </w:r>
      <w:r>
        <w:t xml:space="preserve"> </w:t>
      </w:r>
      <w:r>
        <w:t xml:space="preserve">There are two charr morphs within Mývatn: pelagic (size at maturation of 35–50cm)</w:t>
      </w:r>
      <w:r>
        <w:t xml:space="preserve"> </w:t>
      </w:r>
      <w:r>
        <w:t xml:space="preserve">and small benthic (20–25cm). However, the small benthic morph is restricted to a small</w:t>
      </w:r>
      <w:r>
        <w:t xml:space="preserve"> </w:t>
      </w:r>
      <w:r>
        <w:t xml:space="preserve">and relatively isolated part of the south basin</w:t>
      </w:r>
      <w:r>
        <w:t xml:space="preserve"> </w:t>
      </w:r>
      <w:r>
        <w:t xml:space="preserve">(Gu</w:t>
      </w:r>
      <w:r>
        <w:t xml:space="preserve">bergsson 2004)</w:t>
      </w:r>
      <w:r>
        <w:t xml:space="preserve">;</w:t>
      </w:r>
      <w:r>
        <w:t xml:space="preserve"> </w:t>
      </w:r>
      <w:r>
        <w:t xml:space="preserve">therefore, the pelagic morph is the focus of this study.</w:t>
      </w:r>
      <w:r>
        <w:t xml:space="preserve"> </w:t>
      </w:r>
      <w:r>
        <w:t xml:space="preserve">Gut content data reveal a diverse diet, including midges, snails, clams, zooplankton,</w:t>
      </w:r>
      <w:r>
        <w:t xml:space="preserve"> </w:t>
      </w:r>
      <w:r>
        <w:t xml:space="preserve">benthic crustaceans, and sticklebacks.</w:t>
      </w:r>
      <w:r>
        <w:t xml:space="preserve"> </w:t>
      </w:r>
      <w:r>
        <w:t xml:space="preserve">The large-bodied cladoceran</w:t>
      </w:r>
      <w:r>
        <w:t xml:space="preserve"> </w:t>
      </w:r>
      <w:r>
        <w:rPr>
          <w:i/>
        </w:rPr>
        <w:t xml:space="preserve">Eurycercus lamellatus</w:t>
      </w:r>
      <w:r>
        <w:t xml:space="preserve"> </w:t>
      </w:r>
      <w:r>
        <w:t xml:space="preserve">is thought to be a particularly important prey item</w:t>
      </w:r>
      <w:r>
        <w:t xml:space="preserve"> </w:t>
      </w:r>
      <w:r>
        <w:t xml:space="preserve">(Gu</w:t>
      </w:r>
      <w:r>
        <w:t xml:space="preserve">bergsson 2004)</w:t>
      </w:r>
      <w:r>
        <w:t xml:space="preserve">.</w:t>
      </w:r>
      <w:r>
        <w:t xml:space="preserve"> </w:t>
      </w:r>
      <w:r>
        <w:t xml:space="preserve">Some charr populations are cannibalistic</w:t>
      </w:r>
      <w:r>
        <w:t xml:space="preserve"> </w:t>
      </w:r>
      <w:r>
        <w:t xml:space="preserve">(Klemetsen et al. 2003)</w:t>
      </w:r>
      <w:r>
        <w:t xml:space="preserve">,</w:t>
      </w:r>
      <w:r>
        <w:t xml:space="preserve"> </w:t>
      </w:r>
      <w:r>
        <w:t xml:space="preserve">especially in the absence of other large-bodied prey (e.g., fish).</w:t>
      </w:r>
      <w:r>
        <w:t xml:space="preserve"> </w:t>
      </w:r>
      <w:r>
        <w:t xml:space="preserve">However, the charr in Mývatn appear to lack cannibalism based on gut content data</w:t>
      </w:r>
      <w:r>
        <w:t xml:space="preserve"> </w:t>
      </w:r>
      <w:r>
        <w:t xml:space="preserve">(Gu</w:t>
      </w:r>
      <w:r>
        <w:t xml:space="preserve">bergsson 2004)</w:t>
      </w:r>
      <w:r>
        <w:t xml:space="preserve">, although this is difficult to assess definitely.</w:t>
      </w:r>
    </w:p>
    <w:bookmarkEnd w:id="22"/>
    <w:bookmarkStart w:id="23" w:name="data"/>
    <w:p>
      <w:pPr>
        <w:pStyle w:val="Heading2"/>
      </w:pPr>
      <w:r>
        <w:t xml:space="preserve">Data</w:t>
      </w:r>
    </w:p>
    <w:p>
      <w:pPr>
        <w:pStyle w:val="FirstParagraph"/>
      </w:pPr>
      <w:r>
        <w:t xml:space="preserve">Systematic surveys of Mývatn’s Arctic charr have been conducted</w:t>
      </w:r>
      <w:r>
        <w:t xml:space="preserve"> </w:t>
      </w:r>
      <w:r>
        <w:t xml:space="preserve">with gill nets every year from 1986-2020 by a single researcher (G. Gubergsson)</w:t>
      </w:r>
      <w:r>
        <w:t xml:space="preserve"> </w:t>
      </w:r>
      <w:r>
        <w:t xml:space="preserve">using a consistent methodology.</w:t>
      </w:r>
      <w:r>
        <w:t xml:space="preserve"> </w:t>
      </w:r>
      <w:r>
        <w:t xml:space="preserve">The surveys largely took place after the period of most dramatic population decline</w:t>
      </w:r>
      <w:r>
        <w:t xml:space="preserve"> </w:t>
      </w:r>
      <w:r>
        <w:t xml:space="preserve">(Gu</w:t>
      </w:r>
      <w:r>
        <w:t xml:space="preserve">bergsson 2004)</w:t>
      </w:r>
      <w:r>
        <w:t xml:space="preserve"> </w:t>
      </w:r>
      <w:r>
        <w:t xml:space="preserve">and were intended to monitor the recovery of the population following its collapse.</w:t>
      </w:r>
      <w:r>
        <w:t xml:space="preserve"> </w:t>
      </w:r>
      <w:r>
        <w:t xml:space="preserve">Eleven survey stations were sampled from around the lake,</w:t>
      </w:r>
      <w:r>
        <w:t xml:space="preserve"> </w:t>
      </w:r>
      <w:r>
        <w:t xml:space="preserve">most of which were located in the south basin.</w:t>
      </w:r>
      <w:r>
        <w:t xml:space="preserve"> </w:t>
      </w:r>
      <w:r>
        <w:t xml:space="preserve">Captured individuals were aged either by otoliths directly or</w:t>
      </w:r>
      <w:r>
        <w:t xml:space="preserve"> </w:t>
      </w:r>
      <w:r>
        <w:t xml:space="preserve">with an estimate based on length.</w:t>
      </w:r>
      <w:r>
        <w:t xml:space="preserve"> </w:t>
      </w:r>
      <w:r>
        <w:t xml:space="preserve">The surveys were conducted in fall (late August through September)</w:t>
      </w:r>
      <w:r>
        <w:t xml:space="preserve"> </w:t>
      </w:r>
      <w:r>
        <w:t xml:space="preserve">of every year just before spawning and in June in a subset of years.</w:t>
      </w:r>
      <w:r>
        <w:t xml:space="preserve"> </w:t>
      </w:r>
      <w:r>
        <w:t xml:space="preserve">For this analysis we used only the August/September data.</w:t>
      </w:r>
      <w:r>
        <w:t xml:space="preserve"> </w:t>
      </w:r>
      <w:r>
        <w:t xml:space="preserve">Therefore, in our age classifications an individual of age</w:t>
      </w:r>
      <w:r>
        <w:t xml:space="preserve"> </w:t>
      </w:r>
      <w:r>
        <w:t xml:space="preserve">“</w:t>
      </w:r>
      <w:r>
        <w:t xml:space="preserve">x</w:t>
      </w:r>
      <w:r>
        <w:t xml:space="preserve">”</w:t>
      </w:r>
      <w:r>
        <w:t xml:space="preserve"> </w:t>
      </w:r>
      <w:r>
        <w:t xml:space="preserve">is an individual</w:t>
      </w:r>
      <w:r>
        <w:t xml:space="preserve"> </w:t>
      </w:r>
      <w:r>
        <w:t xml:space="preserve">that survived to that age (e.g., an</w:t>
      </w:r>
      <w:r>
        <w:t xml:space="preserve"> </w:t>
      </w:r>
      <w:r>
        <w:t xml:space="preserve">“</w:t>
      </w:r>
      <w:r>
        <w:t xml:space="preserve">age 1</w:t>
      </w:r>
      <w:r>
        <w:t xml:space="preserve">”</w:t>
      </w:r>
      <w:r>
        <w:t xml:space="preserve"> </w:t>
      </w:r>
      <w:r>
        <w:t xml:space="preserve">individual was born in the previous fall).</w:t>
      </w:r>
      <w:r>
        <w:t xml:space="preserve"> </w:t>
      </w:r>
      <w:r>
        <w:t xml:space="preserve">The oldest individuals in the data set were 12 years old, although observations</w:t>
      </w:r>
      <w:r>
        <w:t xml:space="preserve"> </w:t>
      </w:r>
      <w:r>
        <w:t xml:space="preserve">of individuals older than 6 years are sparse</w:t>
      </w:r>
      <w:r>
        <w:t xml:space="preserve"> </w:t>
      </w:r>
      <w:r>
        <w:t xml:space="preserve">(Figure</w:t>
      </w:r>
      <w:r>
        <w:t xml:space="preserve"> </w:t>
      </w:r>
      <w:hyperlink w:anchor="fig:p_cohort">
        <w:r>
          <w:rPr>
            <w:rStyle w:val="Hyperlink"/>
          </w:rPr>
          <w:t xml:space="preserve">6</w:t>
        </w:r>
      </w:hyperlink>
      <w:r>
        <w:t xml:space="preserve">).</w:t>
      </w:r>
      <w:r>
        <w:t xml:space="preserve"> </w:t>
      </w:r>
      <w:r>
        <w:t xml:space="preserve">In Mývatn, charr reach maturity at 4-5 years of age,</w:t>
      </w:r>
      <w:r>
        <w:t xml:space="preserve"> </w:t>
      </w:r>
      <w:r>
        <w:t xml:space="preserve">and therefore we grouped the older individuals into a single reproductive age class</w:t>
      </w:r>
      <w:r>
        <w:t xml:space="preserve"> </w:t>
      </w:r>
      <w:r>
        <w:t xml:space="preserve">denoted</w:t>
      </w:r>
      <w:r>
        <w:t xml:space="preserve"> </w:t>
      </w:r>
      <w:r>
        <w:t xml:space="preserve">“</w:t>
      </w:r>
      <w:r>
        <w:t xml:space="preserve">age 4+</w:t>
      </w:r>
      <w:r>
        <w:t xml:space="preserve">”</w:t>
      </w:r>
      <w:r>
        <w:t xml:space="preserve">.</w:t>
      </w:r>
    </w:p>
    <w:bookmarkEnd w:id="23"/>
    <w:bookmarkStart w:id="24" w:name="statistical-analysis"/>
    <w:p>
      <w:pPr>
        <w:pStyle w:val="Heading2"/>
      </w:pPr>
      <w:r>
        <w:t xml:space="preserve">Statistical analysis</w:t>
      </w:r>
    </w:p>
    <w:p>
      <w:pPr>
        <w:pStyle w:val="FirstParagraph"/>
      </w:pPr>
      <w:r>
        <w:t xml:space="preserve">We characterized the demography of the charr population</w:t>
      </w:r>
      <w:r>
        <w:t xml:space="preserve"> </w:t>
      </w:r>
      <w:r>
        <w:t xml:space="preserve">using an age-structured model</w:t>
      </w:r>
      <w:r>
        <w:t xml:space="preserve"> </w:t>
      </w:r>
      <w:r>
        <w:t xml:space="preserve">(Caswell 2001)</w:t>
      </w:r>
      <w:r>
        <w:t xml:space="preserve"> </w:t>
      </w:r>
      <w:r>
        <w:t xml:space="preserve">with time-varying demographic rates</w:t>
      </w:r>
      <w:r>
        <w:t xml:space="preserve"> </w:t>
      </w:r>
      <w:r>
        <w:t xml:space="preserve">(Zeng et al. 1998; Ives and Dakos 2012; Nielsen and Berg 2014)</w:t>
      </w:r>
      <w:r>
        <w:t xml:space="preserve">.</w:t>
      </w:r>
      <w:r>
        <w:t xml:space="preserve"> </w:t>
      </w:r>
      <w:r>
        <w:t xml:space="preserve">The model projected the dynamics from one time step to the next as</w:t>
      </w:r>
    </w:p>
    <w:p>
      <w:pPr>
        <w:pStyle w:val="BodyText"/>
      </w:pPr>
      <m:oMathPara>
        <m:oMathParaPr>
          <m:jc m:val="center"/>
        </m:oMathParaPr>
        <m:oMath>
          <m:sSub>
            <m:e>
              <m:r>
                <m:rPr>
                  <m:sty m:val="b"/>
                </m:rPr>
                <m:t>x</m:t>
              </m:r>
            </m:e>
            <m:sub>
              <m:r>
                <m:t>t</m:t>
              </m:r>
            </m:sub>
          </m:sSub>
          <m:r>
            <m:t>=</m:t>
          </m:r>
          <m:sSub>
            <m:e>
              <m:r>
                <m:rPr>
                  <m:sty m:val="b"/>
                </m:rPr>
                <m:t>P</m:t>
              </m:r>
            </m:e>
            <m:sub>
              <m:r>
                <m:t>t</m:t>
              </m:r>
              <m:r>
                <m:t>−</m:t>
              </m:r>
              <m:r>
                <m:t>1</m:t>
              </m:r>
            </m:sub>
          </m:sSub>
          <m:r>
            <m:t> </m:t>
          </m:r>
          <m:sSub>
            <m:e>
              <m:r>
                <m:rPr>
                  <m:sty m:val="b"/>
                </m:rPr>
                <m:t>x</m:t>
              </m:r>
            </m:e>
            <m:sub>
              <m:r>
                <m:t>t</m:t>
              </m:r>
              <m:r>
                <m:t>−</m:t>
              </m:r>
              <m:r>
                <m:t>1</m:t>
              </m:r>
            </m:sub>
          </m:sSub>
        </m:oMath>
      </m:oMathPara>
    </w:p>
    <w:p>
      <w:pPr>
        <w:pStyle w:val="FirstParagraph"/>
      </w:pPr>
      <w:r>
        <w:t xml:space="preserve">where</w:t>
      </w:r>
      <w:r>
        <w:t xml:space="preserve"> </w:t>
      </w:r>
      <m:oMath>
        <m:sSub>
          <m:e>
            <m:r>
              <m:rPr>
                <m:sty m:val="b"/>
              </m:rPr>
              <m:t>P</m:t>
            </m:r>
          </m:e>
          <m:sub>
            <m:r>
              <m:t>t</m:t>
            </m:r>
          </m:sub>
        </m:sSub>
      </m:oMath>
      <w:r>
        <w:t xml:space="preserve"> </w:t>
      </w:r>
      <w:r>
        <w:t xml:space="preserve">is a demographic projection matrix,</w:t>
      </w:r>
      <w:r>
        <w:t xml:space="preserve"> </w:t>
      </w:r>
      <w:r>
        <w:t xml:space="preserve">and</w:t>
      </w:r>
      <w:r>
        <w:t xml:space="preserve"> </w:t>
      </w:r>
      <m:oMath>
        <m:sSub>
          <m:e>
            <m:r>
              <m:rPr>
                <m:sty m:val="b"/>
              </m:rPr>
              <m:t>x</m:t>
            </m:r>
          </m:e>
          <m:sub>
            <m:r>
              <m:t>t</m:t>
            </m:r>
          </m:sub>
        </m:sSub>
      </m:oMath>
      <w:r>
        <w:t xml:space="preserve"> </w:t>
      </w:r>
      <w:r>
        <w:t xml:space="preserve">is an age-structured vector of scaled population densities</w:t>
      </w:r>
      <w:r>
        <w:t xml:space="preserve"> </w:t>
      </w:r>
      <w:r>
        <w:t xml:space="preserve">(see description of scaling below) at time</w:t>
      </w:r>
      <w:r>
        <w:t xml:space="preserve"> </w:t>
      </w:r>
      <m:oMath>
        <m:r>
          <m:t>t</m:t>
        </m:r>
      </m:oMath>
      <w:r>
        <w:t xml:space="preserve">.</w:t>
      </w:r>
      <w:r>
        <w:t xml:space="preserve"> </w:t>
      </w:r>
      <w:r>
        <w:t xml:space="preserve">The projection matrix was defined as</w:t>
      </w:r>
    </w:p>
    <w:p>
      <w:pPr>
        <w:pStyle w:val="BodyText"/>
      </w:pPr>
      <m:oMathPara>
        <m:oMathParaPr>
          <m:jc m:val="center"/>
        </m:oMathParaPr>
        <m:oMath>
          <m:sSub>
            <m:e>
              <m:r>
                <m:rPr>
                  <m:sty m:val="b"/>
                </m:rPr>
                <m:t>P</m:t>
              </m:r>
            </m:e>
            <m:sub>
              <m:r>
                <m:t>t</m:t>
              </m:r>
            </m:sub>
          </m:sSub>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t>0</m:t>
                    </m:r>
                  </m:e>
                  <m:e>
                    <m:r>
                      <m:t>0</m:t>
                    </m:r>
                  </m:e>
                  <m:e>
                    <m:sSub>
                      <m:e>
                        <m:r>
                          <m:t>ρ</m:t>
                        </m:r>
                      </m:e>
                      <m:sub>
                        <m:r>
                          <m:t>t</m:t>
                        </m:r>
                      </m:sub>
                    </m:sSub>
                  </m:e>
                </m:mr>
                <m:mr>
                  <m:e>
                    <m:sSub>
                      <m:e>
                        <m:r>
                          <m:t>ϕ</m:t>
                        </m:r>
                      </m:e>
                      <m:sub>
                        <m:r>
                          <m:t>1</m:t>
                        </m:r>
                        <m:r>
                          <m:t>,</m:t>
                        </m:r>
                        <m:r>
                          <m:t>t</m:t>
                        </m:r>
                      </m:sub>
                    </m:sSub>
                  </m:e>
                  <m:e>
                    <m:r>
                      <m:t>0</m:t>
                    </m:r>
                  </m:e>
                  <m:e>
                    <m:r>
                      <m:t>0</m:t>
                    </m:r>
                  </m:e>
                  <m:e>
                    <m:r>
                      <m:t>0</m:t>
                    </m:r>
                  </m:e>
                </m:mr>
                <m:mr>
                  <m:e>
                    <m:r>
                      <m:t>0</m:t>
                    </m:r>
                  </m:e>
                  <m:e>
                    <m:sSub>
                      <m:e>
                        <m:r>
                          <m:t>ϕ</m:t>
                        </m:r>
                      </m:e>
                      <m:sub>
                        <m:r>
                          <m:t>2</m:t>
                        </m:r>
                        <m:r>
                          <m:t>,</m:t>
                        </m:r>
                        <m:r>
                          <m:t>t</m:t>
                        </m:r>
                      </m:sub>
                    </m:sSub>
                  </m:e>
                  <m:e>
                    <m:r>
                      <m:t>0</m:t>
                    </m:r>
                  </m:e>
                  <m:e>
                    <m:r>
                      <m:t>0</m:t>
                    </m:r>
                  </m:e>
                </m:mr>
                <m:mr>
                  <m:e>
                    <m:r>
                      <m:t>0</m:t>
                    </m:r>
                  </m:e>
                  <m:e>
                    <m:r>
                      <m:t>0</m:t>
                    </m:r>
                  </m:e>
                  <m:e>
                    <m:sSub>
                      <m:e>
                        <m:r>
                          <m:t>ϕ</m:t>
                        </m:r>
                      </m:e>
                      <m:sub>
                        <m:r>
                          <m:t>3</m:t>
                        </m:r>
                        <m:r>
                          <m:t>,</m:t>
                        </m:r>
                        <m:r>
                          <m:t>t</m:t>
                        </m:r>
                      </m:sub>
                    </m:sSub>
                  </m:e>
                  <m:e>
                    <m:sSub>
                      <m:e>
                        <m:r>
                          <m:t>ϕ</m:t>
                        </m:r>
                      </m:e>
                      <m:sub>
                        <m:r>
                          <m:t>4</m:t>
                        </m:r>
                        <m:r>
                          <m:t>,</m:t>
                        </m:r>
                        <m:r>
                          <m:t>t</m:t>
                        </m:r>
                      </m:sub>
                    </m:sSub>
                  </m:e>
                </m:mr>
              </m:m>
            </m:e>
          </m:d>
        </m:oMath>
      </m:oMathPara>
    </w:p>
    <w:p>
      <w:pPr>
        <w:pStyle w:val="FirstParagraph"/>
      </w:pPr>
      <w:r>
        <w:t xml:space="preserve">where</w:t>
      </w:r>
      <w:r>
        <w:t xml:space="preserve"> </w:t>
      </w:r>
      <m:oMath>
        <m:sSub>
          <m:e>
            <m:r>
              <m:t>ρ</m:t>
            </m:r>
          </m:e>
          <m:sub>
            <m:r>
              <m:t>t</m:t>
            </m:r>
          </m:sub>
        </m:sSub>
      </m:oMath>
      <w:r>
        <w:t xml:space="preserve"> </w:t>
      </w:r>
      <w:r>
        <w:t xml:space="preserve">is per capita recruitment</w:t>
      </w:r>
      <w:r>
        <w:t xml:space="preserve"> </w:t>
      </w:r>
      <w:r>
        <w:t xml:space="preserve">and</w:t>
      </w:r>
      <w:r>
        <w:t xml:space="preserve"> </w:t>
      </w:r>
      <m:oMath>
        <m:sSub>
          <m:e>
            <m:r>
              <m:t>ϕ</m:t>
            </m:r>
          </m:e>
          <m:sub>
            <m:r>
              <m:t>1</m:t>
            </m:r>
            <m:r>
              <m:t>,</m:t>
            </m:r>
            <m:r>
              <m:t>t</m:t>
            </m:r>
          </m:sub>
        </m:sSub>
      </m:oMath>
      <w:r>
        <w:t xml:space="preserve"> </w:t>
      </w:r>
      <w:r>
        <w:t xml:space="preserve">is the survival probability of age class</w:t>
      </w:r>
      <w:r>
        <w:t xml:space="preserve"> </w:t>
      </w:r>
      <m:oMath>
        <m:r>
          <m:t>i</m:t>
        </m:r>
      </m:oMath>
      <w:r>
        <w:t xml:space="preserve">.</w:t>
      </w:r>
      <w:r>
        <w:t xml:space="preserve"> </w:t>
      </w:r>
      <w:r>
        <w:t xml:space="preserve">The model includes only four age classes,</w:t>
      </w:r>
      <w:r>
        <w:t xml:space="preserve"> </w:t>
      </w:r>
      <w:r>
        <w:t xml:space="preserve">and individuals surviving beyond age 4 return to the age 4+ class.</w:t>
      </w:r>
    </w:p>
    <w:p>
      <w:pPr>
        <w:pStyle w:val="BodyText"/>
      </w:pPr>
      <w:r>
        <w:t xml:space="preserve">Temporal variation in recruitment was modeled as a random walk on a log scale to ensure</w:t>
      </w:r>
      <w:r>
        <w:t xml:space="preserve"> </w:t>
      </w:r>
      <w:r>
        <w:t xml:space="preserve">that the values remained positive: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m:t>
                </m:r>
                <m:d>
                  <m:dPr>
                    <m:begChr m:val="("/>
                    <m:endChr m:val=")"/>
                    <m:grow/>
                  </m:dPr>
                  <m:e>
                    <m:sSub>
                      <m:e>
                        <m:r>
                          <m:t>ρ</m:t>
                        </m:r>
                      </m:e>
                      <m:sub>
                        <m:r>
                          <m:t>t</m:t>
                        </m:r>
                      </m:sub>
                    </m:sSub>
                  </m:e>
                </m:d>
              </m:e>
              <m:e>
                <m:r>
                  <m:t>=</m:t>
                </m:r>
                <m:r>
                  <m:rPr>
                    <m:nor/>
                    <m:sty m:val="p"/>
                  </m:rPr>
                  <m:t>log</m:t>
                </m:r>
                <m:d>
                  <m:dPr>
                    <m:begChr m:val="("/>
                    <m:endChr m:val=")"/>
                    <m:grow/>
                  </m:dPr>
                  <m:e>
                    <m:sSub>
                      <m:e>
                        <m:r>
                          <m:t>ρ</m:t>
                        </m:r>
                      </m:e>
                      <m:sub>
                        <m:r>
                          <m:t>t</m:t>
                        </m:r>
                        <m:r>
                          <m:t>−</m:t>
                        </m:r>
                        <m:r>
                          <m:t>1</m:t>
                        </m:r>
                      </m:sub>
                    </m:sSub>
                  </m:e>
                </m:d>
                <m:r>
                  <m:t>+</m:t>
                </m:r>
                <m:sSub>
                  <m:e>
                    <m:r>
                      <m:t>ϵ</m:t>
                    </m:r>
                  </m:e>
                  <m:sub>
                    <m:r>
                      <m:t>ρ</m:t>
                    </m:r>
                    <m:r>
                      <m:t>,</m:t>
                    </m:r>
                    <m:r>
                      <m:t>t</m:t>
                    </m:r>
                  </m:sub>
                </m:sSub>
              </m:e>
            </m:mr>
            <m:mr>
              <m:e>
                <m:sSub>
                  <m:e>
                    <m:r>
                      <m:t>ϵ</m:t>
                    </m:r>
                  </m:e>
                  <m:sub>
                    <m:r>
                      <m:t>ρ</m:t>
                    </m:r>
                    <m:r>
                      <m:t>,</m:t>
                    </m:r>
                    <m:r>
                      <m:t>t</m:t>
                    </m:r>
                  </m:sub>
                </m:sSub>
              </m:e>
              <m:e>
                <m:r>
                  <m:t>∼</m:t>
                </m:r>
                <m:r>
                  <m:rPr>
                    <m:nor/>
                    <m:sty m:val="p"/>
                  </m:rPr>
                  <m:t>Gaussian</m:t>
                </m:r>
                <m:d>
                  <m:dPr>
                    <m:begChr m:val="("/>
                    <m:endChr m:val=")"/>
                    <m:grow/>
                  </m:dPr>
                  <m:e>
                    <m:r>
                      <m:t>0</m:t>
                    </m:r>
                    <m:r>
                      <m:t>,</m:t>
                    </m:r>
                    <m:sSub>
                      <m:e>
                        <m:r>
                          <m:t>σ</m:t>
                        </m:r>
                      </m:e>
                      <m:sub>
                        <m:r>
                          <m:t>ρ</m:t>
                        </m:r>
                      </m:sub>
                    </m:sSub>
                  </m:e>
                </m:d>
              </m:e>
            </m:mr>
          </m:m>
        </m:oMath>
      </m:oMathPara>
    </w:p>
    <w:p>
      <w:pPr>
        <w:pStyle w:val="FirstParagraph"/>
      </w:pPr>
      <w:r>
        <w:t xml:space="preserve">where</w:t>
      </w:r>
      <w:r>
        <w:t xml:space="preserve"> </w:t>
      </w:r>
      <m:oMath>
        <m:sSub>
          <m:e>
            <m:r>
              <m:t>ϵ</m:t>
            </m:r>
          </m:e>
          <m:sub>
            <m:r>
              <m:t>ρ</m:t>
            </m:r>
            <m:r>
              <m:t>,</m:t>
            </m:r>
            <m:r>
              <m:t>t</m:t>
            </m:r>
          </m:sub>
        </m:sSub>
      </m:oMath>
      <w:r>
        <w:t xml:space="preserve"> </w:t>
      </w:r>
      <w:r>
        <w:t xml:space="preserve">is the random walk step at time</w:t>
      </w:r>
      <w:r>
        <w:t xml:space="preserve"> </w:t>
      </w:r>
      <m:oMath>
        <m:r>
          <m:t>t</m:t>
        </m:r>
      </m:oMath>
      <w:r>
        <w:t xml:space="preserve">.</w:t>
      </w:r>
      <w:r>
        <w:t xml:space="preserve"> </w:t>
      </w:r>
      <w:r>
        <w:t xml:space="preserve">The steps of the random walk followed a Gaussian distribution with mean of 0</w:t>
      </w:r>
      <w:r>
        <w:t xml:space="preserve"> </w:t>
      </w:r>
      <w:r>
        <w:t xml:space="preserve">and standard deviation (SD) of</w:t>
      </w:r>
      <w:r>
        <w:t xml:space="preserve"> </w:t>
      </w:r>
      <m:oMath>
        <m:sSub>
          <m:e>
            <m:r>
              <m:t>ϵ</m:t>
            </m:r>
          </m:e>
          <m:sub>
            <m:r>
              <m:t>ρ</m:t>
            </m:r>
            <m:r>
              <m:t>,</m:t>
            </m:r>
            <m:r>
              <m:t>t</m:t>
            </m:r>
          </m:sub>
        </m:sSub>
      </m:oMath>
      <w:r>
        <w:t xml:space="preserve">.</w:t>
      </w:r>
      <w:r>
        <w:t xml:space="preserve"> </w:t>
      </w:r>
      <w:r>
        <w:t xml:space="preserve">Temporal variation in survival probability for age class</w:t>
      </w:r>
      <w:r>
        <w:t xml:space="preserve"> </w:t>
      </w:r>
      <m:oMath>
        <m:r>
          <m:t>i</m:t>
        </m:r>
      </m:oMath>
      <w:r>
        <w:t xml:space="preserve"> </w:t>
      </w:r>
      <w:r>
        <w:t xml:space="preserve">was modeled analogously</w:t>
      </w:r>
      <w:r>
        <w:t xml:space="preserve"> </w:t>
      </w:r>
      <w:r>
        <w:t xml:space="preserve">on a logit-scale: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logit</m:t>
                </m:r>
                <m:d>
                  <m:dPr>
                    <m:begChr m:val="("/>
                    <m:endChr m:val=")"/>
                    <m:grow/>
                  </m:dPr>
                  <m:e>
                    <m:sSub>
                      <m:e>
                        <m:r>
                          <m:t>ϕ</m:t>
                        </m:r>
                      </m:e>
                      <m:sub>
                        <m:r>
                          <m:t>i</m:t>
                        </m:r>
                        <m:r>
                          <m:t>,</m:t>
                        </m:r>
                        <m:r>
                          <m:t>t</m:t>
                        </m:r>
                      </m:sub>
                    </m:sSub>
                  </m:e>
                </m:d>
              </m:e>
              <m:e>
                <m:r>
                  <m:t>=</m:t>
                </m:r>
                <m:r>
                  <m:rPr>
                    <m:nor/>
                    <m:sty m:val="p"/>
                  </m:rPr>
                  <m:t>logit</m:t>
                </m:r>
                <m:d>
                  <m:dPr>
                    <m:begChr m:val="("/>
                    <m:endChr m:val=")"/>
                    <m:grow/>
                  </m:dPr>
                  <m:e>
                    <m:sSub>
                      <m:e>
                        <m:r>
                          <m:t>ϕ</m:t>
                        </m:r>
                      </m:e>
                      <m:sub>
                        <m:r>
                          <m:t>i</m:t>
                        </m:r>
                        <m:r>
                          <m:t>,</m:t>
                        </m:r>
                        <m:r>
                          <m:t>t</m:t>
                        </m:r>
                        <m:r>
                          <m:t>−</m:t>
                        </m:r>
                        <m:r>
                          <m:t>1</m:t>
                        </m:r>
                      </m:sub>
                    </m:sSub>
                  </m:e>
                </m:d>
                <m:r>
                  <m:t>+</m:t>
                </m:r>
                <m:sSub>
                  <m:e>
                    <m:r>
                      <m:t>ϵ</m:t>
                    </m:r>
                  </m:e>
                  <m:sub>
                    <m:r>
                      <m:t>ϕ</m:t>
                    </m:r>
                    <m:r>
                      <m:t>,</m:t>
                    </m:r>
                    <m:r>
                      <m:t>i</m:t>
                    </m:r>
                    <m:r>
                      <m:t>,</m:t>
                    </m:r>
                    <m:r>
                      <m:t>t</m:t>
                    </m:r>
                  </m:sub>
                </m:sSub>
              </m:e>
            </m:mr>
            <m:mr>
              <m:e>
                <m:sSub>
                  <m:e>
                    <m:r>
                      <m:t>ϵ</m:t>
                    </m:r>
                  </m:e>
                  <m:sub>
                    <m:r>
                      <m:t>ϕ</m:t>
                    </m:r>
                    <m:r>
                      <m:t>,</m:t>
                    </m:r>
                    <m:r>
                      <m:t>i</m:t>
                    </m:r>
                    <m:r>
                      <m:t>,</m:t>
                    </m:r>
                    <m:r>
                      <m:t>t</m:t>
                    </m:r>
                  </m:sub>
                </m:sSub>
              </m:e>
              <m:e>
                <m:r>
                  <m:t>∼</m:t>
                </m:r>
                <m:r>
                  <m:rPr>
                    <m:nor/>
                    <m:sty m:val="p"/>
                  </m:rPr>
                  <m:t>Gaussian</m:t>
                </m:r>
                <m:d>
                  <m:dPr>
                    <m:begChr m:val="("/>
                    <m:endChr m:val=")"/>
                    <m:grow/>
                  </m:dPr>
                  <m:e>
                    <m:r>
                      <m:t>0</m:t>
                    </m:r>
                    <m:r>
                      <m:t>,</m:t>
                    </m:r>
                    <m:sSub>
                      <m:e>
                        <m:r>
                          <m:t>σ</m:t>
                        </m:r>
                      </m:e>
                      <m:sub>
                        <m:r>
                          <m:t>ϕ</m:t>
                        </m:r>
                      </m:sub>
                    </m:sSub>
                  </m:e>
                </m:d>
                <m:r>
                  <m:rPr>
                    <m:nor/>
                    <m:sty m:val="p"/>
                  </m:rPr>
                  <m:t>.</m:t>
                </m:r>
              </m:e>
            </m:mr>
          </m:m>
        </m:oMath>
      </m:oMathPara>
    </w:p>
    <w:p>
      <w:pPr>
        <w:pStyle w:val="FirstParagraph"/>
      </w:pPr>
      <w:r>
        <w:t xml:space="preserve">with the same random walk SD used for all age classes</w:t>
      </w:r>
      <w:r>
        <w:t xml:space="preserve"> </w:t>
      </w:r>
      <w:r>
        <w:t xml:space="preserve">to reduce the number of parameters fit by the model.</w:t>
      </w:r>
      <w:r>
        <w:t xml:space="preserve"> </w:t>
      </w:r>
      <w:r>
        <w:t xml:space="preserve">Note that the</w:t>
      </w:r>
      <w:r>
        <w:t xml:space="preserve"> </w:t>
      </w:r>
      <w:r>
        <w:t xml:space="preserve">“</w:t>
      </w:r>
      <w:r>
        <w:t xml:space="preserve">random walks</w:t>
      </w:r>
      <w:r>
        <w:t xml:space="preserve">”</w:t>
      </w:r>
      <w:r>
        <w:t xml:space="preserve"> </w:t>
      </w:r>
      <w:r>
        <w:t xml:space="preserve">are constrained by the data during model fitting,</w:t>
      </w:r>
      <w:r>
        <w:t xml:space="preserve"> </w:t>
      </w:r>
      <w:r>
        <w:t xml:space="preserve">and therefore are not necessarily unbounded (non-stationary).</w:t>
      </w:r>
      <w:r>
        <w:t xml:space="preserve"> </w:t>
      </w:r>
      <w:r>
        <w:t xml:space="preserve">Rather, they provided a convenient means</w:t>
      </w:r>
      <w:r>
        <w:t xml:space="preserve"> </w:t>
      </w:r>
      <w:r>
        <w:t xml:space="preserve">of allowing the parameters to vary smoothly through time.</w:t>
      </w:r>
      <w:r>
        <w:t xml:space="preserve"> </w:t>
      </w:r>
      <w:r>
        <w:t xml:space="preserve">The random walk SDs for recruitment and survival</w:t>
      </w:r>
      <w:r>
        <w:t xml:space="preserve"> </w:t>
      </w:r>
      <w:r>
        <w:t xml:space="preserve">characterize the degree of temporal variation in the respective processes.</w:t>
      </w:r>
    </w:p>
    <w:p>
      <w:pPr>
        <w:pStyle w:val="BodyText"/>
      </w:pPr>
      <w:r>
        <w:t xml:space="preserve">We fit the model in a Bayesian framework with a zero-inflated Poisson likelihood:</w:t>
      </w:r>
    </w:p>
    <w:p>
      <w:pPr>
        <w:pStyle w:val="BodyText"/>
      </w:pPr>
      <w:r>
        <w:t xml:space="preserve">$$\label{eq:likelihood}
\mathcal{L} = 
\displaystyle\prod_{s}
\displaystyle\prod_{i}
\displaystyle\prod_{t}
\[ \begin{cases} 
      \theta + (1-\theta) \times \text{Poisson}
        \left(
            0~|~\kappa_i~\times~s~\times~x_{i,t}
        \right) &amp; \text{if}~y_{s,i,t} = 0 \\
      (1-\theta) \times \text{Poisson}
        \left(
            y_{s,i,t}~|~\kappa_i~\times~s~\times~x_{i,t}
        \right) &amp; \text{if}~y_{s,i,t} &gt; 0
   \end{cases}
\]$$</w:t>
      </w:r>
    </w:p>
    <w:p>
      <w:pPr>
        <w:pStyle w:val="FirstParagraph"/>
      </w:pPr>
      <w:r>
        <w:t xml:space="preserve">where</w:t>
      </w:r>
      <w:r>
        <w:t xml:space="preserve"> </w:t>
      </w:r>
      <m:oMath>
        <m:sSub>
          <m:e>
            <m:r>
              <m:t>y</m:t>
            </m:r>
          </m:e>
          <m:sub>
            <m:r>
              <m:t>s</m:t>
            </m:r>
            <m:r>
              <m:t>,</m:t>
            </m:r>
            <m:r>
              <m:t>i</m:t>
            </m:r>
            <m:r>
              <m:t>,</m:t>
            </m:r>
            <m:r>
              <m:t>t</m:t>
            </m:r>
          </m:sub>
        </m:sSub>
      </m:oMath>
      <w:r>
        <w:t xml:space="preserve"> </w:t>
      </w:r>
      <w:r>
        <w:t xml:space="preserve">is the annual survey catch for station</w:t>
      </w:r>
      <w:r>
        <w:t xml:space="preserve"> </w:t>
      </w:r>
      <m:oMath>
        <m:r>
          <m:t>s</m:t>
        </m:r>
      </m:oMath>
      <w:r>
        <w:t xml:space="preserve"> </w:t>
      </w:r>
      <w:r>
        <w:t xml:space="preserve">and age class</w:t>
      </w:r>
      <w:r>
        <w:t xml:space="preserve"> </w:t>
      </w:r>
      <m:oMath>
        <m:r>
          <m:t>i</m:t>
        </m:r>
      </m:oMath>
      <w:r>
        <w:t xml:space="preserve">,</w:t>
      </w:r>
      <w:r>
        <w:t xml:space="preserve"> </w:t>
      </w:r>
      <m:oMath>
        <m:sSub>
          <m:e>
            <m:r>
              <m:t>κ</m:t>
            </m:r>
          </m:e>
          <m:sub>
            <m:r>
              <m:t>i</m:t>
            </m:r>
          </m:sub>
        </m:sSub>
      </m:oMath>
      <w:r>
        <w:t xml:space="preserve"> </w:t>
      </w:r>
      <w:r>
        <w:t xml:space="preserve">is the age-specific sampling efficiency (constrained between 0 and 1),</w:t>
      </w:r>
      <w:r>
        <w:t xml:space="preserve"> </w:t>
      </w:r>
      <m:oMath>
        <m:r>
          <m:t>θ</m:t>
        </m:r>
      </m:oMath>
      <w:r>
        <w:t xml:space="preserve"> </w:t>
      </w:r>
      <w:r>
        <w:t xml:space="preserve">is the probability of a zero from a Bernoulli sampling processes</w:t>
      </w:r>
      <w:r>
        <w:t xml:space="preserve"> </w:t>
      </w:r>
      <w:r>
        <w:t xml:space="preserve">(</w:t>
      </w:r>
      <w:r>
        <w:t xml:space="preserve">“</w:t>
      </w:r>
      <w:r>
        <w:t xml:space="preserve">zero-inflation rate)</w:t>
      </w:r>
      <w:r>
        <w:t xml:space="preserve">”</w:t>
      </w:r>
      <w:r>
        <w:t xml:space="preserve">,</w:t>
      </w:r>
      <w:r>
        <w:t xml:space="preserve"> </w:t>
      </w:r>
      <w:r>
        <w:t xml:space="preserve">and</w:t>
      </w:r>
      <w:r>
        <w:t xml:space="preserve"> </w:t>
      </w:r>
      <m:oMath>
        <m:r>
          <m:t>s</m:t>
        </m:r>
        <m:r>
          <m:t>=</m:t>
        </m:r>
        <m:r>
          <m:t>100</m:t>
        </m:r>
      </m:oMath>
      <w:r>
        <w:t xml:space="preserve"> </w:t>
      </w:r>
      <w:r>
        <w:t xml:space="preserve">is a scaling factor introduced to improve computationally efficiency</w:t>
      </w:r>
      <w:r>
        <w:t xml:space="preserve"> </w:t>
      </w:r>
      <w:r>
        <w:t xml:space="preserve">by preventing excessively large values of</w:t>
      </w:r>
      <w:r>
        <w:t xml:space="preserve"> </w:t>
      </w:r>
      <m:oMath>
        <m:sSub>
          <m:e>
            <m:r>
              <m:t>x</m:t>
            </m:r>
          </m:e>
          <m:sub>
            <m:r>
              <m:t>i</m:t>
            </m:r>
            <m:r>
              <m:t>,</m:t>
            </m:r>
            <m:r>
              <m:t>t</m:t>
            </m:r>
          </m:sub>
        </m:sSub>
      </m:oMath>
      <w:r>
        <w:t xml:space="preserve"> </w:t>
      </w:r>
      <w:r>
        <w:t xml:space="preserve">(such that</w:t>
      </w:r>
      <w:r>
        <w:t xml:space="preserve"> </w:t>
      </w:r>
      <m:oMath>
        <m:sSub>
          <m:e>
            <m:r>
              <m:t>x</m:t>
            </m:r>
          </m:e>
          <m:sub>
            <m:r>
              <m:t>i</m:t>
            </m:r>
            <m:r>
              <m:t>,</m:t>
            </m:r>
            <m:r>
              <m:t>t</m:t>
            </m:r>
          </m:sub>
        </m:sSub>
      </m:oMath>
      <w:r>
        <w:t xml:space="preserve"> </w:t>
      </w:r>
      <w:r>
        <w:t xml:space="preserve">itself is the population density scaled by</w:t>
      </w:r>
      <w:r>
        <w:t xml:space="preserve"> </w:t>
      </w:r>
      <m:oMath>
        <m:r>
          <m:t>1</m:t>
        </m:r>
        <m:r>
          <m:t>/</m:t>
        </m:r>
        <m:r>
          <m:t>s</m:t>
        </m:r>
      </m:oMath>
      <w:r>
        <w:t xml:space="preserve">).</w:t>
      </w:r>
      <w:r>
        <w:t xml:space="preserve"> </w:t>
      </w:r>
      <w:r>
        <w:t xml:space="preserve">The likelihood implies that the station-level abundance follows a zero-inflated</w:t>
      </w:r>
      <w:r>
        <w:t xml:space="preserve"> </w:t>
      </w:r>
      <w:r>
        <w:t xml:space="preserve">Poisson distribution with a rate parameter equal to the lake-wide mean population density</w:t>
      </w:r>
      <w:r>
        <w:t xml:space="preserve"> </w:t>
      </w:r>
      <w:r>
        <w:t xml:space="preserve">scaled by the sampling efficiency for the corresponding age class.</w:t>
      </w:r>
      <w:r>
        <w:t xml:space="preserve"> </w:t>
      </w:r>
      <w:r>
        <w:t xml:space="preserve">We assumed that the lake-wide population was well mixed across years,</w:t>
      </w:r>
      <w:r>
        <w:t xml:space="preserve"> </w:t>
      </w:r>
      <w:r>
        <w:t xml:space="preserve">and while we did not attempt to account for systematic differences between stations,</w:t>
      </w:r>
      <w:r>
        <w:t xml:space="preserve"> </w:t>
      </w:r>
      <w:r>
        <w:t xml:space="preserve">no such differences were apparent from visual inspection of the data</w:t>
      </w:r>
      <w:r>
        <w:t xml:space="preserve"> </w:t>
      </w:r>
      <w:r>
        <w:t xml:space="preserve">(Figure</w:t>
      </w:r>
      <w:r>
        <w:t xml:space="preserve"> </w:t>
      </w:r>
      <w:hyperlink w:anchor="fig:p_sites">
        <w:r>
          <w:rPr>
            <w:rStyle w:val="Hyperlink"/>
          </w:rPr>
          <w:t xml:space="preserve">7</w:t>
        </w:r>
      </w:hyperlink>
      <w:r>
        <w:t xml:space="preserve">).</w:t>
      </w:r>
      <w:r>
        <w:t xml:space="preserve"> </w:t>
      </w:r>
      <w:r>
        <w:t xml:space="preserve">Estimating a separate sampling efficiency for each age class allowed the model to account</w:t>
      </w:r>
      <w:r>
        <w:t xml:space="preserve"> </w:t>
      </w:r>
      <w:r>
        <w:t xml:space="preserve">for systematic differences in sampling efficiencies as a function of age.</w:t>
      </w:r>
      <w:r>
        <w:t xml:space="preserve"> </w:t>
      </w:r>
      <w:r>
        <w:t xml:space="preserve">Such differences are visually apparent in the data,</w:t>
      </w:r>
      <w:r>
        <w:t xml:space="preserve"> </w:t>
      </w:r>
      <w:r>
        <w:t xml:space="preserve">as far too few first-year individuals were captured</w:t>
      </w:r>
      <w:r>
        <w:t xml:space="preserve"> </w:t>
      </w:r>
      <w:r>
        <w:t xml:space="preserve">to account for the abundance of subsequent ages assuming a closed population.</w:t>
      </w:r>
      <w:r>
        <w:t xml:space="preserve"> </w:t>
      </w:r>
      <w:r>
        <w:t xml:space="preserve">We originally fit the model with a Poisson likelihood without zero inflation.</w:t>
      </w:r>
      <w:r>
        <w:t xml:space="preserve"> </w:t>
      </w:r>
      <w:r>
        <w:t xml:space="preserve">However, comparison of the posterior predictive distribution (see below)</w:t>
      </w:r>
      <w:r>
        <w:t xml:space="preserve"> </w:t>
      </w:r>
      <w:r>
        <w:t xml:space="preserve">to the observed data made clear that zeros were overrepresented in the data.</w:t>
      </w:r>
      <w:r>
        <w:t xml:space="preserve"> </w:t>
      </w:r>
      <w:r>
        <w:t xml:space="preserve">The inferences from the Poisson and zero-inflated Poisson models were extremely similar,</w:t>
      </w:r>
      <w:r>
        <w:t xml:space="preserve"> </w:t>
      </w:r>
      <w:r>
        <w:t xml:space="preserve">so we only present results from the latter.</w:t>
      </w:r>
      <w:r>
        <w:t xml:space="preserve"> </w:t>
      </w:r>
      <w:r>
        <w:t xml:space="preserve">Note that zero-inflation is independent of age-specific variation in sampling efficiency</w:t>
      </w:r>
      <w:r>
        <w:t xml:space="preserve"> </w:t>
      </w:r>
      <w:r>
        <w:t xml:space="preserve">and is best thought of as</w:t>
      </w:r>
      <w:r>
        <w:t xml:space="preserve"> </w:t>
      </w:r>
      <w:r>
        <w:t xml:space="preserve">resulting zeros arising from processes unrelated to sampling efficiency.</w:t>
      </w:r>
    </w:p>
    <w:p>
      <w:pPr>
        <w:pStyle w:val="BodyText"/>
      </w:pPr>
      <w:r>
        <w:t xml:space="preserve">We used exponential priors with rate 1/50 for the initial scaled population densities for</w:t>
      </w:r>
      <w:r>
        <w:t xml:space="preserve"> </w:t>
      </w:r>
      <w:r>
        <w:t xml:space="preserve">each age class,</w:t>
      </w:r>
      <w:r>
        <w:t xml:space="preserve"> </w:t>
      </w:r>
      <w:r>
        <w:t xml:space="preserve">Gaussian priors with mean 0 and SD of either 5 or 1 for</w:t>
      </w:r>
      <w:r>
        <w:t xml:space="preserve"> </w:t>
      </w:r>
      <w:r>
        <w:t xml:space="preserve">initial log-recruitment or logit-survival (respectively),</w:t>
      </w:r>
      <w:r>
        <w:t xml:space="preserve"> </w:t>
      </w:r>
      <w:r>
        <w:t xml:space="preserve">Gamma priors with shape and scale both set to 1.5 for the random walk SDs,</w:t>
      </w:r>
      <w:r>
        <w:t xml:space="preserve"> </w:t>
      </w:r>
      <w:r>
        <w:t xml:space="preserve">and Beta priors with shape parameters both set to 2 for the sampling efficiency</w:t>
      </w:r>
      <w:r>
        <w:t xml:space="preserve"> </w:t>
      </w:r>
      <w:r>
        <w:t xml:space="preserve">and zero-inflation rate.</w:t>
      </w:r>
      <w:r>
        <w:t xml:space="preserve"> </w:t>
      </w:r>
      <w:r>
        <w:t xml:space="preserve">The overall scales of these priors were weakly-informative relative to the</w:t>
      </w:r>
      <w:r>
        <w:t xml:space="preserve"> </w:t>
      </w:r>
      <w:r>
        <w:t xml:space="preserve">scales of the corresponding parameters.</w:t>
      </w:r>
      <w:r>
        <w:t xml:space="preserve"> </w:t>
      </w:r>
      <w:r>
        <w:t xml:space="preserve">The Gamma priors were unimodal, concave-down near zero, and had zero-density at zero,</w:t>
      </w:r>
      <w:r>
        <w:t xml:space="preserve"> </w:t>
      </w:r>
      <w:r>
        <w:t xml:space="preserve">allowing the resulting posteriors to be arbitrarily close to zero</w:t>
      </w:r>
      <w:r>
        <w:t xml:space="preserve"> </w:t>
      </w:r>
      <w:r>
        <w:t xml:space="preserve">while not being drawn towards zero by the prior.</w:t>
      </w:r>
      <w:r>
        <w:t xml:space="preserve"> </w:t>
      </w:r>
      <w:r>
        <w:t xml:space="preserve">The Beta priors were unimodal and concave-down, with a mode at 0.5.</w:t>
      </w:r>
    </w:p>
    <w:p>
      <w:pPr>
        <w:pStyle w:val="BodyText"/>
      </w:pPr>
      <w:r>
        <w:t xml:space="preserve">To assess temporal trends in the demographic rates,</w:t>
      </w:r>
      <w:r>
        <w:t xml:space="preserve"> </w:t>
      </w:r>
      <w:r>
        <w:t xml:space="preserve">we used generalized least squares (GLS) to fit lag-1 autoregressive models</w:t>
      </w:r>
      <w:r>
        <w:t xml:space="preserve"> </w:t>
      </w:r>
      <w:r>
        <w:t xml:space="preserve">with linear year effects.</w:t>
      </w:r>
      <w:r>
        <w:t xml:space="preserve"> </w:t>
      </w:r>
      <w:r>
        <w:t xml:space="preserve">Recruitment and survival probabilities were fit on their corresponding link scales</w:t>
      </w:r>
      <w:r>
        <w:t xml:space="preserve"> </w:t>
      </w:r>
      <w:r>
        <w:t xml:space="preserve">(either log or logit),</w:t>
      </w:r>
      <w:r>
        <w:t xml:space="preserve"> </w:t>
      </w:r>
      <w:r>
        <w:t xml:space="preserve">and survival probabilities were fit for each age class separately.</w:t>
      </w:r>
      <w:r>
        <w:t xml:space="preserve"> </w:t>
      </w:r>
      <w:r>
        <w:t xml:space="preserve">We used a similar approach to estimate trends in the asymptotic population growth rate</w:t>
      </w:r>
      <w:r>
        <w:t xml:space="preserve"> </w:t>
      </w:r>
      <w:r>
        <w:t xml:space="preserve">(log scale),</w:t>
      </w:r>
      <w:r>
        <w:t xml:space="preserve"> </w:t>
      </w:r>
      <w:r>
        <w:t xml:space="preserve">calculated as the leading eigenvalue of projection matrix</w:t>
      </w:r>
      <w:r>
        <w:t xml:space="preserve"> </w:t>
      </w:r>
      <m:oMath>
        <m:sSub>
          <m:e>
            <m:r>
              <m:rPr>
                <m:sty m:val="b"/>
              </m:rPr>
              <m:t>P</m:t>
            </m:r>
          </m:e>
          <m:sub>
            <m:r>
              <m:t>t</m:t>
            </m:r>
          </m:sub>
        </m:sSub>
      </m:oMath>
      <w:r>
        <w:t xml:space="preserve">.</w:t>
      </w:r>
      <w:r>
        <w:t xml:space="preserve"> </w:t>
      </w:r>
      <w:r>
        <w:t xml:space="preserve">We performed this analysis on the asymptotic (as opposed to realized) growth rate</w:t>
      </w:r>
      <w:r>
        <w:t xml:space="preserve"> </w:t>
      </w:r>
      <w:r>
        <w:t xml:space="preserve">because we were primarily interested in the effects</w:t>
      </w:r>
      <w:r>
        <w:t xml:space="preserve"> </w:t>
      </w:r>
      <w:r>
        <w:t xml:space="preserve">of the underlying demographic rates per se;</w:t>
      </w:r>
      <w:r>
        <w:t xml:space="preserve"> </w:t>
      </w:r>
      <w:r>
        <w:t xml:space="preserve">the realized growth rate would also have included transient fluctuations due to</w:t>
      </w:r>
      <w:r>
        <w:t xml:space="preserve"> </w:t>
      </w:r>
      <w:r>
        <w:t xml:space="preserve">non-equilibrium age structure</w:t>
      </w:r>
      <w:r>
        <w:t xml:space="preserve"> </w:t>
      </w:r>
      <w:r>
        <w:t xml:space="preserve">(Caswell 2001)</w:t>
      </w:r>
      <w:r>
        <w:t xml:space="preserve">.</w:t>
      </w:r>
      <w:r>
        <w:t xml:space="preserve"> </w:t>
      </w:r>
      <w:r>
        <w:t xml:space="preserve">For all GLS models, the response variables and year were z-scored</w:t>
      </w:r>
      <w:r>
        <w:t xml:space="preserve"> </w:t>
      </w:r>
      <w:r>
        <w:t xml:space="preserve">(subtracted mean and divided by SD) so that coefficients</w:t>
      </w:r>
      <w:r>
        <w:t xml:space="preserve"> </w:t>
      </w:r>
      <w:r>
        <w:t xml:space="preserve">could be interpreted as effects sizes;</w:t>
      </w:r>
      <w:r>
        <w:t xml:space="preserve"> </w:t>
      </w:r>
      <w:r>
        <w:t xml:space="preserve">fitted values were then back-scaled for the figures.</w:t>
      </w:r>
    </w:p>
    <w:p>
      <w:pPr>
        <w:pStyle w:val="BodyText"/>
      </w:pPr>
      <w:r>
        <w:t xml:space="preserve">The demographic model was fit using the statistical language Stan</w:t>
      </w:r>
      <w:r>
        <w:t xml:space="preserve"> </w:t>
      </w:r>
      <w:r>
        <w:t xml:space="preserve">(Carpenter et al. 2017)</w:t>
      </w:r>
      <w:r>
        <w:t xml:space="preserve">,</w:t>
      </w:r>
      <w:r>
        <w:t xml:space="preserve"> </w:t>
      </w:r>
      <w:r>
        <w:t xml:space="preserve">with 4 chains, 2000 iterations, maximum tree depth set to 14, and adapt delta set to 0.95.</w:t>
      </w:r>
      <w:r>
        <w:t xml:space="preserve"> </w:t>
      </w:r>
      <w:r>
        <w:t xml:space="preserve">Convergence and quality of MCMC sampling were assessed using the diagnostics provided by Stan,</w:t>
      </w:r>
      <w:r>
        <w:t xml:space="preserve"> </w:t>
      </w:r>
      <w:r>
        <w:t xml:space="preserve">incuding Rhat, the number of divergences, and the effective sample size.</w:t>
      </w:r>
      <w:r>
        <w:t xml:space="preserve"> </w:t>
      </w:r>
      <w:r>
        <w:t xml:space="preserve">We used posterior medians as point estimates</w:t>
      </w:r>
      <w:r>
        <w:t xml:space="preserve"> </w:t>
      </w:r>
      <w:r>
        <w:t xml:space="preserve">and the bounds of 68% posterior quantiles as uncertainty intervals</w:t>
      </w:r>
      <w:r>
        <w:t xml:space="preserve"> </w:t>
      </w:r>
      <w:r>
        <w:t xml:space="preserve">(hereafter</w:t>
      </w:r>
      <w:r>
        <w:t xml:space="preserve"> </w:t>
      </w:r>
      <m:oMath>
        <m:sSub>
          <m:e>
            <m:r>
              <m:rPr>
                <m:nor/>
                <m:sty m:val="p"/>
              </m:rPr>
              <m:t>UI</m:t>
            </m:r>
          </m:e>
          <m:sub>
            <m:r>
              <m:t>68</m:t>
            </m:r>
            <m:r>
              <m:t>%</m:t>
            </m:r>
          </m:sub>
        </m:sSub>
      </m:oMath>
      <w:r>
        <w:t xml:space="preserve">),</w:t>
      </w:r>
      <w:r>
        <w:t xml:space="preserve"> </w:t>
      </w:r>
      <w:r>
        <w:t xml:space="preserve">matching the nominal coverage of standard errors.</w:t>
      </w:r>
      <w:r>
        <w:t xml:space="preserve"> </w:t>
      </w:r>
      <w:r>
        <w:t xml:space="preserve">To gauge the degree to which the data were overdispersed relative</w:t>
      </w:r>
      <w:r>
        <w:t xml:space="preserve"> </w:t>
      </w:r>
      <w:r>
        <w:t xml:space="preserve">the the model expectations,</w:t>
      </w:r>
      <w:r>
        <w:t xml:space="preserve"> </w:t>
      </w:r>
      <w:r>
        <w:t xml:space="preserve">we simulated 90% prediction intervals from equation</w:t>
      </w:r>
      <w:r>
        <w:t xml:space="preserve"> </w:t>
      </w:r>
      <w:hyperlink w:anchor="eq:likelihood">
        <w:r>
          <w:rPr>
            <w:rStyle w:val="Hyperlink"/>
          </w:rPr>
          <w:t xml:space="preserve">[eq:likelihood]</w:t>
        </w:r>
      </w:hyperlink>
      <w:r>
        <w:t xml:space="preserve"> </w:t>
      </w:r>
      <w:r>
        <w:t xml:space="preserve">and compared the coverage of these intervals to the data.</w:t>
      </w:r>
      <w:r>
        <w:t xml:space="preserve"> </w:t>
      </w:r>
      <w:r>
        <w:t xml:space="preserve">To assess the extent to which the data contained statistically meaningful information</w:t>
      </w:r>
      <w:r>
        <w:t xml:space="preserve"> </w:t>
      </w:r>
      <w:r>
        <w:t xml:space="preserve">regarding temporal variation in the demographic rates,</w:t>
      </w:r>
      <w:r>
        <w:t xml:space="preserve"> </w:t>
      </w:r>
      <w:r>
        <w:t xml:space="preserve">we compared the fit of the full model to a reduced model with the demographic</w:t>
      </w:r>
      <w:r>
        <w:t xml:space="preserve"> </w:t>
      </w:r>
      <w:r>
        <w:t xml:space="preserve">rates fixed through time.</w:t>
      </w:r>
      <w:r>
        <w:t xml:space="preserve"> </w:t>
      </w:r>
      <w:r>
        <w:t xml:space="preserve">We used Stan via the</w:t>
      </w:r>
      <w:r>
        <w:t xml:space="preserve"> </w:t>
      </w:r>
      <w:r>
        <w:rPr>
          <w:rStyle w:val="VerbatimChar"/>
        </w:rPr>
        <w:t xml:space="preserve">rstan</w:t>
      </w:r>
      <w:r>
        <w:t xml:space="preserve"> </w:t>
      </w:r>
      <w:r>
        <w:t xml:space="preserve">package</w:t>
      </w:r>
      <w:r>
        <w:t xml:space="preserve"> </w:t>
      </w:r>
      <w:r>
        <w:t xml:space="preserve">(Stan Development Team 2020)</w:t>
      </w:r>
      <w:r>
        <w:t xml:space="preserve">,</w:t>
      </w:r>
      <w:r>
        <w:t xml:space="preserve"> </w:t>
      </w:r>
      <w:r>
        <w:t xml:space="preserve">performed GLS with the</w:t>
      </w:r>
      <w:r>
        <w:t xml:space="preserve"> </w:t>
      </w:r>
      <w:r>
        <w:rPr>
          <w:rStyle w:val="VerbatimChar"/>
        </w:rPr>
        <w:t xml:space="preserve">gls</w:t>
      </w:r>
      <w:r>
        <w:t xml:space="preserve"> </w:t>
      </w:r>
      <w:r>
        <w:t xml:space="preserve">function from the</w:t>
      </w:r>
      <w:r>
        <w:t xml:space="preserve"> </w:t>
      </w:r>
      <w:r>
        <w:rPr>
          <w:rStyle w:val="VerbatimChar"/>
        </w:rPr>
        <w:t xml:space="preserve">nlme</w:t>
      </w:r>
      <w:r>
        <w:t xml:space="preserve"> </w:t>
      </w:r>
      <w:r>
        <w:t xml:space="preserve">package</w:t>
      </w:r>
      <w:r>
        <w:t xml:space="preserve"> </w:t>
      </w:r>
      <w:r>
        <w:t xml:space="preserve">(Pinheiro et al. 2020)</w:t>
      </w:r>
      <w:r>
        <w:t xml:space="preserve">,</w:t>
      </w:r>
      <w:r>
        <w:t xml:space="preserve"> </w:t>
      </w:r>
      <w:r>
        <w:t xml:space="preserve">and calculated the asymptotic growth rate with the</w:t>
      </w:r>
      <w:r>
        <w:t xml:space="preserve"> </w:t>
      </w:r>
      <w:r>
        <w:rPr>
          <w:rStyle w:val="VerbatimChar"/>
        </w:rPr>
        <w:t xml:space="preserve">demogR</w:t>
      </w:r>
      <w:r>
        <w:t xml:space="preserve"> </w:t>
      </w:r>
      <w:r>
        <w:t xml:space="preserve">package</w:t>
      </w:r>
      <w:r>
        <w:t xml:space="preserve"> </w:t>
      </w:r>
      <w:r>
        <w:t xml:space="preserve">(Jones 2007)</w:t>
      </w:r>
      <w:r>
        <w:t xml:space="preserve">.</w:t>
      </w:r>
      <w:r>
        <w:t xml:space="preserve"> </w:t>
      </w:r>
      <w:r>
        <w:t xml:space="preserve">All analysis were conducted in R 4.0.3</w:t>
      </w:r>
      <w:r>
        <w:t xml:space="preserve"> </w:t>
      </w:r>
      <w:r>
        <w:t xml:space="preserve">(R Core Team 2020)</w:t>
      </w:r>
      <w:r>
        <w:t xml:space="preserve">.</w:t>
      </w:r>
    </w:p>
    <w:bookmarkEnd w:id="24"/>
    <w:bookmarkEnd w:id="25"/>
    <w:bookmarkStart w:id="26" w:name="results"/>
    <w:p>
      <w:pPr>
        <w:pStyle w:val="Heading1"/>
      </w:pPr>
      <w:r>
        <w:t xml:space="preserve">Results</w:t>
      </w:r>
    </w:p>
    <w:p>
      <w:pPr>
        <w:pStyle w:val="FirstParagraph"/>
      </w:pPr>
      <w:r>
        <w:t xml:space="preserve">The full model provided a good visual fit to the station-level</w:t>
      </w:r>
      <w:r>
        <w:t xml:space="preserve"> </w:t>
      </w:r>
      <w:r>
        <w:t xml:space="preserve">catch data (Figure</w:t>
      </w:r>
      <w:r>
        <w:t xml:space="preserve"> </w:t>
      </w:r>
      <w:hyperlink w:anchor="fig:p_catch">
        <w:r>
          <w:rPr>
            <w:rStyle w:val="Hyperlink"/>
          </w:rPr>
          <w:t xml:space="preserve">1</w:t>
        </w:r>
      </w:hyperlink>
      <w:r>
        <w:t xml:space="preserve">),</w:t>
      </w:r>
      <w:r>
        <w:t xml:space="preserve"> </w:t>
      </w:r>
      <w:r>
        <w:t xml:space="preserve">with most of the temporal variation in lake-wide catch being well-characterized by the model.</w:t>
      </w:r>
      <w:r>
        <w:t xml:space="preserve"> </w:t>
      </w:r>
      <w:r>
        <w:t xml:space="preserve">The 90% prediction intervals provided reasonable coverage relative to the observed data,</w:t>
      </w:r>
      <w:r>
        <w:t xml:space="preserve"> </w:t>
      </w:r>
      <w:r>
        <w:t xml:space="preserve">although the observations were zero-inflated in some years.</w:t>
      </w:r>
      <w:r>
        <w:t xml:space="preserve"> </w:t>
      </w:r>
      <w:r>
        <w:t xml:space="preserve">While in principle it would be possible to account for such zero inflation in the model,</w:t>
      </w:r>
      <w:r>
        <w:t xml:space="preserve"> </w:t>
      </w:r>
      <w:r>
        <w:t xml:space="preserve">it is unlikely that this would substantively alter the model inference.</w:t>
      </w:r>
      <w:r>
        <w:t xml:space="preserve"> </w:t>
      </w:r>
      <w:r>
        <w:t xml:space="preserve">In contrast to the full model,</w:t>
      </w:r>
      <w:r>
        <w:t xml:space="preserve"> </w:t>
      </w:r>
      <w:r>
        <w:t xml:space="preserve">the reduced model provided a poor fit to the data (Figure</w:t>
      </w:r>
      <w:r>
        <w:t xml:space="preserve"> </w:t>
      </w:r>
      <w:hyperlink w:anchor="fig:p_catch_reduced">
        <w:r>
          <w:rPr>
            <w:rStyle w:val="Hyperlink"/>
          </w:rPr>
          <w:t xml:space="preserve">8</w:t>
        </w:r>
      </w:hyperlink>
      <w:r>
        <w:t xml:space="preserve">),</w:t>
      </w:r>
      <w:r>
        <w:t xml:space="preserve"> </w:t>
      </w:r>
      <w:r>
        <w:t xml:space="preserve">displaying damped oscillations that did not reflect the observed dynamics</w:t>
      </w:r>
      <w:r>
        <w:t xml:space="preserve"> </w:t>
      </w:r>
      <w:r>
        <w:t xml:space="preserve">(Figure</w:t>
      </w:r>
      <w:r>
        <w:t xml:space="preserve"> </w:t>
      </w:r>
      <w:hyperlink w:anchor="fig:p_dens_reduced">
        <w:r>
          <w:rPr>
            <w:rStyle w:val="Hyperlink"/>
          </w:rPr>
          <w:t xml:space="preserve">9</w:t>
        </w:r>
      </w:hyperlink>
      <w:r>
        <w:t xml:space="preserve">).</w:t>
      </w:r>
      <w:r>
        <w:t xml:space="preserve"> </w:t>
      </w:r>
      <w:r>
        <w:t xml:space="preserve">This was corroborated by the median posterior log-likelihood calculated</w:t>
      </w:r>
      <w:r>
        <w:t xml:space="preserve"> </w:t>
      </w:r>
      <w:r>
        <w:t xml:space="preserve">from equation</w:t>
      </w:r>
      <w:r>
        <w:t xml:space="preserve"> </w:t>
      </w:r>
      <w:hyperlink w:anchor="eq:likelihood">
        <w:r>
          <w:rPr>
            <w:rStyle w:val="Hyperlink"/>
          </w:rPr>
          <w:t xml:space="preserve">[eq:likelihood]</w:t>
        </w:r>
      </w:hyperlink>
      <w:r>
        <w:t xml:space="preserve">,</w:t>
      </w:r>
      <w:r>
        <w:t xml:space="preserve"> </w:t>
      </w:r>
      <w:r>
        <w:t xml:space="preserve">which was much higher for the full model (-4065) than for the reduced (-6075).</w:t>
      </w:r>
      <w:r>
        <w:t xml:space="preserve"> </w:t>
      </w:r>
      <w:r>
        <w:t xml:space="preserve">According to the full model,</w:t>
      </w:r>
      <w:r>
        <w:t xml:space="preserve"> </w:t>
      </w:r>
      <w:r>
        <w:t xml:space="preserve">the sampling efficiencies increased with age;</w:t>
      </w:r>
      <w:r>
        <w:t xml:space="preserve"> </w:t>
      </w:r>
      <w:r>
        <w:t xml:space="preserve">the sampling efficiency for age 1 individuals was around two orders of magnitude lower</w:t>
      </w:r>
      <w:r>
        <w:t xml:space="preserve"> </w:t>
      </w:r>
      <w:r>
        <w:t xml:space="preserve">than for the other age classes (Table</w:t>
      </w:r>
      <w:r>
        <w:t xml:space="preserve"> </w:t>
      </w:r>
      <w:hyperlink w:anchor="tab:param">
        <w:r>
          <w:rPr>
            <w:rStyle w:val="Hyperlink"/>
          </w:rPr>
          <w:t xml:space="preserve">1</w:t>
        </w:r>
      </w:hyperlink>
      <w:r>
        <w:t xml:space="preserve">).</w:t>
      </w:r>
      <w:r>
        <w:t xml:space="preserve"> </w:t>
      </w:r>
      <w:r>
        <w:t xml:space="preserve">This is consistent with the expectation that age 1 individuals</w:t>
      </w:r>
      <w:r>
        <w:t xml:space="preserve"> </w:t>
      </w:r>
      <w:r>
        <w:t xml:space="preserve">are generally too small to be captured by the gill nets used in the surveys.</w:t>
      </w:r>
    </w:p>
    <w:p>
      <w:pPr>
        <w:pStyle w:val="BodyText"/>
      </w:pPr>
      <w:r>
        <w:t xml:space="preserve">Mývatn’s Arctic charr population fluctuated substantially over the 3-decade time series</w:t>
      </w:r>
      <w:r>
        <w:t xml:space="preserve"> </w:t>
      </w:r>
      <w:r>
        <w:t xml:space="preserve">(Figure</w:t>
      </w:r>
      <w:r>
        <w:t xml:space="preserve"> </w:t>
      </w:r>
      <w:hyperlink w:anchor="fig:p_dens">
        <w:r>
          <w:rPr>
            <w:rStyle w:val="Hyperlink"/>
          </w:rPr>
          <w:t xml:space="preserve">2</w:t>
        </w:r>
      </w:hyperlink>
      <w:r>
        <w:t xml:space="preserve">),</w:t>
      </w:r>
      <w:r>
        <w:t xml:space="preserve"> </w:t>
      </w:r>
      <w:r>
        <w:t xml:space="preserve">with the asymptotic population growth rate varying across an order of magnitude</w:t>
      </w:r>
      <w:r>
        <w:t xml:space="preserve"> </w:t>
      </w:r>
      <w:r>
        <w:t xml:space="preserve">(Figure</w:t>
      </w:r>
      <w:r>
        <w:t xml:space="preserve"> </w:t>
      </w:r>
      <w:hyperlink w:anchor="fig:p_lam">
        <w:r>
          <w:rPr>
            <w:rStyle w:val="Hyperlink"/>
          </w:rPr>
          <w:t xml:space="preserve">3</w:t>
        </w:r>
      </w:hyperlink>
      <w:r>
        <w:t xml:space="preserve">).</w:t>
      </w:r>
      <w:r>
        <w:t xml:space="preserve"> </w:t>
      </w:r>
      <w:r>
        <w:t xml:space="preserve">This variation was underpinned by substantial variation in survival</w:t>
      </w:r>
      <w:r>
        <w:t xml:space="preserve"> </w:t>
      </w:r>
      <w:r>
        <w:t xml:space="preserve">(Figure</w:t>
      </w:r>
      <w:r>
        <w:t xml:space="preserve"> </w:t>
      </w:r>
      <w:hyperlink w:anchor="fig:p_surv">
        <w:r>
          <w:rPr>
            <w:rStyle w:val="Hyperlink"/>
          </w:rPr>
          <w:t xml:space="preserve">4</w:t>
        </w:r>
      </w:hyperlink>
      <w:r>
        <w:t xml:space="preserve">)</w:t>
      </w:r>
      <w:r>
        <w:t xml:space="preserve"> </w:t>
      </w:r>
      <w:r>
        <w:t xml:space="preserve">and recruitment (Figure</w:t>
      </w:r>
      <w:r>
        <w:t xml:space="preserve"> </w:t>
      </w:r>
      <w:hyperlink w:anchor="fig:p_rec">
        <w:r>
          <w:rPr>
            <w:rStyle w:val="Hyperlink"/>
          </w:rPr>
          <w:t xml:space="preserve">5</w:t>
        </w:r>
      </w:hyperlink>
      <w:r>
        <w:t xml:space="preserve">),</w:t>
      </w:r>
      <w:r>
        <w:t xml:space="preserve"> </w:t>
      </w:r>
      <w:r>
        <w:t xml:space="preserve">both of which had random walk SDs</w:t>
      </w:r>
      <w:r>
        <w:t xml:space="preserve"> </w:t>
      </w:r>
      <w:r>
        <w:t xml:space="preserve">with posterior densities concentrated away from zero (Table</w:t>
      </w:r>
      <w:r>
        <w:t xml:space="preserve"> </w:t>
      </w:r>
      <w:hyperlink w:anchor="tab:param">
        <w:r>
          <w:rPr>
            <w:rStyle w:val="Hyperlink"/>
          </w:rPr>
          <w:t xml:space="preserve">1</w:t>
        </w:r>
      </w:hyperlink>
      <w:r>
        <w:t xml:space="preserve">).</w:t>
      </w:r>
      <w:r>
        <w:t xml:space="preserve"> </w:t>
      </w:r>
      <w:r>
        <w:t xml:space="preserve">The SD for survival was larger than for recruitment,</w:t>
      </w:r>
      <w:r>
        <w:t xml:space="preserve"> </w:t>
      </w:r>
      <w:r>
        <w:t xml:space="preserve">especially when the SDs were judged against the scales of their corresponding</w:t>
      </w:r>
      <w:r>
        <w:t xml:space="preserve"> </w:t>
      </w:r>
      <w:r>
        <w:t xml:space="preserve">demographic processes.</w:t>
      </w:r>
      <w:r>
        <w:t xml:space="preserve"> </w:t>
      </w:r>
      <w:r>
        <w:t xml:space="preserve">This indicates that survival was generally more variable than recruitment,</w:t>
      </w:r>
      <w:r>
        <w:t xml:space="preserve"> </w:t>
      </w:r>
      <w:r>
        <w:t xml:space="preserve">a fact that was visually apparent from their respective time series,</w:t>
      </w:r>
      <w:r>
        <w:t xml:space="preserve"> </w:t>
      </w:r>
      <w:r>
        <w:t xml:space="preserve">especially for age 1 and age 3 survival</w:t>
      </w:r>
      <w:r>
        <w:t xml:space="preserve"> </w:t>
      </w:r>
      <w:r>
        <w:t xml:space="preserve">(Figures</w:t>
      </w:r>
      <w:r>
        <w:t xml:space="preserve"> </w:t>
      </w:r>
      <w:hyperlink w:anchor="fig:p_surv">
        <w:r>
          <w:rPr>
            <w:rStyle w:val="Hyperlink"/>
          </w:rPr>
          <w:t xml:space="preserve">4</w:t>
        </w:r>
      </w:hyperlink>
      <w:r>
        <w:t xml:space="preserve"> </w:t>
      </w:r>
      <w:r>
        <w:t xml:space="preserve">and</w:t>
      </w:r>
      <w:r>
        <w:t xml:space="preserve"> </w:t>
      </w:r>
      <w:hyperlink w:anchor="fig:p_rec">
        <w:r>
          <w:rPr>
            <w:rStyle w:val="Hyperlink"/>
          </w:rPr>
          <w:t xml:space="preserve">5</w:t>
        </w:r>
      </w:hyperlink>
      <w:r>
        <w:t xml:space="preserve">).</w:t>
      </w:r>
    </w:p>
    <w:p>
      <w:pPr>
        <w:pStyle w:val="BodyText"/>
      </w:pPr>
      <w:r>
        <w:t xml:space="preserve">The survival probabilities for all age classes increased through time,</w:t>
      </w:r>
      <w:r>
        <w:t xml:space="preserve"> </w:t>
      </w:r>
      <w:r>
        <w:t xml:space="preserve">although only the trend for age 4+ was statistically unambiguous</w:t>
      </w:r>
      <w:r>
        <w:t xml:space="preserve"> </w:t>
      </w:r>
      <w:r>
        <w:t xml:space="preserve">(Figure</w:t>
      </w:r>
      <w:r>
        <w:t xml:space="preserve"> </w:t>
      </w:r>
      <w:hyperlink w:anchor="fig:p_surv">
        <w:r>
          <w:rPr>
            <w:rStyle w:val="Hyperlink"/>
          </w:rPr>
          <w:t xml:space="preserve">4</w:t>
        </w:r>
      </w:hyperlink>
      <w:r>
        <w:t xml:space="preserve">; Table</w:t>
      </w:r>
      <w:r>
        <w:t xml:space="preserve"> </w:t>
      </w:r>
      <w:hyperlink w:anchor="tab:gls">
        <w:r>
          <w:rPr>
            <w:rStyle w:val="Hyperlink"/>
          </w:rPr>
          <w:t xml:space="preserve">2</w:t>
        </w:r>
      </w:hyperlink>
      <w:r>
        <w:t xml:space="preserve">).</w:t>
      </w:r>
      <w:r>
        <w:t xml:space="preserve"> </w:t>
      </w:r>
      <w:r>
        <w:t xml:space="preserve">Elevated age 4+ survival was associated with a steady increase in the survey catch of</w:t>
      </w:r>
      <w:r>
        <w:t xml:space="preserve"> </w:t>
      </w:r>
      <w:r>
        <w:t xml:space="preserve">age 4+ individuals from 2005 onward (Figure</w:t>
      </w:r>
      <w:r>
        <w:t xml:space="preserve"> </w:t>
      </w:r>
      <w:hyperlink w:anchor="fig:p_catch">
        <w:r>
          <w:rPr>
            <w:rStyle w:val="Hyperlink"/>
          </w:rPr>
          <w:t xml:space="preserve">1</w:t>
        </w:r>
      </w:hyperlink>
      <w:r>
        <w:t xml:space="preserve">).</w:t>
      </w:r>
      <w:r>
        <w:t xml:space="preserve"> </w:t>
      </w:r>
      <w:r>
        <w:t xml:space="preserve">In contrast, per capita recruitment declined over most of the time series,</w:t>
      </w:r>
      <w:r>
        <w:t xml:space="preserve"> </w:t>
      </w:r>
      <w:r>
        <w:t xml:space="preserve">consistent with declining age 1 survey catch,</w:t>
      </w:r>
      <w:r>
        <w:t xml:space="preserve"> </w:t>
      </w:r>
      <w:r>
        <w:t xml:space="preserve">(Figure</w:t>
      </w:r>
      <w:r>
        <w:t xml:space="preserve"> </w:t>
      </w:r>
      <w:hyperlink w:anchor="fig:p_rec">
        <w:r>
          <w:rPr>
            <w:rStyle w:val="Hyperlink"/>
          </w:rPr>
          <w:t xml:space="preserve">5</w:t>
        </w:r>
      </w:hyperlink>
      <w:r>
        <w:t xml:space="preserve">; Table</w:t>
      </w:r>
      <w:r>
        <w:t xml:space="preserve"> </w:t>
      </w:r>
      <w:hyperlink w:anchor="tab:gls">
        <w:r>
          <w:rPr>
            <w:rStyle w:val="Hyperlink"/>
          </w:rPr>
          <w:t xml:space="preserve">2</w:t>
        </w:r>
      </w:hyperlink>
      <w:r>
        <w:t xml:space="preserve">).</w:t>
      </w:r>
      <w:r>
        <w:t xml:space="preserve"> </w:t>
      </w:r>
      <w:r>
        <w:t xml:space="preserve">However, per capita recruitment increased in the most recent three years,</w:t>
      </w:r>
      <w:r>
        <w:t xml:space="preserve"> </w:t>
      </w:r>
      <w:r>
        <w:t xml:space="preserve">again corresponding with the age 1 survey catch.</w:t>
      </w:r>
      <w:r>
        <w:t xml:space="preserve"> </w:t>
      </w:r>
      <w:r>
        <w:t xml:space="preserve">The positive effect of increased survival was potentially negated by the decline in recruitment.</w:t>
      </w:r>
      <w:r>
        <w:t xml:space="preserve"> </w:t>
      </w:r>
      <w:r>
        <w:t xml:space="preserve">Indeed, the geometric mean of the population growth rate across years was very close to one</w:t>
      </w:r>
      <w:r>
        <w:t xml:space="preserve"> </w:t>
      </w:r>
      <w:r>
        <w:t xml:space="preserve">(1.021 [0.997, 1.046]), indicating no long-term population change.</w:t>
      </w:r>
      <w:r>
        <w:t xml:space="preserve"> </w:t>
      </w:r>
      <w:r>
        <w:t xml:space="preserve">Furthermore, the trend in the population growth rate itself was only slightly positive</w:t>
      </w:r>
      <w:r>
        <w:t xml:space="preserve"> </w:t>
      </w:r>
      <w:r>
        <w:t xml:space="preserve">and statistically ambiguous,</w:t>
      </w:r>
      <w:r>
        <w:t xml:space="preserve"> </w:t>
      </w:r>
      <w:r>
        <w:t xml:space="preserve">especially when judged against its large interannual fluctuations</w:t>
      </w:r>
      <w:r>
        <w:t xml:space="preserve"> </w:t>
      </w:r>
      <w:r>
        <w:t xml:space="preserve">(Figure</w:t>
      </w:r>
      <w:r>
        <w:t xml:space="preserve"> </w:t>
      </w:r>
      <w:hyperlink w:anchor="fig:p_lam">
        <w:r>
          <w:rPr>
            <w:rStyle w:val="Hyperlink"/>
          </w:rPr>
          <w:t xml:space="preserve">3</w:t>
        </w:r>
      </w:hyperlink>
      <w:r>
        <w:t xml:space="preserve">; Table</w:t>
      </w:r>
      <w:r>
        <w:t xml:space="preserve"> </w:t>
      </w:r>
      <w:hyperlink w:anchor="tab:gls">
        <w:r>
          <w:rPr>
            <w:rStyle w:val="Hyperlink"/>
          </w:rPr>
          <w:t xml:space="preserve">2</w:t>
        </w:r>
      </w:hyperlink>
      <w:r>
        <w:t xml:space="preserve">).</w:t>
      </w:r>
      <w:r>
        <w:t xml:space="preserve"> </w:t>
      </w:r>
      <w:r>
        <w:t xml:space="preserve">The AR coefficients were moderately positive for most of the demographic parameters,</w:t>
      </w:r>
      <w:r>
        <w:t xml:space="preserve"> </w:t>
      </w:r>
      <w:r>
        <w:t xml:space="preserve">except for age 2 survival and the population growth rate</w:t>
      </w:r>
      <w:r>
        <w:t xml:space="preserve"> </w:t>
      </w:r>
      <w:r>
        <w:t xml:space="preserve">for which the AR coefficients were somewhat negative.</w:t>
      </w:r>
      <w:r>
        <w:t xml:space="preserve"> </w:t>
      </w:r>
      <w:r>
        <w:t xml:space="preserve">These negative coefficients potentially indicate overcompensatory dynamics,</w:t>
      </w:r>
      <w:r>
        <w:t xml:space="preserve"> </w:t>
      </w:r>
      <w:r>
        <w:t xml:space="preserve">although this inference is tentative given their low magnitudes</w:t>
      </w:r>
      <w:r>
        <w:t xml:space="preserve"> </w:t>
      </w:r>
      <w:r>
        <w:t xml:space="preserve">and absence of uncertainty estimates.</w:t>
      </w:r>
      <w:r>
        <w:t xml:space="preserve"> </w:t>
      </w:r>
      <w:r>
        <w:t xml:space="preserve">Overall, the GLS results show that while the size of the Arctic charr population</w:t>
      </w:r>
      <w:r>
        <w:t xml:space="preserve"> </w:t>
      </w:r>
      <w:r>
        <w:t xml:space="preserve">was variable over the study period,</w:t>
      </w:r>
      <w:r>
        <w:t xml:space="preserve"> </w:t>
      </w:r>
      <w:r>
        <w:t xml:space="preserve">it did not undergo meaningful directional change.</w:t>
      </w:r>
    </w:p>
    <w:bookmarkEnd w:id="26"/>
    <w:bookmarkStart w:id="27" w:name="discussion"/>
    <w:p>
      <w:pPr>
        <w:pStyle w:val="Heading1"/>
      </w:pPr>
      <w:r>
        <w:t xml:space="preserve">Discussion</w:t>
      </w:r>
    </w:p>
    <w:p>
      <w:pPr>
        <w:pStyle w:val="FirstParagraph"/>
      </w:pPr>
      <w:r>
        <w:t xml:space="preserve">In this study</w:t>
      </w:r>
      <w:r>
        <w:t xml:space="preserve"> </w:t>
      </w:r>
      <w:r>
        <w:t xml:space="preserve">we used data from a multidecadal survey of Arctic charr in Lake Mývatn</w:t>
      </w:r>
      <w:r>
        <w:t xml:space="preserve"> </w:t>
      </w:r>
      <w:r>
        <w:t xml:space="preserve">to quantify demographic changes and potential recovery of the population</w:t>
      </w:r>
      <w:r>
        <w:t xml:space="preserve"> </w:t>
      </w:r>
      <w:r>
        <w:t xml:space="preserve">following its collapse.</w:t>
      </w:r>
      <w:r>
        <w:t xml:space="preserve"> </w:t>
      </w:r>
      <w:r>
        <w:t xml:space="preserve">The survival probability of all age classes fluctuated substantially among years,</w:t>
      </w:r>
      <w:r>
        <w:t xml:space="preserve"> </w:t>
      </w:r>
      <w:r>
        <w:t xml:space="preserve">with only adults showing an unambiguous positive trend over the course of the study period.</w:t>
      </w:r>
      <w:r>
        <w:t xml:space="preserve"> </w:t>
      </w:r>
      <w:r>
        <w:t xml:space="preserve">In contrast, per capita recruitment declined substantially and experienced comparatively little</w:t>
      </w:r>
      <w:r>
        <w:t xml:space="preserve"> </w:t>
      </w:r>
      <w:r>
        <w:t xml:space="preserve">variation around this trend until an increase over the most recent three years.</w:t>
      </w:r>
      <w:r>
        <w:t xml:space="preserve"> </w:t>
      </w:r>
      <w:r>
        <w:t xml:space="preserve">The countervailing changes in per capita recruitment and adult survival resulted</w:t>
      </w:r>
      <w:r>
        <w:t xml:space="preserve"> </w:t>
      </w:r>
      <w:r>
        <w:t xml:space="preserve">in limited directional change in the total population size or population growth rate,</w:t>
      </w:r>
      <w:r>
        <w:t xml:space="preserve"> </w:t>
      </w:r>
      <w:r>
        <w:t xml:space="preserve">despite the rising number of adults.</w:t>
      </w:r>
      <w:r>
        <w:t xml:space="preserve"> </w:t>
      </w:r>
      <w:r>
        <w:t xml:space="preserve">Rather, the dynamics of Mývatn’s charr population</w:t>
      </w:r>
      <w:r>
        <w:t xml:space="preserve"> </w:t>
      </w:r>
      <w:r>
        <w:t xml:space="preserve">were dominated by large interannual variability</w:t>
      </w:r>
      <w:r>
        <w:t xml:space="preserve"> </w:t>
      </w:r>
      <w:r>
        <w:t xml:space="preserve">and a shift towards a relatively older age distribution.</w:t>
      </w:r>
      <w:r>
        <w:t xml:space="preserve"> </w:t>
      </w:r>
      <w:r>
        <w:t xml:space="preserve">The somewhat elevated recruitment in recent years, alongside relatively high adult survival,</w:t>
      </w:r>
      <w:r>
        <w:t xml:space="preserve"> </w:t>
      </w:r>
      <w:r>
        <w:t xml:space="preserve">does suggest that the population may in fact be recovering.</w:t>
      </w:r>
      <w:r>
        <w:t xml:space="preserve"> </w:t>
      </w:r>
      <w:r>
        <w:t xml:space="preserve">However, any such recovery appears to be in its early stages and</w:t>
      </w:r>
      <w:r>
        <w:t xml:space="preserve"> </w:t>
      </w:r>
      <w:r>
        <w:t xml:space="preserve">has taken several decades to manifest.</w:t>
      </w:r>
      <w:r>
        <w:t xml:space="preserve"> </w:t>
      </w:r>
      <w:r>
        <w:t xml:space="preserve">Therefore, recent calls from local stakeholders to relax harvest restrictions</w:t>
      </w:r>
      <w:r>
        <w:t xml:space="preserve"> </w:t>
      </w:r>
      <w:r>
        <w:t xml:space="preserve">in response to increased adult survival should be tempered by caution</w:t>
      </w:r>
      <w:r>
        <w:t xml:space="preserve"> </w:t>
      </w:r>
      <w:r>
        <w:t xml:space="preserve">until the population’s recovery has been more clearly established.</w:t>
      </w:r>
    </w:p>
    <w:p>
      <w:pPr>
        <w:pStyle w:val="BodyText"/>
      </w:pPr>
      <w:r>
        <w:t xml:space="preserve">A crucial step for projecting the future dynamics of Mývatn’s charr population</w:t>
      </w:r>
      <w:r>
        <w:t xml:space="preserve"> </w:t>
      </w:r>
      <w:r>
        <w:t xml:space="preserve">is identifying the underlying causes for the decline in per capita recruitment.</w:t>
      </w:r>
      <w:r>
        <w:t xml:space="preserve"> </w:t>
      </w:r>
      <w:r>
        <w:t xml:space="preserve">Food web interactions have been identified as an important source</w:t>
      </w:r>
      <w:r>
        <w:t xml:space="preserve"> </w:t>
      </w:r>
      <w:r>
        <w:t xml:space="preserve">of fluctuations in other charr populations</w:t>
      </w:r>
      <w:r>
        <w:t xml:space="preserve"> </w:t>
      </w:r>
      <w:r>
        <w:t xml:space="preserve">(Snorrason et al. 1992; Amundsen 1994; Jonsson and Setzer 2015)</w:t>
      </w:r>
      <w:r>
        <w:t xml:space="preserve">.</w:t>
      </w:r>
      <w:r>
        <w:t xml:space="preserve"> </w:t>
      </w:r>
      <w:r>
        <w:t xml:space="preserve">Mývatn is characterized by dramatic fluctuations in the abundance</w:t>
      </w:r>
      <w:r>
        <w:t xml:space="preserve"> </w:t>
      </w:r>
      <w:r>
        <w:t xml:space="preserve">of primary food sources for juvenile charr, particularly benthic crustaceans</w:t>
      </w:r>
      <w:r>
        <w:t xml:space="preserve"> </w:t>
      </w:r>
      <w:r>
        <w:t xml:space="preserve">and midges</w:t>
      </w:r>
      <w:r>
        <w:t xml:space="preserve"> </w:t>
      </w:r>
      <w:r>
        <w:t xml:space="preserve">(Á. Einarsson and Örnólfsdóttir 2004; Gardarsson et al. 2004; Gu</w:t>
      </w:r>
      <w:r>
        <w:t xml:space="preserve">bergsson 2004)</w:t>
      </w:r>
      <w:r>
        <w:t xml:space="preserve">.</w:t>
      </w:r>
      <w:r>
        <w:t xml:space="preserve"> </w:t>
      </w:r>
      <w:r>
        <w:t xml:space="preserve">Furthermore, there is substantial spatial heterogeneity in the abundance</w:t>
      </w:r>
      <w:r>
        <w:t xml:space="preserve"> </w:t>
      </w:r>
      <w:r>
        <w:t xml:space="preserve">of these aquatic invertebrates</w:t>
      </w:r>
      <w:r>
        <w:t xml:space="preserve"> </w:t>
      </w:r>
      <w:r>
        <w:t xml:space="preserve">(Bartrons et al. 2015)</w:t>
      </w:r>
      <w:r>
        <w:t xml:space="preserve"> </w:t>
      </w:r>
      <w:r>
        <w:t xml:space="preserve">which might disproportionately inhibit young juveniles</w:t>
      </w:r>
      <w:r>
        <w:t xml:space="preserve"> </w:t>
      </w:r>
      <w:r>
        <w:t xml:space="preserve">that have more restricted mobility than the larger age classes.</w:t>
      </w:r>
      <w:r>
        <w:t xml:space="preserve"> </w:t>
      </w:r>
      <w:r>
        <w:t xml:space="preserve">The large fluctuations in aquatic invertebrates are associated</w:t>
      </w:r>
      <w:r>
        <w:t xml:space="preserve"> </w:t>
      </w:r>
      <w:r>
        <w:t xml:space="preserve">with fluctuations in populations of other consumer species in addition to charr,</w:t>
      </w:r>
      <w:r>
        <w:t xml:space="preserve"> </w:t>
      </w:r>
      <w:r>
        <w:t xml:space="preserve">including sticklebacks and brown trout that could serve</w:t>
      </w:r>
      <w:r>
        <w:t xml:space="preserve"> </w:t>
      </w:r>
      <w:r>
        <w:t xml:space="preserve">as competitors with young charr, and piscivorous waterfowl that could serve as predators</w:t>
      </w:r>
      <w:r>
        <w:t xml:space="preserve"> </w:t>
      </w:r>
      <w:r>
        <w:t xml:space="preserve">(Á. Einarsson et al. 2004)</w:t>
      </w:r>
      <w:r>
        <w:t xml:space="preserve">.</w:t>
      </w:r>
      <w:r>
        <w:t xml:space="preserve"> </w:t>
      </w:r>
      <w:r>
        <w:t xml:space="preserve">In addition to biotic factors,</w:t>
      </w:r>
      <w:r>
        <w:t xml:space="preserve"> </w:t>
      </w:r>
      <w:r>
        <w:t xml:space="preserve">temperature has received much attention as a driver of charr populations</w:t>
      </w:r>
      <w:r>
        <w:t xml:space="preserve"> </w:t>
      </w:r>
      <w:r>
        <w:t xml:space="preserve">(Winfield, Fletcher, and James 2008; Elliott and Elliott 2010; Jonsson and Setzer 2015)</w:t>
      </w:r>
      <w:r>
        <w:t xml:space="preserve">,</w:t>
      </w:r>
      <w:r>
        <w:t xml:space="preserve"> </w:t>
      </w:r>
      <w:r>
        <w:t xml:space="preserve">given their distribution restricted to arctic</w:t>
      </w:r>
      <w:r>
        <w:t xml:space="preserve"> </w:t>
      </w:r>
      <w:r>
        <w:t xml:space="preserve">and cold-temperature lakes</w:t>
      </w:r>
      <w:r>
        <w:t xml:space="preserve"> </w:t>
      </w:r>
      <w:r>
        <w:t xml:space="preserve">(Klemetsen et al. 2003)</w:t>
      </w:r>
      <w:r>
        <w:t xml:space="preserve"> </w:t>
      </w:r>
      <w:r>
        <w:t xml:space="preserve">and the ubiquity anthropogenic climate change.</w:t>
      </w:r>
      <w:r>
        <w:t xml:space="preserve"> </w:t>
      </w:r>
      <w:r>
        <w:t xml:space="preserve">While climate warming has not yet become an obvious ecological driver at Mývatn,</w:t>
      </w:r>
      <w:r>
        <w:t xml:space="preserve"> </w:t>
      </w:r>
      <w:r>
        <w:t xml:space="preserve">it is nonetheless possible that temperature changes have adversely affected recruitment</w:t>
      </w:r>
      <w:r>
        <w:t xml:space="preserve"> </w:t>
      </w:r>
      <w:r>
        <w:t xml:space="preserve">in Mývatn’s charr population as has been seen in other Icelandic lakes</w:t>
      </w:r>
      <w:r>
        <w:t xml:space="preserve"> </w:t>
      </w:r>
      <w:r>
        <w:t xml:space="preserve">(Malmquist et al. 2009)</w:t>
      </w:r>
      <w:r>
        <w:t xml:space="preserve">.</w:t>
      </w:r>
    </w:p>
    <w:p>
      <w:pPr>
        <w:pStyle w:val="BodyText"/>
      </w:pPr>
      <w:r>
        <w:t xml:space="preserve">This study provides a demographic assessment of a population of Arctic charr in a single lake,</w:t>
      </w:r>
      <w:r>
        <w:t xml:space="preserve"> </w:t>
      </w:r>
      <w:r>
        <w:t xml:space="preserve">but it reinforces themes that have broad and increasing interest in applied ecology.</w:t>
      </w:r>
      <w:r>
        <w:t xml:space="preserve"> </w:t>
      </w:r>
      <w:r>
        <w:t xml:space="preserve">Harvest-induced shifts in age structure have been documented in other fisheries,</w:t>
      </w:r>
      <w:r>
        <w:t xml:space="preserve"> </w:t>
      </w:r>
      <w:r>
        <w:t xml:space="preserve">typically resulting in</w:t>
      </w:r>
      <w:r>
        <w:t xml:space="preserve"> </w:t>
      </w:r>
      <w:r>
        <w:t xml:space="preserve">“</w:t>
      </w:r>
      <w:r>
        <w:t xml:space="preserve">truncation</w:t>
      </w:r>
      <w:r>
        <w:t xml:space="preserve">”</w:t>
      </w:r>
      <w:r>
        <w:t xml:space="preserve"> </w:t>
      </w:r>
      <w:r>
        <w:t xml:space="preserve">of the oldest age classes</w:t>
      </w:r>
      <w:r>
        <w:t xml:space="preserve"> </w:t>
      </w:r>
      <w:r>
        <w:t xml:space="preserve">that are typically the targets of harvest efforts</w:t>
      </w:r>
      <w:r>
        <w:t xml:space="preserve"> </w:t>
      </w:r>
      <w:r>
        <w:t xml:space="preserve">(Hsieh et al. 2010)</w:t>
      </w:r>
      <w:r>
        <w:t xml:space="preserve">.</w:t>
      </w:r>
      <w:r>
        <w:t xml:space="preserve"> </w:t>
      </w:r>
      <w:r>
        <w:t xml:space="preserve">Suppression of adult abundance is expected to have deleterious effects on populations,</w:t>
      </w:r>
      <w:r>
        <w:t xml:space="preserve"> </w:t>
      </w:r>
      <w:r>
        <w:t xml:space="preserve">with the corollary that relaxation of harvest should allow populations</w:t>
      </w:r>
      <w:r>
        <w:t xml:space="preserve"> </w:t>
      </w:r>
      <w:r>
        <w:t xml:space="preserve">to recover following overexploitation.</w:t>
      </w:r>
      <w:r>
        <w:t xml:space="preserve"> </w:t>
      </w:r>
      <w:r>
        <w:t xml:space="preserve">However, this will only be true if juvenile recruitment is sufficient</w:t>
      </w:r>
      <w:r>
        <w:t xml:space="preserve"> </w:t>
      </w:r>
      <w:r>
        <w:t xml:space="preserve">to sustain the population’s recovery.</w:t>
      </w:r>
      <w:r>
        <w:t xml:space="preserve"> </w:t>
      </w:r>
      <w:r>
        <w:t xml:space="preserve">Recruitment in fish populations</w:t>
      </w:r>
      <w:r>
        <w:t xml:space="preserve"> </w:t>
      </w:r>
      <w:r>
        <w:t xml:space="preserve">has long been recognized as highly variable and difficult to predict</w:t>
      </w:r>
      <w:r>
        <w:t xml:space="preserve"> </w:t>
      </w:r>
      <w:r>
        <w:t xml:space="preserve">owing to the interplay of numerous biotic and abiotic factors</w:t>
      </w:r>
      <w:r>
        <w:t xml:space="preserve"> </w:t>
      </w:r>
      <w:r>
        <w:t xml:space="preserve">(Dixon, Milicich, and Sugihara 1999; Houde 2008; Ludsin, DeVanna, and Smith 2014)</w:t>
      </w:r>
      <w:r>
        <w:t xml:space="preserve">.</w:t>
      </w:r>
      <w:r>
        <w:t xml:space="preserve"> </w:t>
      </w:r>
      <w:r>
        <w:t xml:space="preserve">This poses a particular challenge for management efforts,</w:t>
      </w:r>
      <w:r>
        <w:t xml:space="preserve"> </w:t>
      </w:r>
      <w:r>
        <w:t xml:space="preserve">as complex suites of ecological factors are both difficult to understand</w:t>
      </w:r>
      <w:r>
        <w:t xml:space="preserve"> </w:t>
      </w:r>
      <w:r>
        <w:t xml:space="preserve">and difficult to regulate,</w:t>
      </w:r>
      <w:r>
        <w:t xml:space="preserve"> </w:t>
      </w:r>
      <w:r>
        <w:t xml:space="preserve">particularly in comparison to a direct anthropogenic driver such as harvest</w:t>
      </w:r>
      <w:r>
        <w:t xml:space="preserve"> </w:t>
      </w:r>
      <w:r>
        <w:t xml:space="preserve">(Beamish and Mahnken 1999; Link 2002)</w:t>
      </w:r>
      <w:r>
        <w:t xml:space="preserve">.</w:t>
      </w:r>
      <w:r>
        <w:t xml:space="preserve"> </w:t>
      </w:r>
      <w:r>
        <w:t xml:space="preserve">The extent to which this is true for Mývatn’s Arctic charr is currently unknown.</w:t>
      </w:r>
      <w:r>
        <w:t xml:space="preserve"> </w:t>
      </w:r>
      <w:r>
        <w:t xml:space="preserve">Nonetheless,</w:t>
      </w:r>
      <w:r>
        <w:t xml:space="preserve"> </w:t>
      </w:r>
      <w:r>
        <w:t xml:space="preserve">the countervailing trends in survival and recruitment</w:t>
      </w:r>
      <w:r>
        <w:t xml:space="preserve"> </w:t>
      </w:r>
      <w:r>
        <w:t xml:space="preserve">in the wake of alleviated of harvesting pressure</w:t>
      </w:r>
      <w:r>
        <w:t xml:space="preserve"> </w:t>
      </w:r>
      <w:r>
        <w:t xml:space="preserve">underscore the potential for heterogeneous demographic responses to management efforts</w:t>
      </w:r>
      <w:r>
        <w:t xml:space="preserve"> </w:t>
      </w:r>
      <w:r>
        <w:t xml:space="preserve">due to the complex ecological context in which such efforts take place.</w:t>
      </w:r>
    </w:p>
    <w:bookmarkEnd w:id="27"/>
    <w:bookmarkStart w:id="98" w:name="acknowledgments"/>
    <w:p>
      <w:pPr>
        <w:pStyle w:val="Heading1"/>
      </w:pPr>
      <w:r>
        <w:t xml:space="preserve">Acknowledgments</w:t>
      </w:r>
    </w:p>
    <w:p>
      <w:pPr>
        <w:pStyle w:val="FirstParagraph"/>
      </w:pPr>
      <w:r>
        <w:t xml:space="preserve">The data used in this manuscript were collected during routine sampling</w:t>
      </w:r>
      <w:r>
        <w:t xml:space="preserve"> </w:t>
      </w:r>
      <w:r>
        <w:t xml:space="preserve">of Mývatn’s charr population supported by</w:t>
      </w:r>
      <w:r>
        <w:t xml:space="preserve"> </w:t>
      </w:r>
      <w:r>
        <w:t xml:space="preserve">the Icelandic Marine and Freshwater Research Institute</w:t>
      </w:r>
      <w:r>
        <w:t xml:space="preserve"> </w:t>
      </w:r>
      <w:r>
        <w:t xml:space="preserve">and the Mývatn Research Station.</w:t>
      </w:r>
      <w:r>
        <w:t xml:space="preserve"> </w:t>
      </w:r>
      <w:r>
        <w:t xml:space="preserve">Further support came from NSF LTREB DEB-1556208 to ARI and</w:t>
      </w:r>
      <w:r>
        <w:t xml:space="preserve"> </w:t>
      </w:r>
      <w:r>
        <w:t xml:space="preserve">NSF Graduate Research Fellowship (DGE-1256259) supporting JSP.</w:t>
      </w:r>
      <w:r>
        <w:t xml:space="preserve"> </w:t>
      </w:r>
      <w:r>
        <w:t xml:space="preserve">GG conducted the surveys of Mývatn’s Arctic charr population.</w:t>
      </w:r>
      <w:r>
        <w:t xml:space="preserve"> </w:t>
      </w:r>
      <w:r>
        <w:t xml:space="preserve">JSP conducted the analyses,</w:t>
      </w:r>
      <w:r>
        <w:t xml:space="preserve"> </w:t>
      </w:r>
      <w:r>
        <w:t xml:space="preserve">with input from ARI.</w:t>
      </w:r>
      <w:r>
        <w:t xml:space="preserve"> </w:t>
      </w:r>
      <w:r>
        <w:t xml:space="preserve">JSP wrote the first draft of the paper,</w:t>
      </w:r>
      <w:r>
        <w:t xml:space="preserve"> </w:t>
      </w:r>
      <w:r>
        <w:t xml:space="preserve">with substantial contributions from all authors to subsequent drafts.</w:t>
      </w:r>
      <w:r>
        <w:t xml:space="preserve"> </w:t>
      </w:r>
      <w:r>
        <w:t xml:space="preserve">We thank Árni Einarsson, Camille Leblanc, and Bjarni Kristófer Kristjánsson</w:t>
      </w:r>
      <w:r>
        <w:t xml:space="preserve"> </w:t>
      </w:r>
      <w:r>
        <w:t xml:space="preserve">for their constructive feedback on the manuscript.</w:t>
      </w:r>
    </w:p>
    <w:bookmarkStart w:id="29" w:name="tab:param"/>
    <w:p>
      <w:pPr>
        <w:pStyle w:val="TableCaption"/>
      </w:pPr>
      <w:bookmarkStart w:id="28" w:name="tab:param"/>
      <w:r>
        <w:t xml:space="preserve">[tab:param]</w:t>
      </w:r>
      <w:bookmarkEnd w:id="28"/>
      <w:r>
        <w:t xml:space="preserve"> </w:t>
      </w:r>
      <w:r>
        <w:t xml:space="preserve">Posterior summaries of the parameters from the demographic model.</w:t>
      </w:r>
      <w:r>
        <w:t xml:space="preserve"> </w:t>
      </w:r>
      <w:r>
        <w:t xml:space="preserve">Catch rates are dimensionless and constrained between 0 and 1,</w:t>
      </w:r>
      <w:r>
        <w:t xml:space="preserve"> </w:t>
      </w:r>
      <w:r>
        <w:t xml:space="preserve">while the random walk SD are on the scale of either logit-survival or log-recruitment</w:t>
      </w:r>
      <w:r>
        <w:t xml:space="preserve"> </w:t>
      </w:r>
      <w:r>
        <w:t xml:space="preserve">and constrained to be positive.</w:t>
      </w:r>
      <w:r>
        <w:t xml:space="preserve"> </w:t>
      </w:r>
      <w:r>
        <w:t xml:space="preserve">Uncertainty intervals are based on 68% quantiles,</w:t>
      </w:r>
      <w:r>
        <w:t xml:space="preserve"> </w:t>
      </w:r>
      <w:r>
        <w:t xml:space="preserve">matching the nominal coverage of standard errors.</w:t>
      </w:r>
      <w:r>
        <w:t xml:space="preserve"> </w:t>
      </w:r>
      <w:r>
        <w:t xml:space="preserve">Note that initial values for the random walks and</w:t>
      </w:r>
      <w:r>
        <w:t xml:space="preserve"> </w:t>
      </w:r>
      <w:r>
        <w:t xml:space="preserve">age-specific population density are not shown in this table</w:t>
      </w:r>
      <w:r>
        <w:t xml:space="preserve"> </w:t>
      </w:r>
      <w:r>
        <w:t xml:space="preserve">but can be seen in the corresponding figures.</w:t>
      </w:r>
      <w:r>
        <w:t xml:space="preserve"> </w:t>
      </w:r>
    </w:p>
    <w:tbl>
      <w:tblPr>
        <w:tblStyle w:val="Table"/>
        <w:tblW w:type="pct" w:w="0.0"/>
        <w:tblLook w:firstRow="0" w:lastRow="0" w:firstColumn="0" w:lastColumn="0" w:noHBand="0" w:noVBand="0"/>
        <w:tblCaption w:val="[tab:param] Posterior summaries of the parameters from the demographic model. Catch rates are dimensionless and constrained between 0 and 1, while the random walk SD are on the scale of either logit-survival or log-recruitment and constrained to be positive. Uncertainty intervals are based on 68% quantiles, matching the nominal coverage of standard errors. Note that initial values for the random walks and age-specific population density are not shown in this table but can be seen in the corresponding figures. "/>
      </w:tblPr>
      <w:tblGrid/>
      <w:tr>
        <w:tc>
          <w:p>
            <w:pPr>
              <w:pStyle w:val="Compact"/>
              <w:jc w:val="left"/>
            </w:pPr>
            <w:r>
              <w:t xml:space="preserve">Model parameter</w:t>
            </w:r>
          </w:p>
        </w:tc>
        <w:tc>
          <w:p/>
        </w:tc>
        <w:tc>
          <w:p>
            <w:pPr>
              <w:pStyle w:val="Compact"/>
              <w:jc w:val="center"/>
            </w:pPr>
            <w:r>
              <w:t xml:space="preserve">Posterior median [</w:t>
            </w:r>
          </w:p>
        </w:tc>
      </w:tr>
      <w:tr>
        <w:tc>
          <w:p>
            <w:pPr>
              <w:pStyle w:val="Compact"/>
              <w:jc w:val="left"/>
            </w:pPr>
            <w:r>
              <w:t xml:space="preserve">sampling efficiency</w:t>
            </w:r>
          </w:p>
        </w:tc>
        <w:tc>
          <w:p>
            <w:pPr>
              <w:pStyle w:val="Compact"/>
              <w:jc w:val="left"/>
            </w:pPr>
            <w:r>
              <w:t xml:space="preserve">age 1</w:t>
            </w:r>
          </w:p>
        </w:tc>
        <w:tc>
          <w:p>
            <w:pPr>
              <w:pStyle w:val="Compact"/>
              <w:jc w:val="center"/>
            </w:pPr>
            <w:r>
              <w:t xml:space="preserve">0.003 [0.001, 0.005]</w:t>
            </w:r>
          </w:p>
        </w:tc>
      </w:tr>
      <w:tr>
        <w:tc>
          <w:p/>
        </w:tc>
        <w:tc>
          <w:p>
            <w:pPr>
              <w:pStyle w:val="Compact"/>
              <w:jc w:val="left"/>
            </w:pPr>
            <w:r>
              <w:t xml:space="preserve">age 2</w:t>
            </w:r>
          </w:p>
        </w:tc>
        <w:tc>
          <w:p>
            <w:pPr>
              <w:pStyle w:val="Compact"/>
              <w:jc w:val="center"/>
            </w:pPr>
            <w:r>
              <w:t xml:space="preserve">0.13 [0.08, 0.19]</w:t>
            </w:r>
          </w:p>
        </w:tc>
      </w:tr>
      <w:tr>
        <w:tc>
          <w:p/>
        </w:tc>
        <w:tc>
          <w:p>
            <w:pPr>
              <w:pStyle w:val="Compact"/>
              <w:jc w:val="left"/>
            </w:pPr>
            <w:r>
              <w:t xml:space="preserve">age 3</w:t>
            </w:r>
          </w:p>
        </w:tc>
        <w:tc>
          <w:p>
            <w:pPr>
              <w:pStyle w:val="Compact"/>
              <w:jc w:val="center"/>
            </w:pPr>
            <w:r>
              <w:t xml:space="preserve">0.47 [0.30, 0.66]</w:t>
            </w:r>
          </w:p>
        </w:tc>
      </w:tr>
      <w:tr>
        <w:tc>
          <w:p/>
        </w:tc>
        <w:tc>
          <w:p>
            <w:pPr>
              <w:pStyle w:val="Compact"/>
              <w:jc w:val="left"/>
            </w:pPr>
            <w:r>
              <w:t xml:space="preserve">age 4+</w:t>
            </w:r>
          </w:p>
        </w:tc>
        <w:tc>
          <w:p>
            <w:pPr>
              <w:pStyle w:val="Compact"/>
              <w:jc w:val="center"/>
            </w:pPr>
            <w:r>
              <w:t xml:space="preserve">0.66 [0.46, 0.83]</w:t>
            </w:r>
          </w:p>
        </w:tc>
      </w:tr>
      <w:tr>
        <w:tc>
          <w:p>
            <w:pPr>
              <w:pStyle w:val="Compact"/>
              <w:jc w:val="left"/>
            </w:pPr>
            <w:r>
              <w:t xml:space="preserve">zero-inflation rate</w:t>
            </w:r>
          </w:p>
        </w:tc>
        <w:tc>
          <w:p/>
        </w:tc>
        <w:tc>
          <w:p>
            <w:pPr>
              <w:pStyle w:val="Compact"/>
              <w:jc w:val="center"/>
            </w:pPr>
            <w:r>
              <w:t xml:space="preserve">0.34 [0.32, 0.35]</w:t>
            </w:r>
          </w:p>
        </w:tc>
      </w:tr>
      <w:tr>
        <w:tc>
          <w:p>
            <w:pPr>
              <w:pStyle w:val="Compact"/>
              <w:jc w:val="left"/>
            </w:pPr>
            <w:r>
              <w:t xml:space="preserve">random walk SD</w:t>
            </w:r>
          </w:p>
        </w:tc>
        <w:tc>
          <w:p>
            <w:pPr>
              <w:pStyle w:val="Compact"/>
              <w:jc w:val="left"/>
            </w:pPr>
            <w:r>
              <w:t xml:space="preserve">survival probability</w:t>
            </w:r>
          </w:p>
        </w:tc>
        <w:tc>
          <w:p>
            <w:pPr>
              <w:pStyle w:val="Compact"/>
              <w:jc w:val="center"/>
            </w:pPr>
            <w:r>
              <w:t xml:space="preserve">1.94 [1.71, 2.23]</w:t>
            </w:r>
          </w:p>
        </w:tc>
      </w:tr>
      <w:tr>
        <w:tc>
          <w:p/>
        </w:tc>
        <w:tc>
          <w:p>
            <w:pPr>
              <w:pStyle w:val="Compact"/>
              <w:jc w:val="left"/>
            </w:pPr>
            <w:r>
              <w:t xml:space="preserve">recruitment capita^</w:t>
            </w:r>
            <w:r>
              <w:t xml:space="preserve">-1</w:t>
            </w:r>
          </w:p>
        </w:tc>
        <w:tc>
          <w:p>
            <w:pPr>
              <w:pStyle w:val="Compact"/>
              <w:jc w:val="center"/>
            </w:pPr>
            <w:r>
              <w:t xml:space="preserve">1.45 [1.25, 1.68]</w:t>
            </w:r>
          </w:p>
        </w:tc>
      </w:tr>
    </w:tbl>
    <w:bookmarkEnd w:id="29"/>
    <w:bookmarkStart w:id="31" w:name="tab:gls"/>
    <w:p>
      <w:pPr>
        <w:pStyle w:val="TableCaption"/>
      </w:pPr>
      <w:bookmarkStart w:id="30" w:name="tab:gls"/>
      <w:r>
        <w:t xml:space="preserve">[tab:gls]</w:t>
      </w:r>
      <w:bookmarkEnd w:id="30"/>
      <w:r>
        <w:t xml:space="preserve"> </w:t>
      </w:r>
      <w:r>
        <w:t xml:space="preserve">Coefficients and standard errors (SE) from the GLS models</w:t>
      </w:r>
      <w:r>
        <w:t xml:space="preserve"> </w:t>
      </w:r>
      <w:r>
        <w:t xml:space="preserve">quantifying linear trends in the demographic rates through time.</w:t>
      </w:r>
      <w:r>
        <w:t xml:space="preserve"> </w:t>
      </w:r>
      <w:r>
        <w:t xml:space="preserve">The models were fit on either a log (recruitment; population growth rate)</w:t>
      </w:r>
      <w:r>
        <w:t xml:space="preserve"> </w:t>
      </w:r>
      <w:r>
        <w:t xml:space="preserve">or logit (survival probability) scale,</w:t>
      </w:r>
      <w:r>
        <w:t xml:space="preserve"> </w:t>
      </w:r>
      <w:r>
        <w:t xml:space="preserve">and all response and predictor variables were z-scored prior to model fitting.</w:t>
      </w:r>
      <w:r>
        <w:t xml:space="preserve"> </w:t>
      </w:r>
      <w:r>
        <w:t xml:space="preserve">Therefore, the coefficients can be compared as effect sizes</w:t>
      </w:r>
      <w:r>
        <w:t xml:space="preserve"> </w:t>
      </w:r>
      <w:r>
        <w:t xml:space="preserve">across all of the response variables.</w:t>
      </w:r>
      <w:r>
        <w:t xml:space="preserve"> </w:t>
      </w:r>
      <w:r>
        <w:t xml:space="preserve">The autoregressive (AR) coefficients were included to account for temporal autocorrelation</w:t>
      </w:r>
      <w:r>
        <w:t xml:space="preserve"> </w:t>
      </w:r>
      <w:r>
        <w:t xml:space="preserve">when estimating the year trends;</w:t>
      </w:r>
      <w:r>
        <w:t xml:space="preserve"> </w:t>
      </w:r>
      <w:r>
        <w:t xml:space="preserve">0 indicates no autocorrelation,</w:t>
      </w:r>
      <w:r>
        <w:t xml:space="preserve"> </w:t>
      </w:r>
      <w:r>
        <w:t xml:space="preserve">while |1| indicates strong (positive or negative) autocorrelation</w:t>
      </w:r>
      <w:r>
        <w:t xml:space="preserve"> </w:t>
      </w:r>
      <w:r>
        <w:t xml:space="preserve">and statistical non-stationarity.</w:t>
      </w:r>
      <w:r>
        <w:t xml:space="preserve"> </w:t>
      </w:r>
    </w:p>
    <w:tbl>
      <w:tblPr>
        <w:tblStyle w:val="Table"/>
        <w:tblW w:type="pct" w:w="0.0"/>
        <w:tblLook w:firstRow="0" w:lastRow="0" w:firstColumn="0" w:lastColumn="0" w:noHBand="0" w:noVBand="0"/>
        <w:tblCaption w:val="[tab:gls] Coefficients and standard errors (SE) from the GLS models quantifying linear trends in the demographic rates through time. The models were fit on either a log (recruitment; population growth rate) or logit (survival probability) scale, and all response and predictor variables were z-scored prior to model fitting. Therefore, the coefficients can be compared as effect sizes across all of the response variables. The autoregressive (AR) coefficients were included to account for temporal autocorrelation when estimating the year trends; 0 indicates no autocorrelation, while |1| indicates strong (positive or negative) autocorrelation and statistical non-stationarity. "/>
      </w:tblPr>
      <w:tblGrid/>
      <w:tr>
        <w:tc>
          <w:p>
            <w:pPr>
              <w:pStyle w:val="Compact"/>
              <w:jc w:val="left"/>
            </w:pPr>
            <w:r>
              <w:t xml:space="preserve">Response variable</w:t>
            </w:r>
          </w:p>
        </w:tc>
        <w:tc>
          <w:p/>
        </w:tc>
        <w:tc>
          <w:p>
            <w:pPr>
              <w:pStyle w:val="Compact"/>
              <w:jc w:val="center"/>
            </w:pPr>
            <w:r>
              <w:t xml:space="preserve">Intercept ( )</w:t>
            </w:r>
          </w:p>
        </w:tc>
        <w:tc>
          <w:p>
            <w:pPr>
              <w:pStyle w:val="Compact"/>
              <w:jc w:val="center"/>
            </w:pPr>
            <w:r>
              <w:t xml:space="preserve">Year slope ( )</w:t>
            </w:r>
          </w:p>
        </w:tc>
        <w:tc>
          <w:p>
            <w:pPr>
              <w:pStyle w:val="Compact"/>
              <w:jc w:val="center"/>
            </w:pPr>
            <w:r>
              <w:t xml:space="preserve">AR</w:t>
            </w:r>
            <w:r>
              <w:t xml:space="preserve"> </w:t>
            </w:r>
            <w:r>
              <w:t xml:space="preserve">coefficient</w:t>
            </w:r>
          </w:p>
        </w:tc>
      </w:tr>
      <w:tr>
        <w:tc>
          <w:p>
            <w:pPr>
              <w:pStyle w:val="Compact"/>
              <w:jc w:val="left"/>
            </w:pPr>
            <w:r>
              <w:t xml:space="preserve">survival probability</w:t>
            </w:r>
          </w:p>
        </w:tc>
        <w:tc>
          <w:p>
            <w:pPr>
              <w:pStyle w:val="Compact"/>
              <w:jc w:val="left"/>
            </w:pPr>
            <w:r>
              <w:t xml:space="preserve">age 1</w:t>
            </w:r>
          </w:p>
        </w:tc>
        <w:tc>
          <w:p>
            <w:pPr>
              <w:pStyle w:val="Compact"/>
              <w:jc w:val="center"/>
            </w:pPr>
            <w:r>
              <w:t xml:space="preserve"> 0.00  0.27</w:t>
            </w:r>
          </w:p>
        </w:tc>
        <w:tc>
          <w:p>
            <w:pPr>
              <w:pStyle w:val="Compact"/>
              <w:jc w:val="center"/>
            </w:pPr>
            <w:r>
              <w:t xml:space="preserve"> 0.15  0.26</w:t>
            </w:r>
          </w:p>
        </w:tc>
        <w:tc>
          <w:p>
            <w:pPr>
              <w:pStyle w:val="Compact"/>
              <w:jc w:val="center"/>
            </w:pPr>
            <w:r>
              <w:t xml:space="preserve"> 0.41</w:t>
            </w:r>
          </w:p>
        </w:tc>
      </w:tr>
      <w:tr>
        <w:tc>
          <w:p/>
        </w:tc>
        <w:tc>
          <w:p>
            <w:pPr>
              <w:pStyle w:val="Compact"/>
              <w:jc w:val="left"/>
            </w:pPr>
            <w:r>
              <w:t xml:space="preserve">age 2</w:t>
            </w:r>
          </w:p>
        </w:tc>
        <w:tc>
          <w:p>
            <w:pPr>
              <w:pStyle w:val="Compact"/>
              <w:jc w:val="center"/>
            </w:pPr>
            <w:r>
              <w:t xml:space="preserve">-0.01  0.15</w:t>
            </w:r>
          </w:p>
        </w:tc>
        <w:tc>
          <w:p>
            <w:pPr>
              <w:pStyle w:val="Compact"/>
              <w:jc w:val="center"/>
            </w:pPr>
            <w:r>
              <w:t xml:space="preserve"> 0.27  0.16</w:t>
            </w:r>
          </w:p>
        </w:tc>
        <w:tc>
          <w:p>
            <w:pPr>
              <w:pStyle w:val="Compact"/>
              <w:jc w:val="center"/>
            </w:pPr>
            <w:r>
              <w:t xml:space="preserve">-0.10</w:t>
            </w:r>
          </w:p>
        </w:tc>
      </w:tr>
      <w:tr>
        <w:tc>
          <w:p/>
        </w:tc>
        <w:tc>
          <w:p>
            <w:pPr>
              <w:pStyle w:val="Compact"/>
              <w:jc w:val="left"/>
            </w:pPr>
            <w:r>
              <w:t xml:space="preserve">age 3</w:t>
            </w:r>
          </w:p>
        </w:tc>
        <w:tc>
          <w:p>
            <w:pPr>
              <w:pStyle w:val="Compact"/>
              <w:jc w:val="center"/>
            </w:pPr>
            <w:r>
              <w:t xml:space="preserve"> 0.01  0.53</w:t>
            </w:r>
          </w:p>
        </w:tc>
        <w:tc>
          <w:p>
            <w:pPr>
              <w:pStyle w:val="Compact"/>
              <w:jc w:val="center"/>
            </w:pPr>
            <w:r>
              <w:t xml:space="preserve"> 0.19  0.43</w:t>
            </w:r>
          </w:p>
        </w:tc>
        <w:tc>
          <w:p>
            <w:pPr>
              <w:pStyle w:val="Compact"/>
              <w:jc w:val="center"/>
            </w:pPr>
            <w:r>
              <w:t xml:space="preserve"> 0.80</w:t>
            </w:r>
          </w:p>
        </w:tc>
      </w:tr>
      <w:tr>
        <w:tc>
          <w:p/>
        </w:tc>
        <w:tc>
          <w:p>
            <w:pPr>
              <w:pStyle w:val="Compact"/>
              <w:jc w:val="left"/>
            </w:pPr>
            <w:r>
              <w:t xml:space="preserve">age 4+</w:t>
            </w:r>
          </w:p>
        </w:tc>
        <w:tc>
          <w:p>
            <w:pPr>
              <w:pStyle w:val="Compact"/>
              <w:jc w:val="center"/>
            </w:pPr>
            <w:r>
              <w:t xml:space="preserve">0.04  0.25</w:t>
            </w:r>
          </w:p>
        </w:tc>
        <w:tc>
          <w:p>
            <w:pPr>
              <w:pStyle w:val="Compact"/>
              <w:jc w:val="center"/>
            </w:pPr>
            <w:r>
              <w:t xml:space="preserve"> 0.57  0.24</w:t>
            </w:r>
          </w:p>
        </w:tc>
        <w:tc>
          <w:p>
            <w:pPr>
              <w:pStyle w:val="Compact"/>
              <w:jc w:val="center"/>
            </w:pPr>
            <w:r>
              <w:t xml:space="preserve"> 0.49</w:t>
            </w:r>
          </w:p>
        </w:tc>
      </w:tr>
      <w:tr>
        <w:tc>
          <w:p>
            <w:pPr>
              <w:pStyle w:val="Compact"/>
              <w:jc w:val="left"/>
            </w:pPr>
            <w:r>
              <w:t xml:space="preserve">recruitment capita^</w:t>
            </w:r>
            <w:r>
              <w:t xml:space="preserve">-1</w:t>
            </w:r>
          </w:p>
        </w:tc>
        <w:tc>
          <w:p/>
        </w:tc>
        <w:tc>
          <w:p>
            <w:pPr>
              <w:pStyle w:val="Compact"/>
              <w:jc w:val="center"/>
            </w:pPr>
            <w:r>
              <w:t xml:space="preserve"> 0.05  0.26</w:t>
            </w:r>
          </w:p>
        </w:tc>
        <w:tc>
          <w:p>
            <w:pPr>
              <w:pStyle w:val="Compact"/>
              <w:jc w:val="center"/>
            </w:pPr>
            <w:r>
              <w:t xml:space="preserve">-0.39  0.25</w:t>
            </w:r>
          </w:p>
        </w:tc>
        <w:tc>
          <w:p>
            <w:pPr>
              <w:pStyle w:val="Compact"/>
              <w:jc w:val="center"/>
            </w:pPr>
            <w:r>
              <w:t xml:space="preserve"> 0.45</w:t>
            </w:r>
          </w:p>
        </w:tc>
      </w:tr>
      <w:tr>
        <w:tc>
          <w:p>
            <w:pPr>
              <w:pStyle w:val="Compact"/>
              <w:jc w:val="left"/>
            </w:pPr>
            <w:r>
              <w:t xml:space="preserve">population growth rate</w:t>
            </w:r>
          </w:p>
        </w:tc>
        <w:tc>
          <w:p/>
        </w:tc>
        <w:tc>
          <w:p>
            <w:pPr>
              <w:pStyle w:val="Compact"/>
              <w:jc w:val="center"/>
            </w:pPr>
            <w:r>
              <w:t xml:space="preserve">-0.02  0.13</w:t>
            </w:r>
          </w:p>
        </w:tc>
        <w:tc>
          <w:p>
            <w:pPr>
              <w:pStyle w:val="Compact"/>
              <w:jc w:val="center"/>
            </w:pPr>
            <w:r>
              <w:t xml:space="preserve"> 0.18  0.13</w:t>
            </w:r>
          </w:p>
        </w:tc>
        <w:tc>
          <w:p>
            <w:pPr>
              <w:pStyle w:val="Compact"/>
              <w:jc w:val="center"/>
            </w:pPr>
            <w:r>
              <w:t xml:space="preserve">-0.27</w:t>
            </w:r>
          </w:p>
        </w:tc>
      </w:tr>
    </w:tbl>
    <w:bookmarkEnd w:id="31"/>
    <w:p>
      <w:pPr>
        <w:pStyle w:val="CaptionedFigure"/>
      </w:pPr>
      <w:bookmarkStart w:id="33" w:name="fig:p_catch"/>
      <w:r>
        <w:drawing>
          <wp:inline>
            <wp:extent cx="3200400" cy="2743200"/>
            <wp:effectExtent b="0" l="0" r="0" t="0"/>
            <wp:docPr descr="[fig:p_catch] Station-level catch (points) and 90% posterior prediction intervals (shading) from the demographic model. The prediction intervals include stochasticity arising from the Poisson sampling process and therefore represent the predicted distribution of catch according to the model. The solid lines are medians of the prediction distributions and quantify the expected catch; note that this is not the same quantity as the estimated population density, shown in Figure 2. The y-axis is on a log+1 scale to accommodate zeros. " title="" id="1" name="Picture"/>
            <a:graphic>
              <a:graphicData uri="http://schemas.openxmlformats.org/drawingml/2006/picture">
                <pic:pic>
                  <pic:nvPicPr>
                    <pic:cNvPr descr="../analysis/figures/p_catch.pdf" id="0" name="Picture"/>
                    <pic:cNvPicPr>
                      <a:picLocks noChangeArrowheads="1" noChangeAspect="1"/>
                    </pic:cNvPicPr>
                  </pic:nvPicPr>
                  <pic:blipFill>
                    <a:blip r:embed="rId32"/>
                    <a:stretch>
                      <a:fillRect/>
                    </a:stretch>
                  </pic:blipFill>
                  <pic:spPr bwMode="auto">
                    <a:xfrm>
                      <a:off x="0" y="0"/>
                      <a:ext cx="3200400" cy="2743200"/>
                    </a:xfrm>
                    <a:prstGeom prst="rect">
                      <a:avLst/>
                    </a:prstGeom>
                    <a:noFill/>
                    <a:ln w="9525">
                      <a:noFill/>
                      <a:headEnd/>
                      <a:tailEnd/>
                    </a:ln>
                  </pic:spPr>
                </pic:pic>
              </a:graphicData>
            </a:graphic>
          </wp:inline>
        </w:drawing>
      </w:r>
      <w:bookmarkEnd w:id="33"/>
    </w:p>
    <w:p>
      <w:pPr>
        <w:pStyle w:val="ImageCaption"/>
      </w:pPr>
      <w:bookmarkStart w:id="34" w:name="fig:p_catch"/>
      <w:r>
        <w:t xml:space="preserve">[fig:p_catch]</w:t>
      </w:r>
      <w:bookmarkEnd w:id="34"/>
      <w:r>
        <w:t xml:space="preserve"> </w:t>
      </w:r>
      <w:r>
        <w:t xml:space="preserve">Station-level catch (points) and 90% posterior prediction intervals (shading)</w:t>
      </w:r>
      <w:r>
        <w:t xml:space="preserve"> </w:t>
      </w:r>
      <w:r>
        <w:t xml:space="preserve">from the demographic model.</w:t>
      </w:r>
      <w:r>
        <w:t xml:space="preserve"> </w:t>
      </w:r>
      <w:r>
        <w:t xml:space="preserve">The prediction intervals include stochasticity arising from the Poisson sampling process</w:t>
      </w:r>
      <w:r>
        <w:t xml:space="preserve"> </w:t>
      </w:r>
      <w:r>
        <w:t xml:space="preserve">and therefore represent the predicted distribution of catch according to the model.</w:t>
      </w:r>
      <w:r>
        <w:t xml:space="preserve"> </w:t>
      </w:r>
      <w:r>
        <w:t xml:space="preserve">The solid lines are medians of the prediction distributions and quantify the expected</w:t>
      </w:r>
      <w:r>
        <w:t xml:space="preserve"> </w:t>
      </w:r>
      <w:r>
        <w:t xml:space="preserve">catch; note that this is not the same quantity as the estimated population density,</w:t>
      </w:r>
      <w:r>
        <w:t xml:space="preserve"> </w:t>
      </w:r>
      <w:r>
        <w:t xml:space="preserve">shown in Figure</w:t>
      </w:r>
      <w:r>
        <w:t xml:space="preserve"> </w:t>
      </w:r>
      <w:hyperlink w:anchor="fig:p_dens">
        <w:r>
          <w:rPr>
            <w:rStyle w:val="Hyperlink"/>
          </w:rPr>
          <w:t xml:space="preserve">2</w:t>
        </w:r>
      </w:hyperlink>
      <w:r>
        <w:t xml:space="preserve">.</w:t>
      </w:r>
      <w:r>
        <w:t xml:space="preserve"> </w:t>
      </w:r>
      <w:r>
        <w:t xml:space="preserve">The y-axis is on a log+1 scale to accommodate zeros.</w:t>
      </w:r>
      <w:r>
        <w:t xml:space="preserve"> </w:t>
      </w:r>
    </w:p>
    <w:p>
      <w:pPr>
        <w:pStyle w:val="CaptionedFigure"/>
      </w:pPr>
      <w:bookmarkStart w:id="36" w:name="fig:p_dens"/>
      <w:r>
        <w:drawing>
          <wp:inline>
            <wp:extent cx="3200400" cy="2743200"/>
            <wp:effectExtent b="0" l="0" r="0" t="0"/>
            <wp:docPr descr="[fig:p_dens] Average population density across stations (solid line) inferred from the demographic model. Shading depicts 68% uncertainty intervals, matching the nominal coverage of standard errors. The y-axis is on a log scale. " title="" id="1" name="Picture"/>
            <a:graphic>
              <a:graphicData uri="http://schemas.openxmlformats.org/drawingml/2006/picture">
                <pic:pic>
                  <pic:nvPicPr>
                    <pic:cNvPr descr="../analysis/figures/p_dens.pdf" id="0" name="Picture"/>
                    <pic:cNvPicPr>
                      <a:picLocks noChangeArrowheads="1" noChangeAspect="1"/>
                    </pic:cNvPicPr>
                  </pic:nvPicPr>
                  <pic:blipFill>
                    <a:blip r:embed="rId35"/>
                    <a:stretch>
                      <a:fillRect/>
                    </a:stretch>
                  </pic:blipFill>
                  <pic:spPr bwMode="auto">
                    <a:xfrm>
                      <a:off x="0" y="0"/>
                      <a:ext cx="3200400" cy="2743200"/>
                    </a:xfrm>
                    <a:prstGeom prst="rect">
                      <a:avLst/>
                    </a:prstGeom>
                    <a:noFill/>
                    <a:ln w="9525">
                      <a:noFill/>
                      <a:headEnd/>
                      <a:tailEnd/>
                    </a:ln>
                  </pic:spPr>
                </pic:pic>
              </a:graphicData>
            </a:graphic>
          </wp:inline>
        </w:drawing>
      </w:r>
      <w:bookmarkEnd w:id="36"/>
    </w:p>
    <w:p>
      <w:pPr>
        <w:pStyle w:val="ImageCaption"/>
      </w:pPr>
      <w:bookmarkStart w:id="37" w:name="fig:p_dens"/>
      <w:r>
        <w:t xml:space="preserve">[fig:p_dens]</w:t>
      </w:r>
      <w:bookmarkEnd w:id="37"/>
      <w:r>
        <w:t xml:space="preserve"> </w:t>
      </w:r>
      <w:r>
        <w:t xml:space="preserve">Average population density across stations (solid line)</w:t>
      </w:r>
      <w:r>
        <w:t xml:space="preserve"> </w:t>
      </w:r>
      <w:r>
        <w:t xml:space="preserve">inferred from the demographic model.</w:t>
      </w:r>
      <w:r>
        <w:t xml:space="preserve"> </w:t>
      </w:r>
      <w:r>
        <w:t xml:space="preserve">Shading depicts 68% uncertainty intervals,</w:t>
      </w:r>
      <w:r>
        <w:t xml:space="preserve"> </w:t>
      </w:r>
      <w:r>
        <w:t xml:space="preserve">matching the nominal coverage of standard errors.</w:t>
      </w:r>
      <w:r>
        <w:t xml:space="preserve"> </w:t>
      </w:r>
      <w:r>
        <w:t xml:space="preserve">The y-axis is on a log scale.</w:t>
      </w:r>
      <w:r>
        <w:t xml:space="preserve"> </w:t>
      </w:r>
    </w:p>
    <w:p>
      <w:pPr>
        <w:pStyle w:val="CaptionedFigure"/>
      </w:pPr>
      <w:bookmarkStart w:id="39" w:name="fig:p_lam"/>
      <w:r>
        <w:drawing>
          <wp:inline>
            <wp:extent cx="3200400" cy="2286000"/>
            <wp:effectExtent b="0" l="0" r="0" t="0"/>
            <wp:docPr descr="[fig:p_lam] Asymptotic population growth rate (solid blue line) inferred from the demographic model. Shading depicts 68% uncertainty intervals, matching the nominal coverage of standard errors. The dashed horizontal line indicates a growth rate of 1, which corresponds to no change in the population size from one time step to the next. The solid black line represents the fitted values from the GLS model fit on a log-scale and then back-transformed to match the scale of the population growth rate. Note however, that the y-axis is on a log scale, thereby preserving the linearity of the data and model fit. " title="" id="1" name="Picture"/>
            <a:graphic>
              <a:graphicData uri="http://schemas.openxmlformats.org/drawingml/2006/picture">
                <pic:pic>
                  <pic:nvPicPr>
                    <pic:cNvPr descr="../analysis/figures/p_lam.pdf" id="0" name="Picture"/>
                    <pic:cNvPicPr>
                      <a:picLocks noChangeArrowheads="1" noChangeAspect="1"/>
                    </pic:cNvPicPr>
                  </pic:nvPicPr>
                  <pic:blipFill>
                    <a:blip r:embed="rId38"/>
                    <a:stretch>
                      <a:fillRect/>
                    </a:stretch>
                  </pic:blipFill>
                  <pic:spPr bwMode="auto">
                    <a:xfrm>
                      <a:off x="0" y="0"/>
                      <a:ext cx="3200400" cy="2286000"/>
                    </a:xfrm>
                    <a:prstGeom prst="rect">
                      <a:avLst/>
                    </a:prstGeom>
                    <a:noFill/>
                    <a:ln w="9525">
                      <a:noFill/>
                      <a:headEnd/>
                      <a:tailEnd/>
                    </a:ln>
                  </pic:spPr>
                </pic:pic>
              </a:graphicData>
            </a:graphic>
          </wp:inline>
        </w:drawing>
      </w:r>
      <w:bookmarkEnd w:id="39"/>
    </w:p>
    <w:p>
      <w:pPr>
        <w:pStyle w:val="ImageCaption"/>
      </w:pPr>
      <w:bookmarkStart w:id="40" w:name="fig:p_lam"/>
      <w:r>
        <w:t xml:space="preserve">[fig:p_lam]</w:t>
      </w:r>
      <w:bookmarkEnd w:id="40"/>
      <w:r>
        <w:t xml:space="preserve"> </w:t>
      </w:r>
      <w:r>
        <w:t xml:space="preserve">Asymptotic population growth rate (solid blue line) inferred from the demographic model.</w:t>
      </w:r>
      <w:r>
        <w:t xml:space="preserve"> </w:t>
      </w:r>
      <w:r>
        <w:t xml:space="preserve">Shading depicts 68% uncertainty intervals,</w:t>
      </w:r>
      <w:r>
        <w:t xml:space="preserve"> </w:t>
      </w:r>
      <w:r>
        <w:t xml:space="preserve">matching the nominal coverage of standard errors.</w:t>
      </w:r>
      <w:r>
        <w:t xml:space="preserve"> </w:t>
      </w:r>
      <w:r>
        <w:t xml:space="preserve">The dashed horizontal line indicates a growth rate of 1,</w:t>
      </w:r>
      <w:r>
        <w:t xml:space="preserve"> </w:t>
      </w:r>
      <w:r>
        <w:t xml:space="preserve">which corresponds to no change in the population size from one time step to the next.</w:t>
      </w:r>
      <w:r>
        <w:t xml:space="preserve"> </w:t>
      </w:r>
      <w:r>
        <w:t xml:space="preserve">The solid black line represents the fitted values from the GLS model</w:t>
      </w:r>
      <w:r>
        <w:t xml:space="preserve"> </w:t>
      </w:r>
      <w:r>
        <w:t xml:space="preserve">fit on a log-scale and then back-transformed</w:t>
      </w:r>
      <w:r>
        <w:t xml:space="preserve"> </w:t>
      </w:r>
      <w:r>
        <w:t xml:space="preserve">to match the scale of the population growth rate.</w:t>
      </w:r>
      <w:r>
        <w:t xml:space="preserve"> </w:t>
      </w:r>
      <w:r>
        <w:t xml:space="preserve">Note however, that the y-axis is on a log scale,</w:t>
      </w:r>
      <w:r>
        <w:t xml:space="preserve"> </w:t>
      </w:r>
      <w:r>
        <w:t xml:space="preserve">thereby preserving the linearity of the data and model fit.</w:t>
      </w:r>
      <w:r>
        <w:t xml:space="preserve"> </w:t>
      </w:r>
    </w:p>
    <w:p>
      <w:pPr>
        <w:pStyle w:val="CaptionedFigure"/>
      </w:pPr>
      <w:bookmarkStart w:id="42" w:name="fig:p_surv"/>
      <w:r>
        <w:drawing>
          <wp:inline>
            <wp:extent cx="3200400" cy="2743200"/>
            <wp:effectExtent b="0" l="0" r="0" t="0"/>
            <wp:docPr descr="[fig:p_surv] Logit-survival probability (solid colored lines) inferred from the demographic model. Shading depicts 68% uncertainty intervals, matching the nominal coverage of standard errors. The solid black line represents the fitted values from the GLS models fit separately for each age class. Note that logit-survival probability ranging from -5 to 5 corresponds to actual survival probability ranging from 0.007 to 0.993. The dashed horizontal line indicates a zero, corresponding to an actual survival probability of 0.5. " title="" id="1" name="Picture"/>
            <a:graphic>
              <a:graphicData uri="http://schemas.openxmlformats.org/drawingml/2006/picture">
                <pic:pic>
                  <pic:nvPicPr>
                    <pic:cNvPr descr="../analysis/figures/p_surv.pdf" id="0" name="Picture"/>
                    <pic:cNvPicPr>
                      <a:picLocks noChangeArrowheads="1" noChangeAspect="1"/>
                    </pic:cNvPicPr>
                  </pic:nvPicPr>
                  <pic:blipFill>
                    <a:blip r:embed="rId41"/>
                    <a:stretch>
                      <a:fillRect/>
                    </a:stretch>
                  </pic:blipFill>
                  <pic:spPr bwMode="auto">
                    <a:xfrm>
                      <a:off x="0" y="0"/>
                      <a:ext cx="3200400" cy="2743200"/>
                    </a:xfrm>
                    <a:prstGeom prst="rect">
                      <a:avLst/>
                    </a:prstGeom>
                    <a:noFill/>
                    <a:ln w="9525">
                      <a:noFill/>
                      <a:headEnd/>
                      <a:tailEnd/>
                    </a:ln>
                  </pic:spPr>
                </pic:pic>
              </a:graphicData>
            </a:graphic>
          </wp:inline>
        </w:drawing>
      </w:r>
      <w:bookmarkEnd w:id="42"/>
    </w:p>
    <w:p>
      <w:pPr>
        <w:pStyle w:val="ImageCaption"/>
      </w:pPr>
      <w:bookmarkStart w:id="43" w:name="fig:p_surv"/>
      <w:r>
        <w:t xml:space="preserve">[fig:p_surv]</w:t>
      </w:r>
      <w:bookmarkEnd w:id="43"/>
      <w:r>
        <w:t xml:space="preserve"> </w:t>
      </w:r>
      <w:r>
        <w:t xml:space="preserve">Logit-survival probability (solid colored lines) inferred from the demographic model.</w:t>
      </w:r>
      <w:r>
        <w:t xml:space="preserve"> </w:t>
      </w:r>
      <w:r>
        <w:t xml:space="preserve">Shading depicts 68% uncertainty intervals,</w:t>
      </w:r>
      <w:r>
        <w:t xml:space="preserve"> </w:t>
      </w:r>
      <w:r>
        <w:t xml:space="preserve">matching the nominal coverage of standard errors.</w:t>
      </w:r>
      <w:r>
        <w:t xml:space="preserve"> </w:t>
      </w:r>
      <w:r>
        <w:t xml:space="preserve">The solid black line represents the fitted values from the GLS models</w:t>
      </w:r>
      <w:r>
        <w:t xml:space="preserve"> </w:t>
      </w:r>
      <w:r>
        <w:t xml:space="preserve">fit separately for each age class.</w:t>
      </w:r>
      <w:r>
        <w:t xml:space="preserve"> </w:t>
      </w:r>
      <w:r>
        <w:t xml:space="preserve">Note that logit-survival probability ranging from -5 to 5</w:t>
      </w:r>
      <w:r>
        <w:t xml:space="preserve"> </w:t>
      </w:r>
      <w:r>
        <w:t xml:space="preserve">corresponds to actual survival probability ranging from 0.007 to 0.993.</w:t>
      </w:r>
      <w:r>
        <w:t xml:space="preserve"> </w:t>
      </w:r>
      <w:r>
        <w:t xml:space="preserve">The dashed horizontal line indicates a zero, corresponding to</w:t>
      </w:r>
      <w:r>
        <w:t xml:space="preserve"> </w:t>
      </w:r>
      <w:r>
        <w:t xml:space="preserve">an actual survival probability of 0.5.</w:t>
      </w:r>
      <w:r>
        <w:t xml:space="preserve"> </w:t>
      </w:r>
    </w:p>
    <w:p>
      <w:pPr>
        <w:pStyle w:val="CaptionedFigure"/>
      </w:pPr>
      <w:bookmarkStart w:id="45" w:name="fig:p_rec"/>
      <w:r>
        <w:drawing>
          <wp:inline>
            <wp:extent cx="3200400" cy="2286000"/>
            <wp:effectExtent b="0" l="0" r="0" t="0"/>
            <wp:docPr descr="[fig:p_rec] Log-recruitment \text{capita}^{-1} (solid blue line) inferred from the demographic model. Shading depicts 68% uncertainty intervals, matching the nominal coverage of standard errors. The solid black line represents the fitted values from the GLS models. Note that log-recruitment \text{capita}^{-1} ranging from -1 to 8 corresponds to actual log-recruitment \text{capita}^{-1} ranging from 0.4 to 3000. " title="" id="1" name="Picture"/>
            <a:graphic>
              <a:graphicData uri="http://schemas.openxmlformats.org/drawingml/2006/picture">
                <pic:pic>
                  <pic:nvPicPr>
                    <pic:cNvPr descr="../analysis/figures/p_rec.pdf" id="0" name="Picture"/>
                    <pic:cNvPicPr>
                      <a:picLocks noChangeArrowheads="1" noChangeAspect="1"/>
                    </pic:cNvPicPr>
                  </pic:nvPicPr>
                  <pic:blipFill>
                    <a:blip r:embed="rId44"/>
                    <a:stretch>
                      <a:fillRect/>
                    </a:stretch>
                  </pic:blipFill>
                  <pic:spPr bwMode="auto">
                    <a:xfrm>
                      <a:off x="0" y="0"/>
                      <a:ext cx="3200400" cy="2286000"/>
                    </a:xfrm>
                    <a:prstGeom prst="rect">
                      <a:avLst/>
                    </a:prstGeom>
                    <a:noFill/>
                    <a:ln w="9525">
                      <a:noFill/>
                      <a:headEnd/>
                      <a:tailEnd/>
                    </a:ln>
                  </pic:spPr>
                </pic:pic>
              </a:graphicData>
            </a:graphic>
          </wp:inline>
        </w:drawing>
      </w:r>
      <w:bookmarkEnd w:id="45"/>
    </w:p>
    <w:p>
      <w:pPr>
        <w:pStyle w:val="ImageCaption"/>
      </w:pPr>
      <w:bookmarkStart w:id="46" w:name="fig:p_rec"/>
      <w:r>
        <w:t xml:space="preserve">[fig:p_rec]</w:t>
      </w:r>
      <w:bookmarkEnd w:id="46"/>
      <w:r>
        <w:t xml:space="preserve"> </w:t>
      </w:r>
      <w:r>
        <w:t xml:space="preserve">Log-recruitment</w:t>
      </w:r>
      <w:r>
        <w:t xml:space="preserve"> </w:t>
      </w:r>
      <m:oMath>
        <m:sSup>
          <m:e>
            <m:r>
              <m:rPr>
                <m:nor/>
                <m:sty m:val="p"/>
              </m:rPr>
              <m:t>capita</m:t>
            </m:r>
          </m:e>
          <m:sup>
            <m:r>
              <m:t>−</m:t>
            </m:r>
            <m:r>
              <m:t>1</m:t>
            </m:r>
          </m:sup>
        </m:sSup>
      </m:oMath>
      <w:r>
        <w:t xml:space="preserve"> </w:t>
      </w:r>
      <w:r>
        <w:t xml:space="preserve">(solid blue line) inferred from the demographic model.</w:t>
      </w:r>
      <w:r>
        <w:t xml:space="preserve"> </w:t>
      </w:r>
      <w:r>
        <w:t xml:space="preserve">Shading depicts 68% uncertainty intervals,</w:t>
      </w:r>
      <w:r>
        <w:t xml:space="preserve"> </w:t>
      </w:r>
      <w:r>
        <w:t xml:space="preserve">matching the nominal coverage of standard errors.</w:t>
      </w:r>
      <w:r>
        <w:t xml:space="preserve"> </w:t>
      </w:r>
      <w:r>
        <w:t xml:space="preserve">The solid black line represents the fitted values from the GLS models.</w:t>
      </w:r>
      <w:r>
        <w:t xml:space="preserve"> </w:t>
      </w:r>
      <w:r>
        <w:t xml:space="preserve">Note that log-recruitment</w:t>
      </w:r>
      <w:r>
        <w:t xml:space="preserve"> </w:t>
      </w:r>
      <m:oMath>
        <m:sSup>
          <m:e>
            <m:r>
              <m:rPr>
                <m:nor/>
                <m:sty m:val="p"/>
              </m:rPr>
              <m:t>capita</m:t>
            </m:r>
          </m:e>
          <m:sup>
            <m:r>
              <m:t>−</m:t>
            </m:r>
            <m:r>
              <m:t>1</m:t>
            </m:r>
          </m:sup>
        </m:sSup>
      </m:oMath>
      <w:r>
        <w:t xml:space="preserve"> </w:t>
      </w:r>
      <w:r>
        <w:t xml:space="preserve">ranging from -1 to 8</w:t>
      </w:r>
      <w:r>
        <w:t xml:space="preserve"> </w:t>
      </w:r>
      <w:r>
        <w:t xml:space="preserve">corresponds to actual log-recruitment</w:t>
      </w:r>
      <w:r>
        <w:t xml:space="preserve"> </w:t>
      </w:r>
      <m:oMath>
        <m:sSup>
          <m:e>
            <m:r>
              <m:rPr>
                <m:nor/>
                <m:sty m:val="p"/>
              </m:rPr>
              <m:t>capita</m:t>
            </m:r>
          </m:e>
          <m:sup>
            <m:r>
              <m:t>−</m:t>
            </m:r>
            <m:r>
              <m:t>1</m:t>
            </m:r>
          </m:sup>
        </m:sSup>
      </m:oMath>
      <w:r>
        <w:t xml:space="preserve"> </w:t>
      </w:r>
      <w:r>
        <w:t xml:space="preserve">ranging from 0.4 to 3000.</w:t>
      </w:r>
      <w:r>
        <w:t xml:space="preserve"> </w:t>
      </w:r>
    </w:p>
    <w:p>
      <w:pPr>
        <w:pStyle w:val="CaptionedFigure"/>
      </w:pPr>
      <w:bookmarkStart w:id="48" w:name="fig:p_cohort"/>
      <w:r>
        <w:drawing>
          <wp:inline>
            <wp:extent cx="3200400" cy="2286000"/>
            <wp:effectExtent b="0" l="0" r="0" t="0"/>
            <wp:docPr descr="[fig:p_cohort] Survey catch as a function of age, with each line corresponding to a unique cohort. " title="" id="1" name="Picture"/>
            <a:graphic>
              <a:graphicData uri="http://schemas.openxmlformats.org/drawingml/2006/picture">
                <pic:pic>
                  <pic:nvPicPr>
                    <pic:cNvPr descr="../analysis/figures/p_cohort.pdf" id="0" name="Picture"/>
                    <pic:cNvPicPr>
                      <a:picLocks noChangeArrowheads="1" noChangeAspect="1"/>
                    </pic:cNvPicPr>
                  </pic:nvPicPr>
                  <pic:blipFill>
                    <a:blip r:embed="rId47"/>
                    <a:stretch>
                      <a:fillRect/>
                    </a:stretch>
                  </pic:blipFill>
                  <pic:spPr bwMode="auto">
                    <a:xfrm>
                      <a:off x="0" y="0"/>
                      <a:ext cx="3200400" cy="2286000"/>
                    </a:xfrm>
                    <a:prstGeom prst="rect">
                      <a:avLst/>
                    </a:prstGeom>
                    <a:noFill/>
                    <a:ln w="9525">
                      <a:noFill/>
                      <a:headEnd/>
                      <a:tailEnd/>
                    </a:ln>
                  </pic:spPr>
                </pic:pic>
              </a:graphicData>
            </a:graphic>
          </wp:inline>
        </w:drawing>
      </w:r>
      <w:bookmarkEnd w:id="48"/>
    </w:p>
    <w:p>
      <w:pPr>
        <w:pStyle w:val="ImageCaption"/>
      </w:pPr>
      <w:bookmarkStart w:id="49" w:name="fig:p_cohort"/>
      <w:r>
        <w:t xml:space="preserve">[fig:p_cohort]</w:t>
      </w:r>
      <w:bookmarkEnd w:id="49"/>
      <w:r>
        <w:t xml:space="preserve"> </w:t>
      </w:r>
      <w:r>
        <w:t xml:space="preserve">Survey catch as a function of age, with each line corresponding to a unique cohort.</w:t>
      </w:r>
      <w:r>
        <w:t xml:space="preserve"> </w:t>
      </w:r>
    </w:p>
    <w:p>
      <w:pPr>
        <w:pStyle w:val="CaptionedFigure"/>
      </w:pPr>
      <w:bookmarkStart w:id="51" w:name="fig:p_sites"/>
      <w:r>
        <w:drawing>
          <wp:inline>
            <wp:extent cx="3200400" cy="3657600"/>
            <wp:effectExtent b="0" l="0" r="0" t="0"/>
            <wp:docPr descr="[fig:p_sites] Station-level catch through time, with stations shown in different colors. " title="" id="1" name="Picture"/>
            <a:graphic>
              <a:graphicData uri="http://schemas.openxmlformats.org/drawingml/2006/picture">
                <pic:pic>
                  <pic:nvPicPr>
                    <pic:cNvPr descr="../analysis/figures/p_sites.pdf" id="0" name="Picture"/>
                    <pic:cNvPicPr>
                      <a:picLocks noChangeArrowheads="1" noChangeAspect="1"/>
                    </pic:cNvPicPr>
                  </pic:nvPicPr>
                  <pic:blipFill>
                    <a:blip r:embed="rId50"/>
                    <a:stretch>
                      <a:fillRect/>
                    </a:stretch>
                  </pic:blipFill>
                  <pic:spPr bwMode="auto">
                    <a:xfrm>
                      <a:off x="0" y="0"/>
                      <a:ext cx="3200400" cy="3657600"/>
                    </a:xfrm>
                    <a:prstGeom prst="rect">
                      <a:avLst/>
                    </a:prstGeom>
                    <a:noFill/>
                    <a:ln w="9525">
                      <a:noFill/>
                      <a:headEnd/>
                      <a:tailEnd/>
                    </a:ln>
                  </pic:spPr>
                </pic:pic>
              </a:graphicData>
            </a:graphic>
          </wp:inline>
        </w:drawing>
      </w:r>
      <w:bookmarkEnd w:id="51"/>
    </w:p>
    <w:p>
      <w:pPr>
        <w:pStyle w:val="ImageCaption"/>
      </w:pPr>
      <w:bookmarkStart w:id="52" w:name="fig:p_sites"/>
      <w:r>
        <w:t xml:space="preserve">[fig:p_sites]</w:t>
      </w:r>
      <w:bookmarkEnd w:id="52"/>
      <w:r>
        <w:t xml:space="preserve"> </w:t>
      </w:r>
      <w:r>
        <w:t xml:space="preserve">Station-level catch through time, with stations shown in different colors.</w:t>
      </w:r>
      <w:r>
        <w:t xml:space="preserve"> </w:t>
      </w:r>
    </w:p>
    <w:p>
      <w:pPr>
        <w:pStyle w:val="CaptionedFigure"/>
      </w:pPr>
      <w:bookmarkStart w:id="54" w:name="fig:p_catch_reduced"/>
      <w:r>
        <w:drawing>
          <wp:inline>
            <wp:extent cx="3200400" cy="2743200"/>
            <wp:effectExtent b="0" l="0" r="0" t="0"/>
            <wp:docPr descr="[fig:p_catch_reduced] Station-level catch (points) and 90% posterior prediction intervals (shading) from the reduced version of the demographic model with survival and recruitment fixed through time. The prediction intervals include stochasticity arising from the Poisson sampling process, and therefore represent the predicted distribution of catch according to the model. The solid lines are medians of the the prediction distributions and quantify the expected catch; note that this is not the same quantity as the estimated population density, shown in Figure 9. The y-axis is on a log+1 scale to accommodate zeros. " title="" id="1" name="Picture"/>
            <a:graphic>
              <a:graphicData uri="http://schemas.openxmlformats.org/drawingml/2006/picture">
                <pic:pic>
                  <pic:nvPicPr>
                    <pic:cNvPr descr="../analysis/figures/p_catch_reduced.pdf" id="0" name="Picture"/>
                    <pic:cNvPicPr>
                      <a:picLocks noChangeArrowheads="1" noChangeAspect="1"/>
                    </pic:cNvPicPr>
                  </pic:nvPicPr>
                  <pic:blipFill>
                    <a:blip r:embed="rId53"/>
                    <a:stretch>
                      <a:fillRect/>
                    </a:stretch>
                  </pic:blipFill>
                  <pic:spPr bwMode="auto">
                    <a:xfrm>
                      <a:off x="0" y="0"/>
                      <a:ext cx="3200400" cy="2743200"/>
                    </a:xfrm>
                    <a:prstGeom prst="rect">
                      <a:avLst/>
                    </a:prstGeom>
                    <a:noFill/>
                    <a:ln w="9525">
                      <a:noFill/>
                      <a:headEnd/>
                      <a:tailEnd/>
                    </a:ln>
                  </pic:spPr>
                </pic:pic>
              </a:graphicData>
            </a:graphic>
          </wp:inline>
        </w:drawing>
      </w:r>
      <w:bookmarkEnd w:id="54"/>
    </w:p>
    <w:p>
      <w:pPr>
        <w:pStyle w:val="ImageCaption"/>
      </w:pPr>
      <w:bookmarkStart w:id="55" w:name="fig:p_catch_reduced"/>
      <w:r>
        <w:t xml:space="preserve">[fig:p_catch_reduced]</w:t>
      </w:r>
      <w:bookmarkEnd w:id="55"/>
      <w:r>
        <w:t xml:space="preserve"> </w:t>
      </w:r>
      <w:r>
        <w:t xml:space="preserve">Station-level catch (points) and 90% posterior prediction intervals (shading)</w:t>
      </w:r>
      <w:r>
        <w:t xml:space="preserve"> </w:t>
      </w:r>
      <w:r>
        <w:t xml:space="preserve">from the reduced version of the demographic model</w:t>
      </w:r>
      <w:r>
        <w:t xml:space="preserve"> </w:t>
      </w:r>
      <w:r>
        <w:t xml:space="preserve">with survival and recruitment fixed through time.</w:t>
      </w:r>
      <w:r>
        <w:t xml:space="preserve"> </w:t>
      </w:r>
      <w:r>
        <w:t xml:space="preserve">The prediction intervals include stochasticity arising from the Poisson sampling process,</w:t>
      </w:r>
      <w:r>
        <w:t xml:space="preserve"> </w:t>
      </w:r>
      <w:r>
        <w:t xml:space="preserve">and therefore represent the predicted distribution of catch according to the model.</w:t>
      </w:r>
      <w:r>
        <w:t xml:space="preserve"> </w:t>
      </w:r>
      <w:r>
        <w:t xml:space="preserve">The solid lines are medians of the the prediction distributions and quantify the expected</w:t>
      </w:r>
      <w:r>
        <w:t xml:space="preserve"> </w:t>
      </w:r>
      <w:r>
        <w:t xml:space="preserve">catch; note that this is not the same quantity as the estimated population density,</w:t>
      </w:r>
      <w:r>
        <w:t xml:space="preserve"> </w:t>
      </w:r>
      <w:r>
        <w:t xml:space="preserve">shown in Figure</w:t>
      </w:r>
      <w:r>
        <w:t xml:space="preserve"> </w:t>
      </w:r>
      <w:hyperlink w:anchor="fig:p_dens_reduced">
        <w:r>
          <w:rPr>
            <w:rStyle w:val="Hyperlink"/>
          </w:rPr>
          <w:t xml:space="preserve">9</w:t>
        </w:r>
      </w:hyperlink>
      <w:r>
        <w:t xml:space="preserve">.</w:t>
      </w:r>
      <w:r>
        <w:t xml:space="preserve"> </w:t>
      </w:r>
      <w:r>
        <w:t xml:space="preserve">The y-axis is on a log+1 scale to accommodate zeros.</w:t>
      </w:r>
      <w:r>
        <w:t xml:space="preserve"> </w:t>
      </w:r>
    </w:p>
    <w:p>
      <w:pPr>
        <w:pStyle w:val="CaptionedFigure"/>
      </w:pPr>
      <w:bookmarkStart w:id="57" w:name="fig:p_dens_reduced"/>
      <w:r>
        <w:drawing>
          <wp:inline>
            <wp:extent cx="3200400" cy="2743200"/>
            <wp:effectExtent b="0" l="0" r="0" t="0"/>
            <wp:docPr descr="[fig:p_dens_reduced] Average population density across stations (solid line) inferred from the reduced version of the demographic model with survival and recruitment fixed through time. Shading depicts 68% uncertainty intervals, matching the nominal coverage of standard errors. The y-axis is on a log scale. " title="" id="1" name="Picture"/>
            <a:graphic>
              <a:graphicData uri="http://schemas.openxmlformats.org/drawingml/2006/picture">
                <pic:pic>
                  <pic:nvPicPr>
                    <pic:cNvPr descr="../analysis/figures/p_dens_reduced.pdf" id="0" name="Picture"/>
                    <pic:cNvPicPr>
                      <a:picLocks noChangeArrowheads="1" noChangeAspect="1"/>
                    </pic:cNvPicPr>
                  </pic:nvPicPr>
                  <pic:blipFill>
                    <a:blip r:embed="rId56"/>
                    <a:stretch>
                      <a:fillRect/>
                    </a:stretch>
                  </pic:blipFill>
                  <pic:spPr bwMode="auto">
                    <a:xfrm>
                      <a:off x="0" y="0"/>
                      <a:ext cx="3200400" cy="2743200"/>
                    </a:xfrm>
                    <a:prstGeom prst="rect">
                      <a:avLst/>
                    </a:prstGeom>
                    <a:noFill/>
                    <a:ln w="9525">
                      <a:noFill/>
                      <a:headEnd/>
                      <a:tailEnd/>
                    </a:ln>
                  </pic:spPr>
                </pic:pic>
              </a:graphicData>
            </a:graphic>
          </wp:inline>
        </w:drawing>
      </w:r>
      <w:bookmarkEnd w:id="57"/>
    </w:p>
    <w:p>
      <w:pPr>
        <w:pStyle w:val="ImageCaption"/>
      </w:pPr>
      <w:bookmarkStart w:id="58" w:name="fig:p_dens_reduced"/>
      <w:r>
        <w:t xml:space="preserve">[fig:p_dens_reduced]</w:t>
      </w:r>
      <w:bookmarkEnd w:id="58"/>
      <w:r>
        <w:t xml:space="preserve"> </w:t>
      </w:r>
      <w:r>
        <w:t xml:space="preserve">Average population density across stations (solid line)</w:t>
      </w:r>
      <w:r>
        <w:t xml:space="preserve"> </w:t>
      </w:r>
      <w:r>
        <w:t xml:space="preserve">inferred from the reduced version of the demographic model</w:t>
      </w:r>
      <w:r>
        <w:t xml:space="preserve"> </w:t>
      </w:r>
      <w:r>
        <w:t xml:space="preserve">with survival and recruitment fixed through time.</w:t>
      </w:r>
      <w:r>
        <w:t xml:space="preserve"> </w:t>
      </w:r>
      <w:r>
        <w:t xml:space="preserve">Shading depicts 68% uncertainty intervals,</w:t>
      </w:r>
      <w:r>
        <w:t xml:space="preserve"> </w:t>
      </w:r>
      <w:r>
        <w:t xml:space="preserve">matching the nominal coverage of standard errors.</w:t>
      </w:r>
      <w:r>
        <w:t xml:space="preserve"> </w:t>
      </w:r>
      <w:r>
        <w:t xml:space="preserve">The y-axis is on a log scale.</w:t>
      </w:r>
      <w:r>
        <w:t xml:space="preserve"> </w:t>
      </w:r>
    </w:p>
    <w:bookmarkStart w:id="97" w:name="refs"/>
    <w:bookmarkStart w:id="59" w:name="ref-amundsen1994piscivory"/>
    <w:p>
      <w:pPr>
        <w:pStyle w:val="Bibliography"/>
      </w:pPr>
      <w:r>
        <w:t xml:space="preserve">Amundsen, P-A. 1994. “Piscivory and Cannibalism in Arctic Charr.”</w:t>
      </w:r>
      <w:r>
        <w:t xml:space="preserve"> </w:t>
      </w:r>
      <w:r>
        <w:rPr>
          <w:i/>
        </w:rPr>
        <w:t xml:space="preserve">Journal of Fish Biology</w:t>
      </w:r>
      <w:r>
        <w:t xml:space="preserve"> </w:t>
      </w:r>
      <w:r>
        <w:t xml:space="preserve">45: 181–89.</w:t>
      </w:r>
    </w:p>
    <w:bookmarkEnd w:id="59"/>
    <w:bookmarkStart w:id="60" w:name="ref-bartrons2015spatial"/>
    <w:p>
      <w:pPr>
        <w:pStyle w:val="Bibliography"/>
      </w:pPr>
      <w:r>
        <w:t xml:space="preserve">Bartrons, Mireia, Arni Einarsson, Regina LG Nobre, Cristina M Herren, Kyle C Webert, Sandra Brucet, Sólveig R Ólafsdóttir, and Anthony R Ives. 2015. “Spatial Patterns Reveal Strong Abiotic and Biotic Drivers of Zooplankton Community Composition in Lake Mỳvatn, Iceland.”</w:t>
      </w:r>
      <w:r>
        <w:t xml:space="preserve"> </w:t>
      </w:r>
      <w:r>
        <w:rPr>
          <w:i/>
        </w:rPr>
        <w:t xml:space="preserve">Ecosphere</w:t>
      </w:r>
      <w:r>
        <w:t xml:space="preserve"> </w:t>
      </w:r>
      <w:r>
        <w:t xml:space="preserve">6 (6): 1–20.</w:t>
      </w:r>
    </w:p>
    <w:bookmarkEnd w:id="60"/>
    <w:bookmarkStart w:id="61" w:name="ref-beamish1999taking"/>
    <w:p>
      <w:pPr>
        <w:pStyle w:val="Bibliography"/>
      </w:pPr>
      <w:r>
        <w:t xml:space="preserve">Beamish, Richard J, and Conrad Mahnken. 1999. “Taking the Next Step in Fisheries Management.” In</w:t>
      </w:r>
      <w:r>
        <w:t xml:space="preserve"> </w:t>
      </w:r>
      <w:r>
        <w:rPr>
          <w:i/>
        </w:rPr>
        <w:t xml:space="preserve">Ecosystem Approaches for Fisheries Management.</w:t>
      </w:r>
      <w:r>
        <w:t xml:space="preserve">, 1–21. University of Alaska Sea Grant, AK-SG-99-01, Fairbanks.</w:t>
      </w:r>
    </w:p>
    <w:bookmarkEnd w:id="61"/>
    <w:bookmarkStart w:id="62" w:name="ref-bjornsson2004climate"/>
    <w:p>
      <w:pPr>
        <w:pStyle w:val="Bibliography"/>
      </w:pPr>
      <w:r>
        <w:t xml:space="preserve">Björnsson, Halldór, and Trausti Jónsson. 2004. “Climate and Climatic Variability at Lake Mývatn.”</w:t>
      </w:r>
      <w:r>
        <w:t xml:space="preserve"> </w:t>
      </w:r>
      <w:r>
        <w:rPr>
          <w:i/>
        </w:rPr>
        <w:t xml:space="preserve">Aquatic Ecology</w:t>
      </w:r>
      <w:r>
        <w:t xml:space="preserve"> </w:t>
      </w:r>
      <w:r>
        <w:t xml:space="preserve">38 (2): 129–44.</w:t>
      </w:r>
    </w:p>
    <w:bookmarkEnd w:id="62"/>
    <w:bookmarkStart w:id="63" w:name="ref-carpenter2017stan"/>
    <w:p>
      <w:pPr>
        <w:pStyle w:val="Bibliography"/>
      </w:pPr>
      <w:r>
        <w:t xml:space="preserve">Carpenter, Bob, Andrew Gelman, Matthew D Hoffman, Daniel Lee, Ben Goodrich, Michael Betancourt, Marcus Brubaker, Jiqiang Guo, Peter Li, and Allen Riddell. 2017. “Stan: A Probabilistic Programming Language.”</w:t>
      </w:r>
      <w:r>
        <w:t xml:space="preserve"> </w:t>
      </w:r>
      <w:r>
        <w:rPr>
          <w:i/>
        </w:rPr>
        <w:t xml:space="preserve">Journal of Statistical Software</w:t>
      </w:r>
      <w:r>
        <w:t xml:space="preserve"> </w:t>
      </w:r>
      <w:r>
        <w:t xml:space="preserve">76 (1).</w:t>
      </w:r>
    </w:p>
    <w:bookmarkEnd w:id="63"/>
    <w:bookmarkStart w:id="64" w:name="ref-caswell2001matrix"/>
    <w:p>
      <w:pPr>
        <w:pStyle w:val="Bibliography"/>
      </w:pPr>
      <w:r>
        <w:t xml:space="preserve">Caswell, Hal. 2001. “Matrix Population Models: Construction, Analysis, and Interpretation. 2nd Edn Sinauer Associates.”</w:t>
      </w:r>
      <w:r>
        <w:t xml:space="preserve"> </w:t>
      </w:r>
      <w:r>
        <w:rPr>
          <w:i/>
        </w:rPr>
        <w:t xml:space="preserve">Inc., Sunderland, MA</w:t>
      </w:r>
      <w:r>
        <w:t xml:space="preserve">.</w:t>
      </w:r>
    </w:p>
    <w:bookmarkEnd w:id="64"/>
    <w:bookmarkStart w:id="65" w:name="ref-dixon1999episodic"/>
    <w:p>
      <w:pPr>
        <w:pStyle w:val="Bibliography"/>
      </w:pPr>
      <w:r>
        <w:t xml:space="preserve">Dixon, Paul A, Maria J Milicich, and George Sugihara. 1999. “Episodic Fluctuations in Larval Supply.”</w:t>
      </w:r>
      <w:r>
        <w:t xml:space="preserve"> </w:t>
      </w:r>
      <w:r>
        <w:rPr>
          <w:i/>
        </w:rPr>
        <w:t xml:space="preserve">Science</w:t>
      </w:r>
      <w:r>
        <w:t xml:space="preserve"> </w:t>
      </w:r>
      <w:r>
        <w:t xml:space="preserve">283 (5407): 1528–30.</w:t>
      </w:r>
    </w:p>
    <w:bookmarkEnd w:id="65"/>
    <w:bookmarkStart w:id="66" w:name="ref-einarsson2004clad"/>
    <w:p>
      <w:pPr>
        <w:pStyle w:val="Bibliography"/>
      </w:pPr>
      <w:r>
        <w:t xml:space="preserve">Einarsson, Árni, and Erla Björk Örnólfsdóttir. 2004. “Long-Term Changes in Benthic Cladocera Populations in Lake Mývatn, Iceland.”</w:t>
      </w:r>
      <w:r>
        <w:t xml:space="preserve"> </w:t>
      </w:r>
      <w:r>
        <w:rPr>
          <w:i/>
        </w:rPr>
        <w:t xml:space="preserve">Aquatic Ecology</w:t>
      </w:r>
      <w:r>
        <w:t xml:space="preserve"> </w:t>
      </w:r>
      <w:r>
        <w:t xml:space="preserve">38 (2): 253–62.</w:t>
      </w:r>
    </w:p>
    <w:bookmarkEnd w:id="66"/>
    <w:bookmarkStart w:id="67" w:name="ref-einarsson2004myvatn"/>
    <w:p>
      <w:pPr>
        <w:pStyle w:val="Bibliography"/>
      </w:pPr>
      <w:r>
        <w:t xml:space="preserve">Einarsson, Árni, Ger</w:t>
      </w:r>
      <w:r>
        <w:t xml:space="preserve">ur Stefánsdóttir, Helgi Jóhannesson, Jón S Olafsson, Gı́sli Már Gı́slason, Isamu Wakana, Gu</w:t>
      </w:r>
      <w:r>
        <w:t xml:space="preserve">ni Gud</w:t>
      </w:r>
      <w:r>
        <w:t xml:space="preserve">ergsson, and Arnthor Gardarsson. 2004. “The Ecology of Lake Mývatn and the River Laxá: Variation in Space and Time.”</w:t>
      </w:r>
      <w:r>
        <w:t xml:space="preserve"> </w:t>
      </w:r>
      <w:r>
        <w:rPr>
          <w:i/>
        </w:rPr>
        <w:t xml:space="preserve">Aquatic Ecology</w:t>
      </w:r>
      <w:r>
        <w:t xml:space="preserve"> </w:t>
      </w:r>
      <w:r>
        <w:t xml:space="preserve">38 (2): 317–48.</w:t>
      </w:r>
    </w:p>
    <w:bookmarkEnd w:id="67"/>
    <w:bookmarkStart w:id="68" w:name="ref-elliott2010temperature"/>
    <w:p>
      <w:pPr>
        <w:pStyle w:val="Bibliography"/>
      </w:pPr>
      <w:r>
        <w:t xml:space="preserve">Elliott, JM, and JA Elliott. 2010. “Temperature Requirements of Atlantic Salmon Salmo Salar, Brown Trout Salmo Trutta and Arctic Charr Salvelinus Alpinus: Predicting the Effects of Climate Change.”</w:t>
      </w:r>
      <w:r>
        <w:t xml:space="preserve"> </w:t>
      </w:r>
      <w:r>
        <w:rPr>
          <w:i/>
        </w:rPr>
        <w:t xml:space="preserve">Journal of Fish Biology</w:t>
      </w:r>
      <w:r>
        <w:t xml:space="preserve"> </w:t>
      </w:r>
      <w:r>
        <w:t xml:space="preserve">77 (8): 1793–1817.</w:t>
      </w:r>
    </w:p>
    <w:bookmarkEnd w:id="68"/>
    <w:bookmarkStart w:id="69" w:name="ref-forcada2008life"/>
    <w:p>
      <w:pPr>
        <w:pStyle w:val="Bibliography"/>
      </w:pPr>
      <w:r>
        <w:t xml:space="preserve">Forcada, Jaume, Philip N Trathan, and Eugene J Murphy. 2008. “Life History Buffering in Antarctic Mammals and Birds Against Changing Patterns of Climate and Environmental Variation.”</w:t>
      </w:r>
      <w:r>
        <w:t xml:space="preserve"> </w:t>
      </w:r>
      <w:r>
        <w:rPr>
          <w:i/>
        </w:rPr>
        <w:t xml:space="preserve">Global Change Biology</w:t>
      </w:r>
      <w:r>
        <w:t xml:space="preserve"> </w:t>
      </w:r>
      <w:r>
        <w:t xml:space="preserve">14 (11): 2473–88.</w:t>
      </w:r>
    </w:p>
    <w:bookmarkEnd w:id="69"/>
    <w:bookmarkStart w:id="70" w:name="ref-gardarsson2004population"/>
    <w:p>
      <w:pPr>
        <w:pStyle w:val="Bibliography"/>
      </w:pPr>
      <w:r>
        <w:t xml:space="preserve">Gardarsson, Arnthor, Árni Einarsson, Gísli Már Gíslason, Thóora Hrafnsdóttir, Haraldur R Ingvason, Erlendur Jónsson, and Jón S Olafsson. 2004. “Population Fluctuations of Chironomid and Simuliid Diptera at Mývatn in 1977–1996.”</w:t>
      </w:r>
      <w:r>
        <w:t xml:space="preserve"> </w:t>
      </w:r>
      <w:r>
        <w:rPr>
          <w:i/>
        </w:rPr>
        <w:t xml:space="preserve">Aquatic Ecology</w:t>
      </w:r>
      <w:r>
        <w:t xml:space="preserve"> </w:t>
      </w:r>
      <w:r>
        <w:t xml:space="preserve">38 (2): 209–17.</w:t>
      </w:r>
    </w:p>
    <w:bookmarkEnd w:id="70"/>
    <w:bookmarkStart w:id="71" w:name="ref-gudbergsson2004"/>
    <w:p>
      <w:pPr>
        <w:pStyle w:val="Bibliography"/>
      </w:pPr>
      <w:r>
        <w:t xml:space="preserve">Gu</w:t>
      </w:r>
      <w:r>
        <w:t xml:space="preserve">bergsson, Gu</w:t>
      </w:r>
      <w:r>
        <w:t xml:space="preserve">ni. 2004. “Arctic Charr in Lake Mývatn: The Centennial Catch Record in the Light of Recent Stock Estimates.”</w:t>
      </w:r>
      <w:r>
        <w:t xml:space="preserve"> </w:t>
      </w:r>
      <w:r>
        <w:rPr>
          <w:i/>
        </w:rPr>
        <w:t xml:space="preserve">Aquatic Ecology</w:t>
      </w:r>
      <w:r>
        <w:t xml:space="preserve"> </w:t>
      </w:r>
      <w:r>
        <w:t xml:space="preserve">38 (2): 271–85.</w:t>
      </w:r>
    </w:p>
    <w:bookmarkEnd w:id="71"/>
    <w:bookmarkStart w:id="72" w:name="ref-houde2008emerging"/>
    <w:p>
      <w:pPr>
        <w:pStyle w:val="Bibliography"/>
      </w:pPr>
      <w:r>
        <w:t xml:space="preserve">Houde, Edward D. 2008. “Emerging from Hjort’s Shadow.”</w:t>
      </w:r>
      <w:r>
        <w:t xml:space="preserve"> </w:t>
      </w:r>
      <w:r>
        <w:rPr>
          <w:i/>
        </w:rPr>
        <w:t xml:space="preserve">Journal of Northwest Atlantic Fishery Science</w:t>
      </w:r>
      <w:r>
        <w:t xml:space="preserve"> </w:t>
      </w:r>
      <w:r>
        <w:t xml:space="preserve">41.</w:t>
      </w:r>
    </w:p>
    <w:bookmarkEnd w:id="72"/>
    <w:bookmarkStart w:id="73" w:name="ref-hsieh2010fishing"/>
    <w:p>
      <w:pPr>
        <w:pStyle w:val="Bibliography"/>
      </w:pPr>
      <w:r>
        <w:t xml:space="preserve">Hsieh, Chih-hao, Atsushi Yamauchi, Takefumi Nakazawa, and Wei-Fen Wang. 2010. “Fishing Effects on Age and Spatial Structures Undermine Population Stability of Fishes.”</w:t>
      </w:r>
      <w:r>
        <w:t xml:space="preserve"> </w:t>
      </w:r>
      <w:r>
        <w:rPr>
          <w:i/>
        </w:rPr>
        <w:t xml:space="preserve">Aquatic Sciences</w:t>
      </w:r>
      <w:r>
        <w:t xml:space="preserve"> </w:t>
      </w:r>
      <w:r>
        <w:t xml:space="preserve">72 (2): 165–78.</w:t>
      </w:r>
    </w:p>
    <w:bookmarkEnd w:id="73"/>
    <w:bookmarkStart w:id="74" w:name="ref-hunter2010climate"/>
    <w:p>
      <w:pPr>
        <w:pStyle w:val="Bibliography"/>
      </w:pPr>
      <w:r>
        <w:t xml:space="preserve">Hunter, Christine M, Hal Caswell, Michael C Runge, Eric V Regehr, Steve C Amstrup, and Ian Stirling. 2010. “Climate Change Threatens Polar Bear Populations: A Stochastic Demographic Analysis.”</w:t>
      </w:r>
      <w:r>
        <w:t xml:space="preserve"> </w:t>
      </w:r>
      <w:r>
        <w:rPr>
          <w:i/>
        </w:rPr>
        <w:t xml:space="preserve">Ecology</w:t>
      </w:r>
      <w:r>
        <w:t xml:space="preserve"> </w:t>
      </w:r>
      <w:r>
        <w:t xml:space="preserve">91 (10): 2883–97.</w:t>
      </w:r>
    </w:p>
    <w:bookmarkEnd w:id="74"/>
    <w:bookmarkStart w:id="75" w:name="ref-ives2012detecting"/>
    <w:p>
      <w:pPr>
        <w:pStyle w:val="Bibliography"/>
      </w:pPr>
      <w:r>
        <w:t xml:space="preserve">Ives, Anthony R, and Vasilis Dakos. 2012. “Detecting Dynamical Changes in Nonlinear Time Series Using Locally Linear State-Space Models.”</w:t>
      </w:r>
      <w:r>
        <w:t xml:space="preserve"> </w:t>
      </w:r>
      <w:r>
        <w:rPr>
          <w:i/>
        </w:rPr>
        <w:t xml:space="preserve">Ecosphere</w:t>
      </w:r>
      <w:r>
        <w:t xml:space="preserve"> </w:t>
      </w:r>
      <w:r>
        <w:t xml:space="preserve">3 (6): 1–15.</w:t>
      </w:r>
    </w:p>
    <w:bookmarkEnd w:id="75"/>
    <w:bookmarkStart w:id="76" w:name="ref-jeppesen2001fish"/>
    <w:p>
      <w:pPr>
        <w:pStyle w:val="Bibliography"/>
      </w:pPr>
      <w:r>
        <w:t xml:space="preserve">Jeppesen, Erik, Kirsten Christoffersen, Frank Landkildehus, Torben Lauridsen, Susanne L Amsinck, Frank Riget, and Martin Søndergaard. 2001. “Fish and Crustaceans in Northeast Greenland Lakes with Special Emphasis on Interactions Between Arctic Charr (Salvelinus Alpinus), Lepidurus Arcticus and Benthic Chydorids.”</w:t>
      </w:r>
      <w:r>
        <w:t xml:space="preserve"> </w:t>
      </w:r>
      <w:r>
        <w:rPr>
          <w:i/>
        </w:rPr>
        <w:t xml:space="preserve">Hydrobiologia</w:t>
      </w:r>
      <w:r>
        <w:t xml:space="preserve"> </w:t>
      </w:r>
      <w:r>
        <w:t xml:space="preserve">442 (1): 329–37.</w:t>
      </w:r>
    </w:p>
    <w:bookmarkEnd w:id="76"/>
    <w:bookmarkStart w:id="78" w:name="ref-holland2007demogR"/>
    <w:p>
      <w:pPr>
        <w:pStyle w:val="Bibliography"/>
      </w:pPr>
      <w:r>
        <w:t xml:space="preserve">Jones, James Holland. 2007. “demogR: A Package for the Construction and Analysis of Age-Structured Demographic Models in R.”</w:t>
      </w:r>
      <w:r>
        <w:t xml:space="preserve"> </w:t>
      </w:r>
      <w:r>
        <w:rPr>
          <w:i/>
        </w:rPr>
        <w:t xml:space="preserve">Journal of Statistical Software</w:t>
      </w:r>
      <w:r>
        <w:t xml:space="preserve"> </w:t>
      </w:r>
      <w:r>
        <w:t xml:space="preserve">22 (10): 1–28.</w:t>
      </w:r>
      <w:r>
        <w:t xml:space="preserve"> </w:t>
      </w:r>
      <w:hyperlink r:id="rId77">
        <w:r>
          <w:rPr>
            <w:rStyle w:val="Hyperlink"/>
          </w:rPr>
          <w:t xml:space="preserve">http://dx.doi.org/10.18637/jss.v022.i10</w:t>
        </w:r>
      </w:hyperlink>
      <w:r>
        <w:t xml:space="preserve">.</w:t>
      </w:r>
    </w:p>
    <w:bookmarkEnd w:id="78"/>
    <w:bookmarkStart w:id="79" w:name="ref-jonsson2015freshwater"/>
    <w:p>
      <w:pPr>
        <w:pStyle w:val="Bibliography"/>
      </w:pPr>
      <w:r>
        <w:t xml:space="preserve">Jonsson, Tomas, and Malin Setzer. 2015. “A Freshwater Predator Hit Twice by the Effects of Warming Across Trophic Levels.”</w:t>
      </w:r>
      <w:r>
        <w:t xml:space="preserve"> </w:t>
      </w:r>
      <w:r>
        <w:rPr>
          <w:i/>
        </w:rPr>
        <w:t xml:space="preserve">Nature Communications</w:t>
      </w:r>
      <w:r>
        <w:t xml:space="preserve"> </w:t>
      </w:r>
      <w:r>
        <w:t xml:space="preserve">6 (1): 1–9.</w:t>
      </w:r>
    </w:p>
    <w:bookmarkEnd w:id="79"/>
    <w:bookmarkStart w:id="80" w:name="ref-klemetsen2003atlantic"/>
    <w:p>
      <w:pPr>
        <w:pStyle w:val="Bibliography"/>
      </w:pPr>
      <w:r>
        <w:t xml:space="preserve">Klemetsen, A, P-A Amundsen, JB Dempson, B Jonsson, N Jonsson, MF O’connell, and E Mortensen. 2003. “Atlantic Salmon</w:t>
      </w:r>
      <w:r>
        <w:t xml:space="preserve"> </w:t>
      </w:r>
      <w:r>
        <w:rPr>
          <w:i/>
        </w:rPr>
        <w:t xml:space="preserve">Salmo Salar</w:t>
      </w:r>
      <w:r>
        <w:t xml:space="preserve"> </w:t>
      </w:r>
      <w:r>
        <w:t xml:space="preserve">L., Brown Trout</w:t>
      </w:r>
      <w:r>
        <w:t xml:space="preserve"> </w:t>
      </w:r>
      <w:r>
        <w:rPr>
          <w:i/>
        </w:rPr>
        <w:t xml:space="preserve">Salmo Trutta</w:t>
      </w:r>
      <w:r>
        <w:t xml:space="preserve"> </w:t>
      </w:r>
      <w:r>
        <w:t xml:space="preserve">L. And Arctic Charr</w:t>
      </w:r>
      <w:r>
        <w:t xml:space="preserve"> </w:t>
      </w:r>
      <w:r>
        <w:rPr>
          <w:i/>
        </w:rPr>
        <w:t xml:space="preserve">Salvelinus Alpinus</w:t>
      </w:r>
      <w:r>
        <w:t xml:space="preserve"> </w:t>
      </w:r>
      <w:r>
        <w:t xml:space="preserve">L.: A Review of Aspects of Their Life Histories.”</w:t>
      </w:r>
      <w:r>
        <w:t xml:space="preserve"> </w:t>
      </w:r>
      <w:r>
        <w:rPr>
          <w:i/>
        </w:rPr>
        <w:t xml:space="preserve">Ecology of Freshwater Fish</w:t>
      </w:r>
      <w:r>
        <w:t xml:space="preserve"> </w:t>
      </w:r>
      <w:r>
        <w:t xml:space="preserve">12 (1): 1–59.</w:t>
      </w:r>
    </w:p>
    <w:bookmarkEnd w:id="80"/>
    <w:bookmarkStart w:id="81" w:name="ref-koons2016life"/>
    <w:p>
      <w:pPr>
        <w:pStyle w:val="Bibliography"/>
      </w:pPr>
      <w:r>
        <w:t xml:space="preserve">Koons, David N, David T Iles, Michael Schaub, and Hal Caswell. 2016. “A Life-History Perspective on the Demographic Drivers of Structured Population Dynamics in Changing Environments.”</w:t>
      </w:r>
      <w:r>
        <w:t xml:space="preserve"> </w:t>
      </w:r>
      <w:r>
        <w:rPr>
          <w:i/>
        </w:rPr>
        <w:t xml:space="preserve">Ecology Letters</w:t>
      </w:r>
      <w:r>
        <w:t xml:space="preserve"> </w:t>
      </w:r>
      <w:r>
        <w:t xml:space="preserve">19 (9): 1023–31.</w:t>
      </w:r>
    </w:p>
    <w:bookmarkEnd w:id="81"/>
    <w:bookmarkStart w:id="82" w:name="ref-link2002does"/>
    <w:p>
      <w:pPr>
        <w:pStyle w:val="Bibliography"/>
      </w:pPr>
      <w:r>
        <w:t xml:space="preserve">Link, Jason S. 2002. “What Does Ecosystem-Based Fisheries Management Mean?”</w:t>
      </w:r>
      <w:r>
        <w:t xml:space="preserve"> </w:t>
      </w:r>
      <w:r>
        <w:rPr>
          <w:i/>
        </w:rPr>
        <w:t xml:space="preserve">Fisheries</w:t>
      </w:r>
      <w:r>
        <w:t xml:space="preserve"> </w:t>
      </w:r>
      <w:r>
        <w:t xml:space="preserve">27 (4): 18–21.</w:t>
      </w:r>
    </w:p>
    <w:bookmarkEnd w:id="82"/>
    <w:bookmarkStart w:id="83" w:name="ref-ludsin2014physical"/>
    <w:p>
      <w:pPr>
        <w:pStyle w:val="Bibliography"/>
      </w:pPr>
      <w:r>
        <w:t xml:space="preserve">Ludsin, Stuart A, Kristen M DeVanna, and Ralph EH Smith. 2014. “Physical–Biological Coupling and the Challenge of Understanding Fish Recruitment in Freshwater Lakes.”</w:t>
      </w:r>
      <w:r>
        <w:t xml:space="preserve"> </w:t>
      </w:r>
      <w:r>
        <w:rPr>
          <w:i/>
        </w:rPr>
        <w:t xml:space="preserve">Canadian Journal of Fisheries and Aquatic Sciences</w:t>
      </w:r>
      <w:r>
        <w:t xml:space="preserve"> </w:t>
      </w:r>
      <w:r>
        <w:t xml:space="preserve">71 (5): 775–94.</w:t>
      </w:r>
    </w:p>
    <w:bookmarkEnd w:id="83"/>
    <w:bookmarkStart w:id="84" w:name="ref-malmquist2009salmonid"/>
    <w:p>
      <w:pPr>
        <w:pStyle w:val="Bibliography"/>
      </w:pPr>
      <w:r>
        <w:t xml:space="preserve">Malmquist, HJ,</w:t>
      </w:r>
      <w:r>
        <w:t xml:space="preserve"> </w:t>
      </w:r>
      <w:r>
        <w:t xml:space="preserve"> </w:t>
      </w:r>
      <w:r>
        <w:t xml:space="preserve">Antonsson, HR Ingvason, F Ingimarsson, and F Arnason. 2009. “Salmonid Fish and Warming of Shallow Lake Elliavatn in Southwest Iceland.”</w:t>
      </w:r>
      <w:r>
        <w:t xml:space="preserve"> </w:t>
      </w:r>
      <w:r>
        <w:rPr>
          <w:i/>
        </w:rPr>
        <w:t xml:space="preserve">Internationale Vereinigung Für Theoretische Und Angewandte Limnologie: Verhandlungen</w:t>
      </w:r>
      <w:r>
        <w:t xml:space="preserve"> </w:t>
      </w:r>
      <w:r>
        <w:t xml:space="preserve">30 (7): 1127–32.</w:t>
      </w:r>
    </w:p>
    <w:bookmarkEnd w:id="84"/>
    <w:bookmarkStart w:id="85" w:name="ref-nielsen2014estimation"/>
    <w:p>
      <w:pPr>
        <w:pStyle w:val="Bibliography"/>
      </w:pPr>
      <w:r>
        <w:t xml:space="preserve">Nielsen, Anders, and Casper W Berg. 2014. “Estimation of Time-Varying Selectivity in Stock Assessments Using State-Space Models.”</w:t>
      </w:r>
      <w:r>
        <w:t xml:space="preserve"> </w:t>
      </w:r>
      <w:r>
        <w:rPr>
          <w:i/>
        </w:rPr>
        <w:t xml:space="preserve">Fisheries Research</w:t>
      </w:r>
      <w:r>
        <w:t xml:space="preserve"> </w:t>
      </w:r>
      <w:r>
        <w:t xml:space="preserve">158: 96–101.</w:t>
      </w:r>
    </w:p>
    <w:bookmarkEnd w:id="85"/>
    <w:bookmarkStart w:id="87" w:name="ref-pinheiro2020nlme"/>
    <w:p>
      <w:pPr>
        <w:pStyle w:val="Bibliography"/>
      </w:pPr>
      <w:r>
        <w:t xml:space="preserve">Pinheiro, Jose, Douglas Bates, Saikat DebRoy, Deepayan Sarkar, and R Core Team. 2020.</w:t>
      </w:r>
      <w:r>
        <w:t xml:space="preserve"> </w:t>
      </w:r>
      <w:r>
        <w:rPr>
          <w:i/>
        </w:rPr>
        <w:t xml:space="preserve">nlme: Linear and Nonlinear Mixed Effects Models</w:t>
      </w:r>
      <w:r>
        <w:t xml:space="preserve">.</w:t>
      </w:r>
      <w:r>
        <w:t xml:space="preserve"> </w:t>
      </w:r>
      <w:hyperlink r:id="rId86">
        <w:r>
          <w:rPr>
            <w:rStyle w:val="Hyperlink"/>
          </w:rPr>
          <w:t xml:space="preserve">https://CRAN.R-project.org/package=nlme</w:t>
        </w:r>
      </w:hyperlink>
      <w:r>
        <w:t xml:space="preserve">.</w:t>
      </w:r>
    </w:p>
    <w:bookmarkEnd w:id="87"/>
    <w:bookmarkStart w:id="89"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88">
        <w:r>
          <w:rPr>
            <w:rStyle w:val="Hyperlink"/>
          </w:rPr>
          <w:t xml:space="preserve">https://www.R-project.org/</w:t>
        </w:r>
      </w:hyperlink>
      <w:r>
        <w:t xml:space="preserve">.</w:t>
      </w:r>
    </w:p>
    <w:bookmarkEnd w:id="89"/>
    <w:bookmarkStart w:id="90" w:name="ref-snorrason1992population"/>
    <w:p>
      <w:pPr>
        <w:pStyle w:val="Bibliography"/>
      </w:pPr>
      <w:r>
        <w:t xml:space="preserve">Snorrason, Sigurdur S, Pétur M Jónasson, Bror Jonsson, Torfinn Lindem, Hilmar J Malmquist, Odd Terje Sandlund, and Skúli Skúlason. 1992. “Population Dynamics of the Planktivorous Arctic Charr Salvelinus Alpinus (" Murta") in Thingvallavatn.”</w:t>
      </w:r>
      <w:r>
        <w:t xml:space="preserve"> </w:t>
      </w:r>
      <w:r>
        <w:rPr>
          <w:i/>
        </w:rPr>
        <w:t xml:space="preserve">Oikos</w:t>
      </w:r>
      <w:r>
        <w:t xml:space="preserve">, 352–64.</w:t>
      </w:r>
    </w:p>
    <w:bookmarkEnd w:id="90"/>
    <w:bookmarkStart w:id="92" w:name="ref-stan2020rstan"/>
    <w:p>
      <w:pPr>
        <w:pStyle w:val="Bibliography"/>
      </w:pPr>
      <w:r>
        <w:t xml:space="preserve">Stan Development Team. 2020. “RStan: The R Interface to Stan.”</w:t>
      </w:r>
      <w:r>
        <w:t xml:space="preserve"> </w:t>
      </w:r>
      <w:hyperlink r:id="rId91">
        <w:r>
          <w:rPr>
            <w:rStyle w:val="Hyperlink"/>
          </w:rPr>
          <w:t xml:space="preserve">http://mc-stan.org/</w:t>
        </w:r>
      </w:hyperlink>
      <w:r>
        <w:t xml:space="preserve">.</w:t>
      </w:r>
    </w:p>
    <w:bookmarkEnd w:id="92"/>
    <w:bookmarkStart w:id="93" w:name="ref-twombly1994comparative"/>
    <w:p>
      <w:pPr>
        <w:pStyle w:val="Bibliography"/>
      </w:pPr>
      <w:r>
        <w:t xml:space="preserve">Twombly, Saran. 1994. “Comparative Demography and Population Dynamics of Two Coexisting Copepods in a Venezuelan Floodplain Lake.”</w:t>
      </w:r>
      <w:r>
        <w:t xml:space="preserve"> </w:t>
      </w:r>
      <w:r>
        <w:rPr>
          <w:i/>
        </w:rPr>
        <w:t xml:space="preserve">Limnology and Oceanography</w:t>
      </w:r>
      <w:r>
        <w:t xml:space="preserve"> </w:t>
      </w:r>
      <w:r>
        <w:t xml:space="preserve">39 (2): 234–47.</w:t>
      </w:r>
    </w:p>
    <w:bookmarkEnd w:id="93"/>
    <w:bookmarkStart w:id="94" w:name="ref-white2007irruptive"/>
    <w:p>
      <w:pPr>
        <w:pStyle w:val="Bibliography"/>
      </w:pPr>
      <w:r>
        <w:t xml:space="preserve">White, PJ, Jason E Bruggeman, and Robert A Garrott. 2007. “Irruptive Population Dynamics in Yellowstone Pronghorn.”</w:t>
      </w:r>
      <w:r>
        <w:t xml:space="preserve"> </w:t>
      </w:r>
      <w:r>
        <w:rPr>
          <w:i/>
        </w:rPr>
        <w:t xml:space="preserve">Ecological Applications</w:t>
      </w:r>
      <w:r>
        <w:t xml:space="preserve"> </w:t>
      </w:r>
      <w:r>
        <w:t xml:space="preserve">17 (6): 1598–1606.</w:t>
      </w:r>
    </w:p>
    <w:bookmarkEnd w:id="94"/>
    <w:bookmarkStart w:id="95" w:name="ref-winfield2008arctic"/>
    <w:p>
      <w:pPr>
        <w:pStyle w:val="Bibliography"/>
      </w:pPr>
      <w:r>
        <w:t xml:space="preserve">Winfield, Ian J, Janice M Fletcher, and J Ben James. 2008. “The Arctic Charr (Salvelinus Alpinus) Populations of Windermere, Uk: Population Trends Associated with Eutrophication, Climate Change and Increased Abundance of Roach (Rutilus Rutilus).”</w:t>
      </w:r>
      <w:r>
        <w:t xml:space="preserve"> </w:t>
      </w:r>
      <w:r>
        <w:rPr>
          <w:i/>
        </w:rPr>
        <w:t xml:space="preserve">Environmental Biology of Fishes</w:t>
      </w:r>
      <w:r>
        <w:t xml:space="preserve"> </w:t>
      </w:r>
      <w:r>
        <w:t xml:space="preserve">83 (1): 25–35.</w:t>
      </w:r>
    </w:p>
    <w:bookmarkEnd w:id="95"/>
    <w:bookmarkStart w:id="96" w:name="ref-zeng1998"/>
    <w:p>
      <w:pPr>
        <w:pStyle w:val="Bibliography"/>
      </w:pPr>
      <w:r>
        <w:t xml:space="preserve">Zeng, Zheng, Robert M Nowierski, Mark L Taper, Brian Dennis, and William P Kemp. 1998. “Complex Population Dynamics in the Real World: Modeling the Influence of Time-Varying Parameters and Time Lags.”</w:t>
      </w:r>
      <w:r>
        <w:t xml:space="preserve"> </w:t>
      </w:r>
      <w:r>
        <w:rPr>
          <w:i/>
        </w:rPr>
        <w:t xml:space="preserve">Ecology</w:t>
      </w:r>
      <w:r>
        <w:t xml:space="preserve"> </w:t>
      </w:r>
      <w:r>
        <w:t xml:space="preserve">79 (6): 2193–2209.</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df" /><Relationship Type="http://schemas.openxmlformats.org/officeDocument/2006/relationships/image" Id="rId53" Target="media/rId53.pdf" /><Relationship Type="http://schemas.openxmlformats.org/officeDocument/2006/relationships/image" Id="rId47" Target="media/rId47.pdf" /><Relationship Type="http://schemas.openxmlformats.org/officeDocument/2006/relationships/image" Id="rId35" Target="media/rId35.pdf" /><Relationship Type="http://schemas.openxmlformats.org/officeDocument/2006/relationships/image" Id="rId56" Target="media/rId56.pdf" /><Relationship Type="http://schemas.openxmlformats.org/officeDocument/2006/relationships/image" Id="rId38" Target="media/rId38.pdf" /><Relationship Type="http://schemas.openxmlformats.org/officeDocument/2006/relationships/image" Id="rId44" Target="media/rId44.pdf" /><Relationship Type="http://schemas.openxmlformats.org/officeDocument/2006/relationships/image" Id="rId50" Target="media/rId50.pdf" /><Relationship Type="http://schemas.openxmlformats.org/officeDocument/2006/relationships/image" Id="rId41" Target="media/rId41.pdf" /><Relationship Type="http://schemas.openxmlformats.org/officeDocument/2006/relationships/hyperlink" Id="rId77" Target="http://dx.doi.org/10.18637/jss.v022.i10" TargetMode="External" /><Relationship Type="http://schemas.openxmlformats.org/officeDocument/2006/relationships/hyperlink" Id="rId91" Target="http://mc-stan.org/" TargetMode="External" /><Relationship Type="http://schemas.openxmlformats.org/officeDocument/2006/relationships/hyperlink" Id="rId86" Target="https://CRAN.R-project.org/package=nlme" TargetMode="External" /><Relationship Type="http://schemas.openxmlformats.org/officeDocument/2006/relationships/hyperlink" Id="rId8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7" Target="http://dx.doi.org/10.18637/jss.v022.i10" TargetMode="External" /><Relationship Type="http://schemas.openxmlformats.org/officeDocument/2006/relationships/hyperlink" Id="rId91" Target="http://mc-stan.org/" TargetMode="External" /><Relationship Type="http://schemas.openxmlformats.org/officeDocument/2006/relationships/hyperlink" Id="rId86" Target="https://CRAN.R-project.org/package=nlme"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Opposing trends in survival and recruitment slow the recovery of an historically overexploited fishery</dc:title>
  <dc:creator>Joseph S. Phillips^{1,2, \dagger} Guni Gubergsson^{3} Anthony R. Ives^{2}</dc:creator>
  <cp:keywords/>
  <dcterms:created xsi:type="dcterms:W3CDTF">2021-03-24T15:28:52Z</dcterms:created>
  <dcterms:modified xsi:type="dcterms:W3CDTF">2021-03-24T15:28:52Z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
  </property>
</Properties>
</file>