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Renjith Kathalikkattil Ravindran,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44450</wp:posOffset>
            </wp:positionV>
            <wp:extent cx="1143000" cy="1206500"/>
            <wp:effectExtent b="0" l="0" r="0" t="0"/>
            <wp:wrapSquare wrapText="bothSides" distB="0" distT="0" distL="114300" distR="114300"/>
            <wp:docPr descr="A person in a suit and tie&#10;&#10;Description automatically generated" id="154357813" name="image1.jpg"/>
            <a:graphic>
              <a:graphicData uri="http://schemas.openxmlformats.org/drawingml/2006/picture">
                <pic:pic>
                  <pic:nvPicPr>
                    <pic:cNvPr descr="A person in a suit and tie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8458" l="0" r="0" t="845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0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Senior Software Engineer</w:t>
      </w:r>
    </w:p>
    <w:p w:rsidR="00000000" w:rsidDel="00000000" w:rsidP="00000000" w:rsidRDefault="00000000" w:rsidRPr="00000000" w14:paraId="00000003">
      <w:pPr>
        <w:jc w:val="center"/>
        <w:rPr>
          <w:rFonts w:ascii="Garamond" w:cs="Garamond" w:eastAsia="Garamond" w:hAnsi="Garamond"/>
          <w:b w:val="1"/>
        </w:rPr>
      </w:pPr>
      <w:hyperlink r:id="rId8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renjith.wky@gmail.com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aramond" w:cs="Garamond" w:eastAsia="Garamond" w:hAnsi="Garamond"/>
          <w:b w:val="1"/>
        </w:rPr>
      </w:pPr>
      <w:hyperlink r:id="rId9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rravindran@castlighthealth.com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aramond" w:cs="Garamond" w:eastAsia="Garamond" w:hAnsi="Garamond"/>
          <w:b w:val="1"/>
        </w:rPr>
      </w:pPr>
      <w:hyperlink r:id="rId10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renjithkr@ieee.org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rtl w:val="0"/>
        </w:rPr>
        <w:t xml:space="preserve">IEEE#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highlight w:val="white"/>
          <w:rtl w:val="0"/>
        </w:rPr>
        <w:t xml:space="preserve">100797135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72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SPECIALTIES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Experienced front-end technology leader with over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17 years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of expertise in building, scaling, and optimizing user interfaces for complex systems at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Google, Target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, and early-stage startups. Known for delivering production-grade code with pixel-perfect precision, performance optimization, and accessibility compliance. Holds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Google JavaScript Code Review Certification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and has contributed to mission-critical internal tools and consumer products like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Google Stadia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Google My Business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GreenTea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Specializes in: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Front-End Architecture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for enterprise-scale systems using Angular, React, and Wiz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JavaScript Engineering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, with expertise in ES5/ES6, TypeScript, and Google JS Style Guide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Google Internal Frameworks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Boq, Boq-Web, Wiz Framework, and Soy templates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Design Systems &amp; UI/UX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Building reusable component libraries with Material Design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Web Accessibility &amp; Usability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Enforcing WCAG compliance and performance best practices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Cross-Browser and Mobile-First Development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Optimizing for Chrome, Safari, and legacy platforms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Agile Execution &amp; Mentorship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Leading frontend teams, code reviews, and UI standardization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API Integration &amp; Automation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RESTful APIs, testing automation, and cloud deployment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Performance Optimization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Page load time tuning, debugging, and code linting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CMS Platforms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TeamSite, Drupal, WordPress customization and integration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12" w:val="single"/>
        </w:pBdr>
        <w:spacing w:line="32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Education</w:t>
      </w:r>
    </w:p>
    <w:tbl>
      <w:tblPr>
        <w:tblStyle w:val="Table1"/>
        <w:tblW w:w="9834.0" w:type="dxa"/>
        <w:jc w:val="left"/>
        <w:tblLayout w:type="fixed"/>
        <w:tblLook w:val="0000"/>
      </w:tblPr>
      <w:tblGrid>
        <w:gridCol w:w="828"/>
        <w:gridCol w:w="9006"/>
        <w:tblGridChange w:id="0">
          <w:tblGrid>
            <w:gridCol w:w="828"/>
            <w:gridCol w:w="90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left" w:leader="none" w:pos="-1440"/>
                <w:tab w:val="left" w:leader="none" w:pos="-720"/>
                <w:tab w:val="left" w:leader="none" w:pos="90"/>
                <w:tab w:val="left" w:leader="none" w:pos="360"/>
                <w:tab w:val="left" w:leader="none" w:pos="9360"/>
              </w:tabs>
              <w:spacing w:line="360" w:lineRule="auto"/>
              <w:ind w:left="2340" w:hanging="2340"/>
              <w:jc w:val="both"/>
              <w:rPr>
                <w:rFonts w:ascii="Garamond" w:cs="Garamond" w:eastAsia="Garamond" w:hAnsi="Garamond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B.Tech in Computer Science &amp; Engineering  05/2003 - 06/2007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tabs>
                <w:tab w:val="left" w:leader="none" w:pos="-1440"/>
                <w:tab w:val="left" w:leader="none" w:pos="-720"/>
                <w:tab w:val="left" w:leader="none" w:pos="90"/>
                <w:tab w:val="left" w:leader="none" w:pos="360"/>
                <w:tab w:val="left" w:leader="none" w:pos="9360"/>
              </w:tabs>
              <w:spacing w:line="360" w:lineRule="auto"/>
              <w:ind w:left="2340" w:hanging="2340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University of Calicut, Kerala, India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bottom w:color="000000" w:space="1" w:sz="12" w:val="single"/>
        </w:pBdr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12" w:val="single"/>
        </w:pBdr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12" w:val="single"/>
        </w:pBdr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12" w:val="single"/>
        </w:pBdr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12" w:val="single"/>
        </w:pBdr>
        <w:spacing w:line="240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jc w:val="both"/>
        <w:rPr>
          <w:rFonts w:ascii="Garamond" w:cs="Garamond" w:eastAsia="Garamond" w:hAnsi="Garamond"/>
          <w:sz w:val="22"/>
          <w:szCs w:val="22"/>
        </w:rPr>
      </w:pPr>
      <w:bookmarkStart w:colFirst="0" w:colLast="0" w:name="_heading=h.k05zomanth6d" w:id="0"/>
      <w:bookmarkEnd w:id="0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Castlight Health Inc. - Senior Software Engineer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San Francisco, CA | May 2020 – present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Part of core product development team and leading the personalized recommendations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jc w:val="both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1ou3z57p8gr3" w:id="1"/>
      <w:bookmarkEnd w:id="1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Google (via HCL America) —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System Architect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Mountain View, CA | July 2014 – April 2020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Architected and led development of several internal Google platforms, including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Stadia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Carbon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ReachUX Pulse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Created reusable design systems using Angular, React, and Wiz framework.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Authored core modules and conducted code reviews under Google’s readability and JS standards.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Significant contributions to ChromeCast (Dart), Maps API, and Material Design adoption.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Tools: Wiz, Boq-Web, Soy Templates, Dart, Node.js, Python.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jc w:val="both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64z7it8ukyhb" w:id="2"/>
      <w:bookmarkEnd w:id="2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Target (via Sapient Consulting Pvt Ltd) —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Senior Interactive Developer L1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Bangalore, India | Nov 2010 – Jun 2014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Led the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target.com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frontend checkout and gift registry modules.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Promoted rapid UI iteration with jQuery and modern UX practices.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Delivered W3C-compliant codebase ensuring high usability and accessibility.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jc w:val="both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we1c3sbexoav" w:id="3"/>
      <w:bookmarkEnd w:id="3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Ahsan Consulting Pvt Ltd —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UI Developer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Chennai, India | Jun 2009 – Sep 2010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24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social networking clones like YouTube and Facebook using PHP and JavaScript.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jc w:val="both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p2qpnsejpvsv" w:id="4"/>
      <w:bookmarkEnd w:id="4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VirtualMaze Pvt Ltd —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Web Developer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Chennai, India | Jun 2008 – May 2009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24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Delivered full-stack web solutions including backend and DB schema design.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jc w:val="both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dxzhgd3dwrb0" w:id="5"/>
      <w:bookmarkEnd w:id="5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ProconIT Solutions —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Web Developer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Chennai, India | Jun 2007 – May 2008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24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Independently delivered complete client-facing websites with full deployment cycles.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12" w:val="single"/>
        </w:pBdr>
        <w:spacing w:line="32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12" w:val="single"/>
        </w:pBdr>
        <w:spacing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Key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tabs>
          <w:tab w:val="left" w:leader="none" w:pos="915"/>
        </w:tabs>
        <w:spacing w:line="320" w:lineRule="auto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mi86kqfye53y" w:id="6"/>
      <w:bookmarkEnd w:id="6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Google Stadia – Chromecast UI Development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(2019–2020)</w:t>
      </w:r>
    </w:p>
    <w:p w:rsidR="00000000" w:rsidDel="00000000" w:rsidP="00000000" w:rsidRDefault="00000000" w:rsidRPr="00000000" w14:paraId="0000003C">
      <w:pPr>
        <w:tabs>
          <w:tab w:val="left" w:leader="none" w:pos="915"/>
        </w:tabs>
        <w:spacing w:after="240" w:before="240"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Dart-based UI components for Stadia on Chromecast using the Wiz framework. Delivered seamless 4K game streaming interface with cross-device compatibility and reduced input latency.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tabs>
          <w:tab w:val="left" w:leader="none" w:pos="915"/>
        </w:tabs>
        <w:spacing w:line="320" w:lineRule="auto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53f05trap5sg" w:id="7"/>
      <w:bookmarkEnd w:id="7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Google My Business – Feature Development &amp; Automation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(2018–2019)</w:t>
      </w:r>
    </w:p>
    <w:p w:rsidR="00000000" w:rsidDel="00000000" w:rsidP="00000000" w:rsidRDefault="00000000" w:rsidRPr="00000000" w14:paraId="0000003E">
      <w:pPr>
        <w:tabs>
          <w:tab w:val="left" w:leader="none" w:pos="915"/>
        </w:tabs>
        <w:spacing w:after="240" w:before="240"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Built the “Follow” feature integrated with Google Maps API. Automated UI testing using Mobily framework (Python). Improved user engagement metrics and testing coverage.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tabs>
          <w:tab w:val="left" w:leader="none" w:pos="915"/>
        </w:tabs>
        <w:spacing w:line="320" w:lineRule="auto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2wz2cmrzerh" w:id="8"/>
      <w:bookmarkEnd w:id="8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Carbon – Google Design System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(2019–2021)</w:t>
      </w:r>
    </w:p>
    <w:p w:rsidR="00000000" w:rsidDel="00000000" w:rsidP="00000000" w:rsidRDefault="00000000" w:rsidRPr="00000000" w14:paraId="00000040">
      <w:pPr>
        <w:tabs>
          <w:tab w:val="left" w:leader="none" w:pos="915"/>
        </w:tabs>
        <w:spacing w:after="240" w:before="240"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Core contributor to Carbon, Google’s internal design system used across product teams. Developed Angular 8+ reusable UI components and documented usage patterns to standardize UX across applications.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tabs>
          <w:tab w:val="left" w:leader="none" w:pos="915"/>
        </w:tabs>
        <w:spacing w:line="320" w:lineRule="auto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e9gsdi6q9ecv" w:id="9"/>
      <w:bookmarkEnd w:id="9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GreenTea (El Manage &amp; Core Fitness)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(2016–2018)</w:t>
      </w:r>
    </w:p>
    <w:p w:rsidR="00000000" w:rsidDel="00000000" w:rsidP="00000000" w:rsidRDefault="00000000" w:rsidRPr="00000000" w14:paraId="00000042">
      <w:pPr>
        <w:tabs>
          <w:tab w:val="left" w:leader="none" w:pos="915"/>
        </w:tabs>
        <w:spacing w:after="240" w:before="240"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Designed campaign management dashboards and reporting interfaces to track KPIs across Ads accounts. Enabled over 7,500 active KPIs per quarter, widely adopted by LCS and Adwords teams.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tabs>
          <w:tab w:val="left" w:leader="none" w:pos="915"/>
        </w:tabs>
        <w:spacing w:line="320" w:lineRule="auto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2fke1vfixxsj" w:id="10"/>
      <w:bookmarkEnd w:id="10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Slate V2 – Report Automation Platform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(2015–2017)</w:t>
      </w:r>
    </w:p>
    <w:p w:rsidR="00000000" w:rsidDel="00000000" w:rsidP="00000000" w:rsidRDefault="00000000" w:rsidRPr="00000000" w14:paraId="00000044">
      <w:pPr>
        <w:tabs>
          <w:tab w:val="left" w:leader="none" w:pos="915"/>
        </w:tabs>
        <w:spacing w:after="240" w:before="240"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Led frontend development of a generic platform to host internal reporting tools. Automated legacy manual processes and saved ~20 FTE hours quarterly.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tabs>
          <w:tab w:val="left" w:leader="none" w:pos="915"/>
        </w:tabs>
        <w:spacing w:line="320" w:lineRule="auto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26zy1h45qmaq" w:id="11"/>
      <w:bookmarkEnd w:id="11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QPlus – Workflow Quality Management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(2016)</w:t>
      </w:r>
    </w:p>
    <w:p w:rsidR="00000000" w:rsidDel="00000000" w:rsidP="00000000" w:rsidRDefault="00000000" w:rsidRPr="00000000" w14:paraId="00000046">
      <w:pPr>
        <w:tabs>
          <w:tab w:val="left" w:leader="none" w:pos="915"/>
        </w:tabs>
        <w:spacing w:after="240" w:before="240"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web and Chrome extension tools for reviewing global ad workflows. Helped enforce quality metrics and streamlined performance evaluation across gTech Ads.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tabs>
          <w:tab w:val="left" w:leader="none" w:pos="915"/>
        </w:tabs>
        <w:spacing w:line="320" w:lineRule="auto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5hthsh386n1u" w:id="12"/>
      <w:bookmarkEnd w:id="12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Target.com – Checkout &amp; GAM Modules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(2010–2014)</w:t>
      </w:r>
    </w:p>
    <w:p w:rsidR="00000000" w:rsidDel="00000000" w:rsidP="00000000" w:rsidRDefault="00000000" w:rsidRPr="00000000" w14:paraId="00000048">
      <w:pPr>
        <w:tabs>
          <w:tab w:val="left" w:leader="none" w:pos="915"/>
        </w:tabs>
        <w:spacing w:after="240" w:before="240"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Led frontend development for core e-commerce flows. Enhanced UI performance, ensured cross-browser compatibility, and improved accessibility compliance.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tabs>
          <w:tab w:val="left" w:leader="none" w:pos="915"/>
        </w:tabs>
        <w:spacing w:line="320" w:lineRule="auto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s6rwrj8psni2" w:id="13"/>
      <w:bookmarkEnd w:id="13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Agriya Products – Social Media and Multimedia Platforms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(2009–2010)</w:t>
      </w:r>
    </w:p>
    <w:p w:rsidR="00000000" w:rsidDel="00000000" w:rsidP="00000000" w:rsidRDefault="00000000" w:rsidRPr="00000000" w14:paraId="0000004A">
      <w:pPr>
        <w:tabs>
          <w:tab w:val="left" w:leader="none" w:pos="915"/>
        </w:tabs>
        <w:spacing w:after="240" w:before="240"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Built and customized Facebook, YouTube, and Groupon clones. Delivered responsive UI with backend integration for consumer-scale products.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tabs>
          <w:tab w:val="left" w:leader="none" w:pos="915"/>
        </w:tabs>
        <w:spacing w:line="320" w:lineRule="auto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xodqoz84rhd0" w:id="14"/>
      <w:bookmarkEnd w:id="14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Appointment Scheduling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(2025)</w:t>
      </w:r>
    </w:p>
    <w:p w:rsidR="00000000" w:rsidDel="00000000" w:rsidP="00000000" w:rsidRDefault="00000000" w:rsidRPr="00000000" w14:paraId="0000004C">
      <w:pPr>
        <w:tabs>
          <w:tab w:val="left" w:leader="none" w:pos="915"/>
        </w:tabs>
        <w:spacing w:after="240" w:before="240"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Implemented a server-driven solution for booking health appointments through real-time EMR integration. Enhanced scheduling UX, added Google Maps filtering, and reduced call center volume.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tabs>
          <w:tab w:val="left" w:leader="none" w:pos="915"/>
        </w:tabs>
        <w:spacing w:line="320" w:lineRule="auto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s3lna67xh903" w:id="15"/>
      <w:bookmarkEnd w:id="15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Patient Chart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(2021–2022)</w:t>
      </w:r>
    </w:p>
    <w:p w:rsidR="00000000" w:rsidDel="00000000" w:rsidP="00000000" w:rsidRDefault="00000000" w:rsidRPr="00000000" w14:paraId="0000004E">
      <w:pPr>
        <w:tabs>
          <w:tab w:val="left" w:leader="none" w:pos="915"/>
        </w:tabs>
        <w:spacing w:after="240" w:before="240"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Built a full-stack patient chart module with real-time data from AthenaOne EHR. Engineered secure, responsive views for vitals, labs, and encounters using Java, Spring Boot, and OAuth 2.0.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tabs>
          <w:tab w:val="left" w:leader="none" w:pos="915"/>
        </w:tabs>
        <w:spacing w:line="320" w:lineRule="auto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kw5lvl18tx31" w:id="16"/>
      <w:bookmarkEnd w:id="16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Modular Migration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(2020–2021)</w:t>
      </w:r>
    </w:p>
    <w:p w:rsidR="00000000" w:rsidDel="00000000" w:rsidP="00000000" w:rsidRDefault="00000000" w:rsidRPr="00000000" w14:paraId="00000050">
      <w:pPr>
        <w:tabs>
          <w:tab w:val="left" w:leader="none" w:pos="915"/>
        </w:tabs>
        <w:spacing w:after="240" w:before="240"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Refactored a monolithic Angular app into micro frontends with independent CI/CD pipelines, enabling faster, autonomous deployments.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tabs>
          <w:tab w:val="left" w:leader="none" w:pos="915"/>
        </w:tabs>
        <w:spacing w:line="320" w:lineRule="auto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jnzu5zb4ld5b" w:id="17"/>
      <w:bookmarkEnd w:id="17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Reward Center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(2019–2021)</w:t>
      </w:r>
    </w:p>
    <w:p w:rsidR="00000000" w:rsidDel="00000000" w:rsidP="00000000" w:rsidRDefault="00000000" w:rsidRPr="00000000" w14:paraId="00000052">
      <w:pPr>
        <w:tabs>
          <w:tab w:val="left" w:leader="none" w:pos="915"/>
        </w:tabs>
        <w:spacing w:after="240" w:before="240"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a rewards interface for Castlight Health, integrating Tango Card APIs and wearable data. Contributed to $100M+ redemptions and doubled user engagement.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tabs>
          <w:tab w:val="left" w:leader="none" w:pos="915"/>
        </w:tabs>
        <w:spacing w:line="320" w:lineRule="auto"/>
        <w:rPr>
          <w:rFonts w:ascii="Garamond" w:cs="Garamond" w:eastAsia="Garamond" w:hAnsi="Garamond"/>
          <w:i w:val="1"/>
          <w:sz w:val="22"/>
          <w:szCs w:val="22"/>
        </w:rPr>
      </w:pPr>
      <w:bookmarkStart w:colFirst="0" w:colLast="0" w:name="_heading=h.q9w7pgry3vb4" w:id="18"/>
      <w:bookmarkEnd w:id="18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Challenges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(2020–2022)</w:t>
      </w:r>
    </w:p>
    <w:p w:rsidR="00000000" w:rsidDel="00000000" w:rsidP="00000000" w:rsidRDefault="00000000" w:rsidRPr="00000000" w14:paraId="00000054">
      <w:pPr>
        <w:tabs>
          <w:tab w:val="left" w:leader="none" w:pos="915"/>
        </w:tabs>
        <w:spacing w:after="240" w:before="240"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Built gamified activity tracking with team competitions, achieving: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tabs>
          <w:tab w:val="left" w:leader="none" w:pos="915"/>
        </w:tabs>
        <w:spacing w:after="0" w:afterAutospacing="0" w:before="240" w:line="32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2x app usage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tabs>
          <w:tab w:val="left" w:leader="none" w:pos="915"/>
        </w:tabs>
        <w:spacing w:after="0" w:afterAutospacing="0" w:before="0" w:beforeAutospacing="0" w:line="32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7% increase in benefits program registrations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tabs>
          <w:tab w:val="left" w:leader="none" w:pos="915"/>
        </w:tabs>
        <w:spacing w:after="0" w:afterAutospacing="0" w:before="0" w:beforeAutospacing="0" w:line="32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75% participant retention weekly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tabs>
          <w:tab w:val="left" w:leader="none" w:pos="915"/>
        </w:tabs>
        <w:spacing w:after="240" w:before="0" w:beforeAutospacing="0" w:line="32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1,480 avg. additional steps per user/day</w:t>
      </w:r>
    </w:p>
    <w:p w:rsidR="00000000" w:rsidDel="00000000" w:rsidP="00000000" w:rsidRDefault="00000000" w:rsidRPr="00000000" w14:paraId="00000059">
      <w:pPr>
        <w:tabs>
          <w:tab w:val="left" w:leader="none" w:pos="915"/>
        </w:tabs>
        <w:spacing w:after="240" w:before="240" w:line="320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15"/>
        </w:tabs>
        <w:spacing w:after="240" w:before="240"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All codebases followed rigorous code review processes and enterprise-grade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bottom w:color="000000" w:space="1" w:sz="12" w:val="single"/>
        </w:pBdr>
        <w:spacing w:line="32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bottom w:color="000000" w:space="1" w:sz="12" w:val="single"/>
        </w:pBdr>
        <w:spacing w:line="32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bottom w:color="000000" w:space="1" w:sz="12" w:val="single"/>
        </w:pBdr>
        <w:spacing w:line="32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bottom w:color="000000" w:space="1" w:sz="12" w:val="single"/>
        </w:pBdr>
        <w:spacing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Author Profiles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915"/>
        </w:tabs>
        <w:spacing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IEEE Author -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https://ieeexplore.ieee.org/author/742613591848955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15"/>
        </w:tabs>
        <w:spacing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ORCID - </w:t>
      </w:r>
      <w:hyperlink r:id="rId12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https://orcid.org/0009-0005-5256-9965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5">
      <w:pPr>
        <w:tabs>
          <w:tab w:val="left" w:leader="none" w:pos="915"/>
        </w:tabs>
        <w:spacing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ResearchGate - </w:t>
      </w:r>
      <w:hyperlink r:id="rId13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https://www.researchgate.net/profile/Renjith-Ravindran-2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6">
      <w:pPr>
        <w:tabs>
          <w:tab w:val="left" w:leader="none" w:pos="915"/>
        </w:tabs>
        <w:spacing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GoogleScholar: </w:t>
      </w:r>
      <w:hyperlink r:id="rId14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https://scholar.google.com/citations?hl=en&amp;user=_FTuFE0AAAAJ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spacing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bottom w:color="000000" w:space="1" w:sz="12" w:val="single"/>
        </w:pBdr>
        <w:spacing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Awards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tabs>
          <w:tab w:val="left" w:leader="none" w:pos="915"/>
        </w:tabs>
        <w:spacing w:after="0" w:afterAutospacing="0" w:before="240" w:line="32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Most Valuable Player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, HCL – March 2017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tabs>
          <w:tab w:val="left" w:leader="none" w:pos="915"/>
        </w:tabs>
        <w:spacing w:after="0" w:afterAutospacing="0" w:before="0" w:beforeAutospacing="0" w:line="32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Innovation Award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, HCL – Jan 2016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tabs>
          <w:tab w:val="left" w:leader="none" w:pos="915"/>
        </w:tabs>
        <w:spacing w:after="0" w:afterAutospacing="0" w:before="0" w:beforeAutospacing="0" w:line="32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Best Team Player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, Google – July 2015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tabs>
          <w:tab w:val="left" w:leader="none" w:pos="915"/>
        </w:tabs>
        <w:spacing w:after="0" w:afterAutospacing="0" w:before="0" w:beforeAutospacing="0" w:line="32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Core Value Awards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, Sapient – Leadership (May 2013), Creativity (Jul 2011)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tabs>
          <w:tab w:val="left" w:leader="none" w:pos="915"/>
        </w:tabs>
        <w:spacing w:after="240" w:before="0" w:beforeAutospacing="0" w:line="32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Great Work Awards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, Sapient – Delivery (Aug 2012), Rookie Nominee (Jun 2012)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20" w:lineRule="auto"/>
        <w:ind w:left="0" w:right="0" w:firstLine="0"/>
        <w:jc w:val="left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Publications (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5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</w:rPr>
      </w:pPr>
      <w:hyperlink r:id="rId15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2"/>
            <w:szCs w:val="22"/>
            <w:u w:val="single"/>
            <w:rtl w:val="0"/>
          </w:rPr>
          <w:t xml:space="preserve">A grounded theory approach to blockchain smart contracts in cybersecurity and its adoption</w:t>
        </w:r>
      </w:hyperlink>
      <w:r w:rsidDel="00000000" w:rsidR="00000000" w:rsidRPr="00000000">
        <w:rPr>
          <w:rFonts w:ascii="Garamond" w:cs="Garamond" w:eastAsia="Garamond" w:hAnsi="Garamond"/>
          <w:b w:val="1"/>
          <w:color w:val="1155cc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Springer Fachmedien Wiesbaden 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2"/>
            <w:szCs w:val="22"/>
            <w:u w:val="single"/>
            <w:rtl w:val="0"/>
          </w:rPr>
          <w:t xml:space="preserve">Understanding the Role of Explainable AI in Threat Detection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, IEEE, 2024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2"/>
            <w:szCs w:val="22"/>
            <w:u w:val="single"/>
            <w:rtl w:val="0"/>
          </w:rPr>
          <w:t xml:space="preserve">Federated Learning in Multi-Institutional EHR Systems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, IEEE, 2024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18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2"/>
            <w:szCs w:val="22"/>
            <w:u w:val="single"/>
            <w:rtl w:val="0"/>
          </w:rPr>
          <w:t xml:space="preserve">Developer’s Guide to Mastering Accessibility in Web Development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, DZone, 2024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hyperlink r:id="rId19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2"/>
            <w:szCs w:val="22"/>
            <w:u w:val="single"/>
            <w:rtl w:val="0"/>
          </w:rPr>
          <w:t xml:space="preserve">Semantic Web Design for Secure Front-End Architectures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, IJSR, 2024</w:t>
      </w:r>
    </w:p>
    <w:p w:rsidR="00000000" w:rsidDel="00000000" w:rsidP="00000000" w:rsidRDefault="00000000" w:rsidRPr="00000000" w14:paraId="00000075">
      <w:pPr>
        <w:pBdr>
          <w:bottom w:color="000000" w:space="1" w:sz="12" w:val="single"/>
        </w:pBdr>
        <w:spacing w:line="24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 w:orient="portrait"/>
      <w:pgMar w:bottom="720" w:top="2160" w:left="1627" w:right="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  <w:font w:name="CG Time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630"/>
      </w:tabs>
      <w:spacing w:after="0" w:before="0" w:line="240" w:lineRule="auto"/>
      <w:ind w:left="0" w:right="0" w:firstLine="0"/>
      <w:jc w:val="center"/>
      <w:rPr>
        <w:rFonts w:ascii="CG Times" w:cs="CG Times" w:eastAsia="CG Times" w:hAnsi="CG Times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G Times" w:cs="CG Times" w:eastAsia="CG Times" w:hAnsi="CG Times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G Times" w:cs="CG Times" w:eastAsia="CG Times" w:hAnsi="CG Times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1350"/>
      </w:tabs>
      <w:spacing w:after="0" w:before="0" w:line="240" w:lineRule="auto"/>
      <w:ind w:left="0" w:right="0" w:firstLine="0"/>
      <w:jc w:val="center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ind w:left="2880" w:firstLine="720"/>
      <w:rPr>
        <w:rFonts w:ascii="Garamond" w:cs="Garamond" w:eastAsia="Garamond" w:hAnsi="Garamond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G Times" w:cs="CG Times" w:eastAsia="CG Times" w:hAnsi="CG Times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line="320" w:lineRule="auto"/>
    </w:pPr>
    <w:rPr>
      <w:rFonts w:ascii="Garamond" w:cs="Garamond" w:eastAsia="Garamond" w:hAnsi="Garamond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12" w:val="single"/>
        <w:bottom w:color="000000" w:space="1" w:sz="12" w:val="single"/>
      </w:pBdr>
      <w:spacing w:line="320" w:lineRule="auto"/>
    </w:pPr>
    <w:rPr>
      <w:rFonts w:ascii="Franklin Gothic" w:cs="Franklin Gothic" w:eastAsia="Franklin Gothic" w:hAnsi="Franklin Gothic"/>
      <w:b w:val="1"/>
    </w:rPr>
  </w:style>
  <w:style w:type="paragraph" w:styleId="Heading3">
    <w:name w:val="heading 3"/>
    <w:basedOn w:val="Normal"/>
    <w:next w:val="Normal"/>
    <w:pPr>
      <w:keepNext w:val="1"/>
      <w:pBdr>
        <w:top w:color="000000" w:space="1" w:sz="12" w:val="single"/>
      </w:pBdr>
      <w:spacing w:line="320" w:lineRule="auto"/>
    </w:pPr>
    <w:rPr>
      <w:rFonts w:ascii="Garamond" w:cs="Garamond" w:eastAsia="Garamond" w:hAnsi="Garamond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F4712"/>
    <w:rPr>
      <w:rFonts w:ascii="CG Times" w:hAnsi="CG Times"/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spacing w:line="320" w:lineRule="exact"/>
      <w:outlineLvl w:val="0"/>
    </w:pPr>
    <w:rPr>
      <w:rFonts w:ascii="Garamond" w:hAnsi="Garamond"/>
      <w:b w:val="1"/>
      <w:bCs w:val="1"/>
      <w:sz w:val="22"/>
      <w:szCs w:val="22"/>
    </w:rPr>
  </w:style>
  <w:style w:type="paragraph" w:styleId="Heading2">
    <w:name w:val="heading 2"/>
    <w:basedOn w:val="Normal"/>
    <w:next w:val="Normal"/>
    <w:qFormat w:val="1"/>
    <w:pPr>
      <w:keepNext w:val="1"/>
      <w:pBdr>
        <w:top w:color="auto" w:space="1" w:sz="12" w:val="single"/>
        <w:bottom w:color="auto" w:space="1" w:sz="12" w:val="single"/>
      </w:pBdr>
      <w:spacing w:line="320" w:lineRule="exact"/>
      <w:outlineLvl w:val="1"/>
    </w:pPr>
    <w:rPr>
      <w:rFonts w:ascii="Franklin Gothic Demi" w:hAnsi="Franklin Gothic Demi"/>
      <w:b w:val="1"/>
      <w:bCs w:val="1"/>
      <w:spacing w:val="-2"/>
    </w:rPr>
  </w:style>
  <w:style w:type="paragraph" w:styleId="Heading3">
    <w:name w:val="heading 3"/>
    <w:basedOn w:val="Normal"/>
    <w:next w:val="Normal"/>
    <w:qFormat w:val="1"/>
    <w:pPr>
      <w:keepNext w:val="1"/>
      <w:pBdr>
        <w:top w:color="auto" w:space="1" w:sz="12" w:val="single"/>
      </w:pBdr>
      <w:spacing w:line="320" w:lineRule="exact"/>
      <w:outlineLvl w:val="2"/>
    </w:pPr>
    <w:rPr>
      <w:rFonts w:ascii="Garamond" w:hAnsi="Garamond"/>
      <w:b w:val="1"/>
      <w:bCs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rPr>
      <w:rFonts w:ascii="Cambria" w:cs="Cambria" w:hAnsi="Cambria"/>
      <w:b w:val="1"/>
      <w:bCs w:val="1"/>
      <w:kern w:val="32"/>
      <w:sz w:val="32"/>
      <w:szCs w:val="32"/>
    </w:rPr>
  </w:style>
  <w:style w:type="character" w:styleId="Heading2Char" w:customStyle="1">
    <w:name w:val="Heading 2 Char"/>
    <w:rPr>
      <w:rFonts w:ascii="Cambria" w:cs="Cambria" w:hAnsi="Cambria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rPr>
      <w:rFonts w:ascii="Cambria" w:cs="Cambria" w:hAnsi="Cambria"/>
      <w:b w:val="1"/>
      <w:bCs w:val="1"/>
      <w:sz w:val="26"/>
      <w:szCs w:val="26"/>
    </w:r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character" w:styleId="HeaderChar" w:customStyle="1">
    <w:name w:val="Header Char"/>
    <w:rPr>
      <w:rFonts w:ascii="CG Times" w:cs="CG Times" w:hAnsi="CG Times"/>
      <w:sz w:val="24"/>
      <w:szCs w:val="24"/>
    </w:r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FooterChar" w:customStyle="1">
    <w:name w:val="Footer Char"/>
    <w:rPr>
      <w:rFonts w:ascii="CG Times" w:cs="CG Times" w:hAnsi="CG Times"/>
      <w:sz w:val="24"/>
      <w:szCs w:val="24"/>
    </w:rPr>
  </w:style>
  <w:style w:type="character" w:styleId="PageNumber">
    <w:name w:val="page number"/>
    <w:semiHidden w:val="1"/>
    <w:rPr>
      <w:rFonts w:ascii="Times New Roman" w:cs="Times New Roman" w:hAnsi="Times New Roman"/>
    </w:rPr>
  </w:style>
  <w:style w:type="paragraph" w:styleId="BodyText">
    <w:name w:val="Body Text"/>
    <w:basedOn w:val="Normal"/>
    <w:semiHidden w:val="1"/>
    <w:pPr>
      <w:pBdr>
        <w:top w:color="auto" w:space="1" w:sz="12" w:val="single"/>
      </w:pBdr>
      <w:spacing w:line="320" w:lineRule="exact"/>
    </w:pPr>
    <w:rPr>
      <w:rFonts w:ascii="Garamond" w:hAnsi="Garamond"/>
      <w:sz w:val="22"/>
      <w:szCs w:val="22"/>
    </w:rPr>
  </w:style>
  <w:style w:type="character" w:styleId="BodyTextChar" w:customStyle="1">
    <w:name w:val="Body Text Char"/>
    <w:rPr>
      <w:rFonts w:ascii="CG Times" w:cs="CG Times" w:hAnsi="CG Times"/>
      <w:sz w:val="24"/>
      <w:szCs w:val="24"/>
    </w:rPr>
  </w:style>
  <w:style w:type="paragraph" w:styleId="BodyTextIndent">
    <w:name w:val="Body Text Indent"/>
    <w:basedOn w:val="Normal"/>
    <w:semiHidden w:val="1"/>
    <w:pPr>
      <w:tabs>
        <w:tab w:val="left" w:pos="0"/>
        <w:tab w:val="left" w:pos="2340"/>
      </w:tabs>
      <w:spacing w:line="280" w:lineRule="exact"/>
      <w:ind w:left="2340" w:hanging="2340"/>
    </w:pPr>
    <w:rPr>
      <w:rFonts w:ascii="Garamond" w:hAnsi="Garamond"/>
      <w:sz w:val="22"/>
      <w:szCs w:val="22"/>
    </w:rPr>
  </w:style>
  <w:style w:type="character" w:styleId="BodyText2Char" w:customStyle="1">
    <w:name w:val="Body Text 2 Char"/>
    <w:rPr>
      <w:rFonts w:ascii="CG Times" w:cs="CG Times" w:hAnsi="CG Times"/>
      <w:sz w:val="24"/>
      <w:szCs w:val="24"/>
    </w:rPr>
  </w:style>
  <w:style w:type="paragraph" w:styleId="Caption">
    <w:name w:val="caption"/>
    <w:basedOn w:val="Normal"/>
    <w:next w:val="Normal"/>
    <w:qFormat w:val="1"/>
    <w:pPr>
      <w:pBdr>
        <w:top w:color="auto" w:space="1" w:sz="12" w:val="single"/>
      </w:pBdr>
      <w:spacing w:before="1680" w:line="360" w:lineRule="exact"/>
    </w:pPr>
    <w:rPr>
      <w:rFonts w:ascii="Garamond" w:hAnsi="Garamond"/>
      <w:b w:val="1"/>
      <w:bCs w:val="1"/>
      <w:sz w:val="22"/>
      <w:szCs w:val="22"/>
    </w:rPr>
  </w:style>
  <w:style w:type="paragraph" w:styleId="BlockText">
    <w:name w:val="Block Text"/>
    <w:basedOn w:val="Normal"/>
    <w:semiHidden w:val="1"/>
    <w:pPr>
      <w:widowControl w:val="0"/>
      <w:tabs>
        <w:tab w:val="left" w:pos="-1440"/>
        <w:tab w:val="left" w:pos="-720"/>
      </w:tabs>
      <w:ind w:left="2340" w:right="259" w:hanging="2340"/>
      <w:jc w:val="both"/>
    </w:pPr>
    <w:rPr>
      <w:rFonts w:ascii="Garamond" w:hAnsi="Garamond"/>
      <w:sz w:val="22"/>
      <w:szCs w:val="22"/>
    </w:rPr>
  </w:style>
  <w:style w:type="paragraph" w:styleId="BodyTextIndent2">
    <w:name w:val="Body Text Indent 2"/>
    <w:basedOn w:val="Normal"/>
    <w:semiHidden w:val="1"/>
    <w:pPr>
      <w:ind w:left="1440"/>
      <w:jc w:val="both"/>
    </w:pPr>
  </w:style>
  <w:style w:type="character" w:styleId="BodyTextIndent2Char" w:customStyle="1">
    <w:name w:val="Body Text Indent 2 Char"/>
    <w:rPr>
      <w:rFonts w:ascii="CG Times" w:cs="CG Times" w:hAnsi="CG Times"/>
      <w:sz w:val="24"/>
      <w:szCs w:val="24"/>
    </w:rPr>
  </w:style>
  <w:style w:type="paragraph" w:styleId="BodyText3">
    <w:name w:val="Body Text 3"/>
    <w:basedOn w:val="Normal"/>
    <w:semiHidden w:val="1"/>
    <w:pPr>
      <w:widowControl w:val="0"/>
      <w:ind w:right="-11"/>
      <w:jc w:val="both"/>
    </w:pPr>
    <w:rPr>
      <w:rFonts w:ascii="Garamond" w:hAnsi="Garamond"/>
      <w:sz w:val="22"/>
      <w:szCs w:val="22"/>
    </w:rPr>
  </w:style>
  <w:style w:type="character" w:styleId="BodyText3Char" w:customStyle="1">
    <w:name w:val="Body Text 3 Char"/>
    <w:rPr>
      <w:rFonts w:ascii="CG Times" w:cs="CG Times" w:hAnsi="CG Times"/>
      <w:sz w:val="16"/>
      <w:szCs w:val="16"/>
    </w:rPr>
  </w:style>
  <w:style w:type="character" w:styleId="Hyperlink">
    <w:name w:val="Hyperlink"/>
    <w:uiPriority w:val="99"/>
    <w:unhideWhenUsed w:val="1"/>
    <w:rsid w:val="00DF73C8"/>
    <w:rPr>
      <w:color w:val="0563c1"/>
      <w:u w:val="single"/>
    </w:rPr>
  </w:style>
  <w:style w:type="character" w:styleId="UnresolvedMention">
    <w:name w:val="Unresolved Mention"/>
    <w:uiPriority w:val="99"/>
    <w:semiHidden w:val="1"/>
    <w:unhideWhenUsed w:val="1"/>
    <w:rsid w:val="00E50107"/>
    <w:rPr>
      <w:color w:val="605e5c"/>
      <w:shd w:color="auto" w:fill="e1dfdd" w:val="clear"/>
    </w:rPr>
  </w:style>
  <w:style w:type="paragraph" w:styleId="ListParagraph">
    <w:name w:val="List Paragraph"/>
    <w:basedOn w:val="Normal"/>
    <w:link w:val="ListParagraphChar"/>
    <w:uiPriority w:val="34"/>
    <w:qFormat w:val="1"/>
    <w:rsid w:val="00725F51"/>
    <w:pPr>
      <w:ind w:left="720"/>
      <w:contextualSpacing w:val="1"/>
    </w:pPr>
  </w:style>
  <w:style w:type="paragraph" w:styleId="Standard" w:customStyle="1">
    <w:name w:val="Standard"/>
    <w:rsid w:val="00725F51"/>
    <w:pPr>
      <w:suppressAutoHyphens w:val="1"/>
      <w:autoSpaceDN w:val="0"/>
      <w:textAlignment w:val="baseline"/>
    </w:pPr>
    <w:rPr>
      <w:rFonts w:ascii="Arial" w:cs="Arial" w:hAnsi="Arial"/>
      <w:color w:val="000000"/>
      <w:kern w:val="3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158C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unhideWhenUsed w:val="1"/>
    <w:qFormat w:val="1"/>
    <w:rsid w:val="000158C3"/>
    <w:rPr>
      <w:i w:val="1"/>
      <w:iCs w:val="1"/>
    </w:rPr>
  </w:style>
  <w:style w:type="character" w:styleId="ListParagraphChar" w:customStyle="1">
    <w:name w:val="List Paragraph Char"/>
    <w:link w:val="ListParagraph"/>
    <w:uiPriority w:val="34"/>
    <w:locked w:val="1"/>
    <w:rsid w:val="000158C3"/>
    <w:rPr>
      <w:rFonts w:ascii="CG Times" w:hAnsi="CG Times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42515"/>
    <w:pPr>
      <w:spacing w:after="100" w:afterAutospacing="1" w:before="100" w:beforeAutospacing="1"/>
    </w:pPr>
    <w:rPr>
      <w:rFonts w:ascii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ieeexplore.ieee.org/author/742613591848955" TargetMode="External"/><Relationship Id="rId10" Type="http://schemas.openxmlformats.org/officeDocument/2006/relationships/hyperlink" Target="mailto:renjithkr@ieee.org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www.researchgate.net/profile/Renjith-Ravindran-2" TargetMode="External"/><Relationship Id="rId12" Type="http://schemas.openxmlformats.org/officeDocument/2006/relationships/hyperlink" Target="https://orcid.org/0009-0005-5256-996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ravindran@castlighthealth.com" TargetMode="External"/><Relationship Id="rId15" Type="http://schemas.openxmlformats.org/officeDocument/2006/relationships/hyperlink" Target="https://link.springer.com/article/10.1365/s43439-025-00147-3" TargetMode="External"/><Relationship Id="rId14" Type="http://schemas.openxmlformats.org/officeDocument/2006/relationships/hyperlink" Target="https://scholar.google.com/citations?hl=en&amp;user=_FTuFE0AAAAJ" TargetMode="External"/><Relationship Id="rId17" Type="http://schemas.openxmlformats.org/officeDocument/2006/relationships/hyperlink" Target="https://ieeexplore.ieee.org/document/11021190" TargetMode="External"/><Relationship Id="rId16" Type="http://schemas.openxmlformats.org/officeDocument/2006/relationships/hyperlink" Target="https://ieeexplore.ieee.org/document/11021147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jsr.net/getabstract.php?paperid=SR25620022855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zone.com/articles/dev-guide-to-mastering-accessibility-in-web-development" TargetMode="External"/><Relationship Id="rId7" Type="http://schemas.openxmlformats.org/officeDocument/2006/relationships/image" Target="media/image1.jpg"/><Relationship Id="rId8" Type="http://schemas.openxmlformats.org/officeDocument/2006/relationships/hyperlink" Target="mailto:renjith.wky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9" Type="http://schemas.openxmlformats.org/officeDocument/2006/relationships/font" Target="fonts/CGTimes-boldItalic.ttf"/><Relationship Id="rId5" Type="http://schemas.openxmlformats.org/officeDocument/2006/relationships/font" Target="fonts/FranklinGothic-bold.ttf"/><Relationship Id="rId6" Type="http://schemas.openxmlformats.org/officeDocument/2006/relationships/font" Target="fonts/CGTimes-regular.ttf"/><Relationship Id="rId7" Type="http://schemas.openxmlformats.org/officeDocument/2006/relationships/font" Target="fonts/CGTimes-bold.ttf"/><Relationship Id="rId8" Type="http://schemas.openxmlformats.org/officeDocument/2006/relationships/font" Target="fonts/CGTime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vlj4UotNnLzB5WCynVgkFwy/3A==">CgMxLjAyDmguazA1em9tYW50aDZkMg5oLjFvdTN6NTdwOGdyMzIOaC42NHo3aXQ4dWt5aGIyDmgud2UxYzNzYmV4b2F2Mg5oLnAycXBuc2VqcHZzdjIOaC5keHpoZ2QzZHdyYjAyDmgubWk4NmtxZnllNTN5Mg5oLjUzZjA1dHJhcDVzZzINaC4yd3oyY21yemVyaDIOaC5lOWdzZGk2cTllY3YyDmguMmZrZTF2Zml4eHNqMg5oLjI2enkxaDQ1cW1hcTIOaC41aHRoc2gzODZuMXUyDmguczZyd3JqOHBzbmkyMg5oLnhvZHFvejg0cmhkMDIOaC5zM2xuYTY3eGg5MDMyDmgua3c1bHZsMTh0eDMxMg5oLmpuenU1emI0bGQ1YjIOaC5xOXc3cGdyeTN2YjQ4AHIhMUh1eTZ6NElpMTdVa3RVbTl6cGdoTHBXamNlN0JqZG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2023-06-13T17:42:00Z</dcterms:created>
  <dc:creator>Authorized User</dc:creator>
</cp:coreProperties>
</file>