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framePr w:x="1464" w:y="4009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  <w:lang w:val="en-US" w:eastAsia="zh-CN"/>
        </w:rPr>
        <w:t>紫外检测设备串口命令-485</w:t>
      </w:r>
    </w:p>
    <w:p>
      <w:pPr>
        <w:pStyle w:val="14"/>
        <w:framePr w:x="1464" w:y="4009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版本 1.0</w:t>
      </w:r>
    </w:p>
    <w:p>
      <w:pPr>
        <w:pStyle w:val="14"/>
        <w:framePr w:x="1464" w:y="4009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32"/>
          <w:szCs w:val="32"/>
        </w:rPr>
        <w:t>201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9</w:t>
      </w:r>
      <w:r>
        <w:rPr>
          <w:rFonts w:hint="eastAsia" w:ascii="宋体" w:hAnsi="宋体" w:eastAsia="宋体"/>
          <w:sz w:val="32"/>
          <w:szCs w:val="32"/>
        </w:rPr>
        <w:t>/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11</w:t>
      </w:r>
      <w:r>
        <w:rPr>
          <w:rFonts w:hint="eastAsia" w:ascii="宋体" w:hAnsi="宋体" w:eastAsia="宋体"/>
          <w:sz w:val="32"/>
          <w:szCs w:val="32"/>
        </w:rPr>
        <w:t>/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01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本协议可适用RS485的通讯方式。</w:t>
      </w:r>
      <w:r>
        <w:rPr>
          <w:rFonts w:hint="eastAsia" w:ascii="宋体" w:hAnsi="宋体" w:cs="宋体"/>
          <w:kern w:val="0"/>
          <w:szCs w:val="21"/>
          <w:lang w:eastAsia="zh-CN"/>
        </w:rPr>
        <w:t>紫外烟设备检测到异常时主动上报异常状态</w:t>
      </w:r>
      <w:r>
        <w:rPr>
          <w:rFonts w:hint="eastAsia" w:ascii="宋体" w:hAnsi="宋体" w:cs="宋体"/>
          <w:kern w:val="0"/>
          <w:szCs w:val="21"/>
        </w:rPr>
        <w:t>。</w:t>
      </w:r>
      <w:r>
        <w:rPr>
          <w:rFonts w:hint="eastAsia" w:ascii="宋体" w:hAnsi="宋体" w:cs="宋体"/>
          <w:kern w:val="0"/>
          <w:szCs w:val="21"/>
          <w:lang w:eastAsia="zh-CN"/>
        </w:rPr>
        <w:t>如，检测到微火花则发送报警数据。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t>数据上报：检测到微火花时，一秒一次。如果微火花消失，停止上报。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通讯参数：波特率是</w:t>
      </w:r>
      <w:r>
        <w:rPr>
          <w:rFonts w:hint="eastAsia" w:ascii="宋体" w:hAnsi="宋体" w:cs="宋体"/>
          <w:b/>
          <w:bCs/>
          <w:kern w:val="0"/>
          <w:szCs w:val="21"/>
          <w:lang w:val="en-US" w:eastAsia="zh-CN"/>
        </w:rPr>
        <w:t>4800</w:t>
      </w:r>
      <w:r>
        <w:rPr>
          <w:rFonts w:hint="eastAsia" w:ascii="宋体" w:hAnsi="宋体" w:cs="宋体"/>
          <w:b/>
          <w:bCs/>
          <w:kern w:val="0"/>
          <w:szCs w:val="21"/>
        </w:rPr>
        <w:t>bps</w:t>
      </w:r>
      <w:r>
        <w:rPr>
          <w:rFonts w:hint="eastAsia" w:ascii="宋体" w:hAnsi="宋体" w:cs="宋体"/>
          <w:kern w:val="0"/>
          <w:szCs w:val="21"/>
        </w:rPr>
        <w:t>，8bit 数据位，无校验位，1bit 停止位。</w:t>
      </w:r>
    </w:p>
    <w:p>
      <w:pPr>
        <w:pStyle w:val="2"/>
        <w:rPr>
          <w:rFonts w:ascii="宋体" w:hAnsi="宋体"/>
          <w:kern w:val="0"/>
        </w:rPr>
      </w:pPr>
      <w:bookmarkStart w:id="0" w:name="_Toc4499"/>
      <w:r>
        <w:rPr>
          <w:rFonts w:hint="eastAsia" w:ascii="宋体" w:hAnsi="宋体"/>
          <w:kern w:val="0"/>
        </w:rPr>
        <w:t>数据帧格式</w:t>
      </w:r>
      <w:bookmarkEnd w:id="0"/>
    </w:p>
    <w:tbl>
      <w:tblPr>
        <w:tblStyle w:val="6"/>
        <w:tblW w:w="7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232"/>
        <w:gridCol w:w="1232"/>
        <w:gridCol w:w="1232"/>
        <w:gridCol w:w="12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起始标识</w:t>
            </w:r>
          </w:p>
        </w:tc>
        <w:tc>
          <w:tcPr>
            <w:tcW w:w="1232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通讯命令</w:t>
            </w:r>
          </w:p>
        </w:tc>
        <w:tc>
          <w:tcPr>
            <w:tcW w:w="1232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数据长度</w:t>
            </w:r>
          </w:p>
        </w:tc>
        <w:tc>
          <w:tcPr>
            <w:tcW w:w="1232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数据内容</w:t>
            </w:r>
          </w:p>
        </w:tc>
        <w:tc>
          <w:tcPr>
            <w:tcW w:w="1232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校验数据</w:t>
            </w:r>
          </w:p>
        </w:tc>
        <w:tc>
          <w:tcPr>
            <w:tcW w:w="1232" w:type="dxa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结束标识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TimesNewRomanPSMT"/>
                <w:kern w:val="0"/>
                <w:szCs w:val="21"/>
              </w:rPr>
              <w:t>0</w:t>
            </w:r>
            <w:r>
              <w:rPr>
                <w:rFonts w:hint="eastAsia" w:ascii="宋体" w:hAnsi="宋体" w:cs="TimesNewRomanPSMT"/>
                <w:kern w:val="0"/>
                <w:szCs w:val="21"/>
              </w:rPr>
              <w:t>x</w:t>
            </w:r>
            <w:r>
              <w:rPr>
                <w:rFonts w:hint="eastAsia" w:ascii="宋体" w:hAnsi="宋体" w:cs="TimesNewRomanPSMT"/>
                <w:kern w:val="0"/>
                <w:szCs w:val="21"/>
                <w:lang w:val="en-US" w:eastAsia="zh-CN"/>
              </w:rPr>
              <w:t>7</w:t>
            </w:r>
            <w:r>
              <w:rPr>
                <w:rFonts w:ascii="宋体" w:hAnsi="宋体" w:cs="TimesNewRomanPSMT"/>
                <w:kern w:val="0"/>
                <w:szCs w:val="21"/>
              </w:rPr>
              <w:t>A</w:t>
            </w:r>
          </w:p>
        </w:tc>
        <w:tc>
          <w:tcPr>
            <w:tcW w:w="123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CMD</w:t>
            </w:r>
          </w:p>
        </w:tc>
        <w:tc>
          <w:tcPr>
            <w:tcW w:w="123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LEN</w:t>
            </w:r>
          </w:p>
        </w:tc>
        <w:tc>
          <w:tcPr>
            <w:tcW w:w="123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DATA</w:t>
            </w:r>
          </w:p>
        </w:tc>
        <w:tc>
          <w:tcPr>
            <w:tcW w:w="123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CHECKSUM</w:t>
            </w:r>
          </w:p>
        </w:tc>
        <w:tc>
          <w:tcPr>
            <w:tcW w:w="123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cs="TimesNewRomanPSMT"/>
                <w:kern w:val="0"/>
                <w:szCs w:val="21"/>
              </w:rPr>
              <w:t>0</w:t>
            </w:r>
            <w:r>
              <w:rPr>
                <w:rFonts w:hint="eastAsia" w:ascii="宋体" w:hAnsi="宋体" w:cs="TimesNewRomanPSMT"/>
                <w:kern w:val="0"/>
                <w:szCs w:val="21"/>
              </w:rPr>
              <w:t>x</w:t>
            </w:r>
            <w:r>
              <w:rPr>
                <w:rFonts w:hint="eastAsia" w:ascii="宋体" w:hAnsi="宋体" w:cs="TimesNewRomanPSMT"/>
                <w:kern w:val="0"/>
                <w:szCs w:val="21"/>
                <w:lang w:val="en-US" w:eastAsia="zh-CN"/>
              </w:rPr>
              <w:t>67</w:t>
            </w:r>
          </w:p>
        </w:tc>
      </w:tr>
    </w:tbl>
    <w:p/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通讯数据帧包含起始标识、通讯命令、数据长度、数据内容、校验数据、结束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标</w:t>
      </w:r>
      <w:r>
        <w:rPr>
          <w:rFonts w:hint="eastAsia" w:ascii="宋体" w:hAnsi="宋体" w:cs="宋体"/>
          <w:kern w:val="0"/>
          <w:szCs w:val="21"/>
          <w:lang w:eastAsia="zh-CN"/>
        </w:rPr>
        <w:t>识</w:t>
      </w:r>
      <w:r>
        <w:rPr>
          <w:rFonts w:hint="eastAsia" w:ascii="宋体" w:hAnsi="宋体" w:cs="宋体"/>
          <w:kern w:val="0"/>
          <w:szCs w:val="21"/>
        </w:rPr>
        <w:t>组成。其中，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起始标识：</w:t>
      </w:r>
      <w:r>
        <w:rPr>
          <w:rFonts w:hint="eastAsia" w:ascii="宋体" w:hAnsi="宋体" w:cs="宋体"/>
          <w:kern w:val="0"/>
          <w:szCs w:val="21"/>
        </w:rPr>
        <w:t>单字节，内容为</w:t>
      </w:r>
      <w:r>
        <w:rPr>
          <w:rFonts w:ascii="宋体" w:hAnsi="宋体" w:cs="TimesNewRomanPSMT"/>
          <w:kern w:val="0"/>
          <w:szCs w:val="21"/>
        </w:rPr>
        <w:t>0</w:t>
      </w:r>
      <w:r>
        <w:rPr>
          <w:rFonts w:hint="eastAsia" w:ascii="宋体" w:hAnsi="宋体" w:cs="TimesNewRomanPSMT"/>
          <w:kern w:val="0"/>
          <w:szCs w:val="21"/>
        </w:rPr>
        <w:t>x</w:t>
      </w:r>
      <w:r>
        <w:rPr>
          <w:rFonts w:hint="eastAsia" w:ascii="宋体" w:hAnsi="宋体" w:cs="TimesNewRomanPSMT"/>
          <w:kern w:val="0"/>
          <w:szCs w:val="21"/>
          <w:lang w:val="en-US" w:eastAsia="zh-CN"/>
        </w:rPr>
        <w:t>7</w:t>
      </w:r>
      <w:r>
        <w:rPr>
          <w:rFonts w:ascii="宋体" w:hAnsi="宋体" w:cs="TimesNewRomanPSMT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>，为固定值。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通讯命令：</w:t>
      </w:r>
      <w:r>
        <w:rPr>
          <w:rFonts w:hint="eastAsia" w:ascii="宋体" w:hAnsi="宋体" w:cs="宋体"/>
          <w:kern w:val="0"/>
          <w:szCs w:val="21"/>
        </w:rPr>
        <w:t>单字节，</w:t>
      </w:r>
      <w:r>
        <w:rPr>
          <w:rFonts w:hint="eastAsia" w:ascii="宋体" w:hAnsi="宋体" w:cs="宋体"/>
          <w:kern w:val="0"/>
          <w:szCs w:val="21"/>
          <w:lang w:eastAsia="zh-CN"/>
        </w:rPr>
        <w:t>固定为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0x00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cs="TimesNewRomanPSMT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数据长度:</w:t>
      </w:r>
      <w:r>
        <w:rPr>
          <w:rFonts w:ascii="宋体" w:hAnsi="宋体" w:cs="TimesNewRomanPSMT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单字节，内容为通讯数据帧的数据长度</w:t>
      </w:r>
      <w:r>
        <w:rPr>
          <w:rFonts w:hint="eastAsia" w:ascii="宋体" w:hAnsi="宋体" w:cs="宋体"/>
          <w:kern w:val="0"/>
          <w:szCs w:val="21"/>
          <w:lang w:eastAsia="zh-CN"/>
        </w:rPr>
        <w:t>，暂定为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0x05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数据内容：</w:t>
      </w:r>
      <w:r>
        <w:rPr>
          <w:rFonts w:hint="eastAsia" w:ascii="宋体" w:hAnsi="宋体" w:cs="宋体"/>
          <w:kern w:val="0"/>
          <w:szCs w:val="21"/>
        </w:rPr>
        <w:t>多字节，内容为具体命令对应的数据，字节数是不固定的，数量由数据长度部分的数值确定。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  <w:lang w:eastAsia="zh-CN"/>
        </w:rPr>
        <w:t>暂定数据内容包含：</w:t>
      </w:r>
    </w:p>
    <w:tbl>
      <w:tblPr>
        <w:tblStyle w:val="16"/>
        <w:tblW w:w="82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413"/>
        <w:gridCol w:w="340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wordWrap/>
              <w:spacing w:beforeLines="0" w:beforeAutospacing="0" w:afterLines="0" w:afterAutospacing="0" w:line="240" w:lineRule="atLeas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ascii="Times New Roman" w:hAnsi="Times New Roman" w:eastAsia="宋体"/>
                <w:b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序号</w:t>
            </w:r>
          </w:p>
        </w:tc>
        <w:tc>
          <w:tcPr>
            <w:tcW w:w="14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17"/>
              <w:wordWrap/>
              <w:spacing w:before="120" w:beforeLines="0" w:beforeAutospacing="0" w:after="120" w:afterLines="0" w:afterAutospacing="0" w:line="240" w:lineRule="atLeast"/>
              <w:ind w:left="0" w:leftChars="0" w:right="0" w:rightChars="0"/>
              <w:contextualSpacing w:val="0"/>
              <w:jc w:val="center"/>
              <w:outlineLvl w:val="9"/>
              <w:rPr>
                <w:rFonts w:ascii="Times New Roman" w:hAnsi="Times New Roman" w:eastAsia="宋体"/>
                <w:b w:val="0"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字节号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17"/>
              <w:wordWrap/>
              <w:spacing w:before="120" w:beforeLines="0" w:beforeAutospacing="0" w:after="120" w:afterLines="0" w:afterAutospacing="0" w:line="240" w:lineRule="atLeast"/>
              <w:ind w:left="0" w:leftChars="0" w:right="0" w:rightChars="0"/>
              <w:contextualSpacing w:val="0"/>
              <w:jc w:val="center"/>
              <w:outlineLvl w:val="9"/>
              <w:rPr>
                <w:rFonts w:ascii="Times New Roman" w:hAnsi="Times New Roman" w:eastAsia="宋体"/>
                <w:b w:val="0"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定义</w:t>
            </w:r>
          </w:p>
        </w:tc>
        <w:tc>
          <w:tcPr>
            <w:tcW w:w="269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CCCCCC"/>
            <w:vAlign w:val="center"/>
          </w:tcPr>
          <w:p>
            <w:pPr>
              <w:pStyle w:val="17"/>
              <w:wordWrap/>
              <w:spacing w:before="120" w:beforeLines="0" w:beforeAutospacing="0" w:after="120" w:afterLines="0" w:afterAutospacing="0" w:line="240" w:lineRule="atLeast"/>
              <w:ind w:left="0" w:leftChars="0" w:right="0" w:rightChars="0"/>
              <w:contextualSpacing w:val="0"/>
              <w:jc w:val="center"/>
              <w:outlineLvl w:val="9"/>
              <w:rPr>
                <w:rFonts w:ascii="Times New Roman" w:hAnsi="Times New Roman" w:eastAsia="宋体"/>
                <w:b w:val="0"/>
                <w:i w:val="0"/>
                <w:color w:val="auto"/>
              </w:rPr>
            </w:pPr>
            <w:r>
              <w:rPr>
                <w:rFonts w:hint="eastAsia" w:ascii="Times New Roman" w:hAnsi="Times New Roman" w:eastAsia="宋体"/>
                <w:b/>
                <w:i w:val="0"/>
                <w:color w:val="auto"/>
              </w:rPr>
              <w:t>输出值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743" w:type="dxa"/>
            <w:vAlign w:val="top"/>
          </w:tcPr>
          <w:p>
            <w:pPr>
              <w:pStyle w:val="17"/>
              <w:wordWrap/>
              <w:spacing w:beforeLines="0" w:beforeAutospacing="0" w:afterLines="0" w:afterAutospacing="0" w:line="300" w:lineRule="exact"/>
              <w:ind w:left="0" w:leftChars="0" w:right="0" w:rightChars="0"/>
              <w:contextualSpacing w:val="0"/>
              <w:jc w:val="center"/>
              <w:outlineLvl w:val="9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</w:p>
        </w:tc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yte 0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电火花报警状态值</w:t>
            </w:r>
          </w:p>
        </w:tc>
        <w:tc>
          <w:tcPr>
            <w:tcW w:w="2693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0xAA:  安全状态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0x55:  报警状态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0xA5： 预警装填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743" w:type="dxa"/>
            <w:vAlign w:val="top"/>
          </w:tcPr>
          <w:p>
            <w:pPr>
              <w:pStyle w:val="17"/>
              <w:wordWrap/>
              <w:spacing w:beforeLines="0" w:beforeAutospacing="0" w:afterLines="0" w:afterAutospacing="0" w:line="300" w:lineRule="exact"/>
              <w:ind w:left="0" w:leftChars="0" w:right="0" w:rightChars="0"/>
              <w:contextualSpacing w:val="0"/>
              <w:jc w:val="center"/>
              <w:outlineLvl w:val="9"/>
              <w:rPr>
                <w:rFonts w:eastAsia="宋体"/>
              </w:rPr>
            </w:pPr>
            <w:r>
              <w:rPr>
                <w:rFonts w:hint="eastAsia" w:eastAsia="宋体"/>
              </w:rPr>
              <w:t>2</w:t>
            </w:r>
          </w:p>
        </w:tc>
        <w:tc>
          <w:tcPr>
            <w:tcW w:w="1413" w:type="dxa"/>
            <w:vAlign w:val="center"/>
          </w:tcPr>
          <w:p>
            <w:pPr>
              <w:spacing w:before="100" w:beforeAutospacing="1"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yte 1</w:t>
            </w:r>
          </w:p>
        </w:tc>
        <w:tc>
          <w:tcPr>
            <w:tcW w:w="3402" w:type="dxa"/>
            <w:vAlign w:val="center"/>
          </w:tcPr>
          <w:p>
            <w:pPr>
              <w:spacing w:before="100" w:beforeAutospacing="1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温度监测器报警状态值</w:t>
            </w:r>
          </w:p>
        </w:tc>
        <w:tc>
          <w:tcPr>
            <w:tcW w:w="2693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0xAA:  安全状态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0x55:  报警状态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0xA5： 预警装填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743" w:type="dxa"/>
            <w:vAlign w:val="top"/>
          </w:tcPr>
          <w:p>
            <w:pPr>
              <w:pStyle w:val="17"/>
              <w:wordWrap/>
              <w:spacing w:beforeLines="0" w:beforeAutospacing="0" w:afterLines="0" w:afterAutospacing="0" w:line="300" w:lineRule="exact"/>
              <w:ind w:left="0" w:leftChars="0" w:right="0" w:rightChars="0"/>
              <w:contextualSpacing w:val="0"/>
              <w:jc w:val="center"/>
              <w:outlineLvl w:val="9"/>
              <w:rPr>
                <w:rFonts w:eastAsia="宋体"/>
              </w:rPr>
            </w:pPr>
            <w:r>
              <w:rPr>
                <w:rFonts w:hint="eastAsia" w:eastAsia="宋体"/>
              </w:rPr>
              <w:t>3</w:t>
            </w:r>
          </w:p>
        </w:tc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yte 2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温度开关报警状态值</w:t>
            </w:r>
          </w:p>
        </w:tc>
        <w:tc>
          <w:tcPr>
            <w:tcW w:w="2693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0xAA:  安全状态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0x55:  报警状态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0xA5： 预警装填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743" w:type="dxa"/>
            <w:vAlign w:val="center"/>
          </w:tcPr>
          <w:p>
            <w:pPr>
              <w:pStyle w:val="17"/>
              <w:wordWrap/>
              <w:spacing w:beforeLines="0" w:beforeAutospacing="0" w:afterLines="0" w:afterAutospacing="0" w:line="300" w:lineRule="exact"/>
              <w:ind w:left="0" w:leftChars="0" w:right="0" w:rightChars="0"/>
              <w:contextualSpacing w:val="0"/>
              <w:jc w:val="center"/>
              <w:outlineLvl w:val="9"/>
              <w:rPr>
                <w:rFonts w:eastAsia="宋体"/>
              </w:rPr>
            </w:pPr>
            <w:r>
              <w:rPr>
                <w:rFonts w:hint="eastAsia" w:eastAsia="宋体"/>
              </w:rPr>
              <w:t>4</w:t>
            </w:r>
          </w:p>
        </w:tc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yte 3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烟气监测器</w:t>
            </w:r>
            <w:r>
              <w:rPr>
                <w:szCs w:val="21"/>
              </w:rPr>
              <w:t>报警状态值</w:t>
            </w:r>
          </w:p>
        </w:tc>
        <w:tc>
          <w:tcPr>
            <w:tcW w:w="2693" w:type="dxa"/>
            <w:vAlign w:val="center"/>
          </w:tcPr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0xAA:  安全状态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0x55:  报警状态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0xA5： 预警装填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743" w:type="dxa"/>
            <w:vAlign w:val="center"/>
          </w:tcPr>
          <w:p>
            <w:pPr>
              <w:pStyle w:val="17"/>
              <w:wordWrap/>
              <w:spacing w:beforeLines="0" w:beforeAutospacing="0" w:afterLines="0" w:afterAutospacing="0" w:line="300" w:lineRule="exact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rFonts w:hint="eastAsia" w:ascii="Times New Roman" w:hAnsi="Times New Roman" w:eastAsia="宋体" w:cs="Times New Roman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13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 xml:space="preserve">yte </w:t>
            </w:r>
            <w:r>
              <w:rPr>
                <w:rFonts w:hint="eastAsia"/>
                <w:b/>
                <w:szCs w:val="21"/>
                <w:lang w:val="en-US" w:eastAsia="zh-CN"/>
              </w:rPr>
              <w:t>4</w:t>
            </w:r>
          </w:p>
        </w:tc>
        <w:tc>
          <w:tcPr>
            <w:tcW w:w="3402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产品故障</w:t>
            </w:r>
            <w:r>
              <w:rPr>
                <w:szCs w:val="21"/>
              </w:rPr>
              <w:t>状态值</w:t>
            </w:r>
          </w:p>
        </w:tc>
        <w:tc>
          <w:tcPr>
            <w:tcW w:w="2693" w:type="dxa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0xE0:  产品故障</w:t>
            </w:r>
          </w:p>
          <w:p>
            <w:pPr>
              <w:spacing w:line="240" w:lineRule="exact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  <w:szCs w:val="21"/>
                <w:lang w:val="en-US" w:eastAsia="zh-CN"/>
              </w:rPr>
              <w:t>00</w:t>
            </w:r>
            <w:r>
              <w:rPr>
                <w:rFonts w:hint="eastAsia"/>
                <w:szCs w:val="21"/>
              </w:rPr>
              <w:t xml:space="preserve">:  </w:t>
            </w:r>
            <w:r>
              <w:rPr>
                <w:rFonts w:hint="eastAsia"/>
                <w:szCs w:val="21"/>
                <w:lang w:eastAsia="zh-CN"/>
              </w:rPr>
              <w:t>正常</w:t>
            </w:r>
            <w:r>
              <w:rPr>
                <w:rFonts w:hint="eastAsia"/>
                <w:szCs w:val="21"/>
              </w:rPr>
              <w:t>状态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校验数据：</w:t>
      </w:r>
      <w:r>
        <w:rPr>
          <w:rFonts w:hint="eastAsia" w:ascii="宋体" w:hAnsi="宋体" w:cs="宋体"/>
          <w:kern w:val="0"/>
          <w:szCs w:val="21"/>
        </w:rPr>
        <w:t>两字节，内容为通讯数据的累加校验和数据，包括从命令标识、</w:t>
      </w:r>
      <w:r>
        <w:rPr>
          <w:rFonts w:hint="eastAsia" w:ascii="宋体" w:hAnsi="宋体" w:cs="宋体"/>
          <w:kern w:val="0"/>
          <w:szCs w:val="21"/>
          <w:lang w:eastAsia="zh-CN"/>
        </w:rPr>
        <w:t>数据</w:t>
      </w:r>
      <w:r>
        <w:rPr>
          <w:rFonts w:hint="eastAsia" w:ascii="宋体" w:hAnsi="宋体" w:cs="宋体"/>
          <w:kern w:val="0"/>
          <w:szCs w:val="21"/>
        </w:rPr>
        <w:t>长度、数据内容的累加和，低字节在前，高字节在后。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结束标识：</w:t>
      </w:r>
      <w:r>
        <w:rPr>
          <w:rFonts w:hint="eastAsia" w:ascii="宋体" w:hAnsi="宋体" w:cs="宋体"/>
          <w:kern w:val="0"/>
          <w:szCs w:val="21"/>
        </w:rPr>
        <w:t>单字节，内容为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0x67。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案例：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设备发送电火花状态数据：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0x7A 0x00 0x05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55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AA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AA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AA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00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</w:t>
      </w:r>
      <w:r>
        <w:rPr>
          <w:rFonts w:hint="default" w:ascii="宋体" w:hAnsi="宋体" w:cs="宋体"/>
          <w:kern w:val="0"/>
          <w:szCs w:val="21"/>
          <w:lang w:val="en-US" w:eastAsia="zh-CN"/>
        </w:rPr>
        <w:t>58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0x0</w:t>
      </w:r>
      <w:r>
        <w:rPr>
          <w:rFonts w:hint="default" w:ascii="宋体" w:hAnsi="宋体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0x67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CHECKSUM</w:t>
      </w:r>
      <w:r>
        <w:rPr>
          <w:rFonts w:hint="default" w:ascii="宋体" w:hAnsi="宋体" w:cs="宋体"/>
          <w:kern w:val="0"/>
          <w:szCs w:val="21"/>
          <w:lang w:val="en-US"/>
        </w:rPr>
        <w:t xml:space="preserve">=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0x58 0x0</w:t>
      </w:r>
      <w:r>
        <w:rPr>
          <w:rFonts w:hint="default" w:ascii="宋体" w:hAnsi="宋体" w:cs="宋体"/>
          <w:kern w:val="0"/>
          <w:szCs w:val="21"/>
          <w:lang w:val="en-US" w:eastAsia="zh-CN"/>
        </w:rPr>
        <w:t>2</w:t>
      </w:r>
      <w:r>
        <w:rPr>
          <w:rFonts w:hint="default" w:ascii="宋体" w:hAnsi="宋体" w:cs="宋体"/>
          <w:kern w:val="0"/>
          <w:szCs w:val="21"/>
          <w:lang w:val="en-US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为累加校验和，两字节，低字节为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58</w:t>
      </w:r>
      <w:r>
        <w:rPr>
          <w:rFonts w:hint="eastAsia" w:ascii="宋体" w:hAnsi="宋体" w:cs="宋体"/>
          <w:kern w:val="0"/>
          <w:szCs w:val="21"/>
        </w:rPr>
        <w:t>，高字节为</w:t>
      </w:r>
      <w:r>
        <w:rPr>
          <w:rFonts w:hint="eastAsia" w:ascii="宋体" w:hAnsi="宋体" w:cs="TimesNewRomanPSMT"/>
          <w:kern w:val="0"/>
          <w:szCs w:val="21"/>
          <w:lang w:val="en-US" w:eastAsia="zh-CN"/>
        </w:rPr>
        <w:t>02</w:t>
      </w:r>
      <w:r>
        <w:rPr>
          <w:rFonts w:hint="eastAsia" w:ascii="宋体" w:hAnsi="宋体" w:cs="宋体"/>
          <w:kern w:val="0"/>
          <w:szCs w:val="21"/>
        </w:rPr>
        <w:t>。累加校验和的具体的计算公</w:t>
      </w:r>
      <w:bookmarkStart w:id="1" w:name="_GoBack"/>
      <w:bookmarkEnd w:id="1"/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式为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x00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0x05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0x55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AA+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AA+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AA+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>0x</w:t>
      </w:r>
      <w:r>
        <w:rPr>
          <w:rFonts w:hint="default" w:ascii="宋体" w:hAnsi="宋体" w:cs="TimesNewRomanPSMT"/>
          <w:color w:val="0000FF"/>
          <w:kern w:val="0"/>
          <w:szCs w:val="21"/>
          <w:lang w:val="en-US" w:eastAsia="zh-CN"/>
        </w:rPr>
        <w:t>00</w:t>
      </w:r>
      <w:r>
        <w:rPr>
          <w:rFonts w:hint="eastAsia" w:ascii="宋体" w:hAnsi="宋体" w:cs="TimesNewRomanPSMT"/>
          <w:color w:val="0000FF"/>
          <w:kern w:val="0"/>
          <w:szCs w:val="21"/>
          <w:lang w:val="en-US" w:eastAsia="zh-CN"/>
        </w:rPr>
        <w:t xml:space="preserve">  = 0x0258</w:t>
      </w:r>
      <w:r>
        <w:rPr>
          <w:rFonts w:ascii="宋体" w:hAnsi="宋体" w:cs="TimesNewRomanPSMT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（十六进制）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84"/>
        </w:tabs>
        <w:bidi w:val="0"/>
        <w:jc w:val="left"/>
        <w:rPr>
          <w:rFonts w:hint="default"/>
          <w:lang w:val="en-US" w:eastAsia="zh-CN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0" w:h="16840"/>
      <w:pgMar w:top="1440" w:right="1797" w:bottom="1440" w:left="1797" w:header="851" w:footer="992" w:gutter="0"/>
      <w:pgNumType w:fmt="numberInDash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ant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spacing w:before="120"/>
      <w:rPr>
        <w:rStyle w:val="9"/>
        <w:rFonts w:ascii="Yuanti SC" w:hAnsi="Yuanti SC" w:eastAsia="Yuanti SC"/>
        <w:sz w:val="15"/>
        <w:szCs w:val="15"/>
      </w:rPr>
    </w:pPr>
    <w:r>
      <w:rPr>
        <w:rStyle w:val="9"/>
        <w:rFonts w:hint="eastAsia" w:ascii="Yuanti SC" w:hAnsi="Yuanti SC" w:eastAsia="Yuanti SC"/>
        <w:sz w:val="15"/>
        <w:szCs w:val="15"/>
      </w:rPr>
      <w:t>第</w:t>
    </w:r>
    <w:r>
      <w:rPr>
        <w:rStyle w:val="9"/>
        <w:rFonts w:ascii="Yuanti SC" w:hAnsi="Yuanti SC" w:eastAsia="Yuanti SC"/>
        <w:sz w:val="15"/>
        <w:szCs w:val="15"/>
      </w:rPr>
      <w:fldChar w:fldCharType="begin"/>
    </w:r>
    <w:r>
      <w:rPr>
        <w:rStyle w:val="9"/>
        <w:rFonts w:ascii="Yuanti SC" w:hAnsi="Yuanti SC" w:eastAsia="Yuanti SC"/>
        <w:sz w:val="15"/>
        <w:szCs w:val="15"/>
      </w:rPr>
      <w:instrText xml:space="preserve">PAGE  </w:instrText>
    </w:r>
    <w:r>
      <w:rPr>
        <w:rStyle w:val="9"/>
        <w:rFonts w:ascii="Yuanti SC" w:hAnsi="Yuanti SC" w:eastAsia="Yuanti SC"/>
        <w:sz w:val="15"/>
        <w:szCs w:val="15"/>
      </w:rPr>
      <w:fldChar w:fldCharType="separate"/>
    </w:r>
    <w:r>
      <w:rPr>
        <w:rStyle w:val="9"/>
        <w:rFonts w:ascii="Yuanti SC" w:hAnsi="Yuanti SC" w:eastAsia="Yuanti SC"/>
        <w:sz w:val="15"/>
        <w:szCs w:val="15"/>
      </w:rPr>
      <w:t>- 1 -</w:t>
    </w:r>
    <w:r>
      <w:rPr>
        <w:rStyle w:val="9"/>
        <w:rFonts w:ascii="Yuanti SC" w:hAnsi="Yuanti SC" w:eastAsia="Yuanti SC"/>
        <w:sz w:val="15"/>
        <w:szCs w:val="15"/>
      </w:rPr>
      <w:fldChar w:fldCharType="end"/>
    </w:r>
    <w:r>
      <w:rPr>
        <w:rStyle w:val="9"/>
        <w:rFonts w:hint="eastAsia" w:ascii="Yuanti SC" w:hAnsi="Yuanti SC" w:eastAsia="Yuanti SC"/>
        <w:sz w:val="15"/>
        <w:szCs w:val="15"/>
      </w:rPr>
      <w:t>页</w:t>
    </w:r>
  </w:p>
  <w:p>
    <w:pPr>
      <w:pStyle w:val="4"/>
      <w:spacing w:before="1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spacing w:before="12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framePr w:wrap="around" w:vAnchor="text" w:hAnchor="margin" w:xAlign="right" w:y="1"/>
      <w:spacing w:before="12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spacing w:before="1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</w:pPr>
    <w:r>
      <w:drawing>
        <wp:inline distT="0" distB="0" distL="0" distR="0">
          <wp:extent cx="5270500" cy="280035"/>
          <wp:effectExtent l="0" t="0" r="1270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280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7A"/>
    <w:rsid w:val="000954C0"/>
    <w:rsid w:val="000D1AE7"/>
    <w:rsid w:val="00101AF4"/>
    <w:rsid w:val="00124FFD"/>
    <w:rsid w:val="00147AC6"/>
    <w:rsid w:val="00166A74"/>
    <w:rsid w:val="001D49C9"/>
    <w:rsid w:val="0028078F"/>
    <w:rsid w:val="002A0CFA"/>
    <w:rsid w:val="002E4CA2"/>
    <w:rsid w:val="00394015"/>
    <w:rsid w:val="004A5958"/>
    <w:rsid w:val="00640EB3"/>
    <w:rsid w:val="00656174"/>
    <w:rsid w:val="006D58EF"/>
    <w:rsid w:val="006F1560"/>
    <w:rsid w:val="0075593A"/>
    <w:rsid w:val="007616EC"/>
    <w:rsid w:val="007D0522"/>
    <w:rsid w:val="0087114B"/>
    <w:rsid w:val="0093046A"/>
    <w:rsid w:val="009725EF"/>
    <w:rsid w:val="009810DE"/>
    <w:rsid w:val="00A04A7A"/>
    <w:rsid w:val="00A86BA0"/>
    <w:rsid w:val="00AB4829"/>
    <w:rsid w:val="00AF498B"/>
    <w:rsid w:val="00B43478"/>
    <w:rsid w:val="00B93EC7"/>
    <w:rsid w:val="00BA362C"/>
    <w:rsid w:val="00C33341"/>
    <w:rsid w:val="00C75E04"/>
    <w:rsid w:val="00CF1AC1"/>
    <w:rsid w:val="00D83634"/>
    <w:rsid w:val="00E65C59"/>
    <w:rsid w:val="00EA113E"/>
    <w:rsid w:val="00FC4C76"/>
    <w:rsid w:val="0B3C1526"/>
    <w:rsid w:val="13832620"/>
    <w:rsid w:val="1FDF4C0E"/>
    <w:rsid w:val="43EF6C2E"/>
    <w:rsid w:val="4EE91E52"/>
    <w:rsid w:val="5454143E"/>
    <w:rsid w:val="5D6E7336"/>
    <w:rsid w:val="706D032D"/>
    <w:rsid w:val="73613F9B"/>
    <w:rsid w:val="786D5177"/>
    <w:rsid w:val="7AF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before="50" w:beforeLines="5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dotted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="Calibri" w:hAnsi="Calibri" w:eastAsia="宋体" w:cs="Mangal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semiHidden/>
    <w:unhideWhenUsed/>
    <w:qFormat/>
    <w:uiPriority w:val="99"/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spacing w:after="120" w:line="259" w:lineRule="auto"/>
      <w:ind w:firstLine="420" w:firstLineChars="200"/>
    </w:pPr>
    <w:rPr>
      <w:rFonts w:ascii="Calibri" w:hAnsi="Calibri" w:cs="Mangal"/>
      <w:color w:val="595959"/>
      <w:sz w:val="30"/>
      <w:szCs w:val="30"/>
      <w:lang w:val="en-GB"/>
    </w:rPr>
  </w:style>
  <w:style w:type="character" w:customStyle="1" w:styleId="13">
    <w:name w:val="批注框文本 字符"/>
    <w:basedOn w:val="8"/>
    <w:link w:val="3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14">
    <w:name w:val="封面标准英文名称"/>
    <w:basedOn w:val="15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15">
    <w:name w:val="封面标准名称"/>
    <w:qFormat/>
    <w:uiPriority w:val="0"/>
    <w:pPr>
      <w:framePr w:w="9639" w:h="6917" w:wrap="around" w:vAnchor="page" w:hAnchor="page" w:xAlign="center" w:y="6408" w:anchorLock="1"/>
      <w:widowControl w:val="0"/>
      <w:spacing w:after="200" w:line="680" w:lineRule="exact"/>
      <w:jc w:val="center"/>
    </w:pPr>
    <w:rPr>
      <w:rFonts w:ascii="黑体" w:hAnsi="Times New Roman" w:eastAsia="黑体" w:cs="Times New Roman"/>
      <w:sz w:val="52"/>
      <w:szCs w:val="22"/>
      <w:lang w:val="en-US" w:eastAsia="zh-CN" w:bidi="ar-SA"/>
    </w:rPr>
  </w:style>
  <w:style w:type="table" w:customStyle="1" w:styleId="16">
    <w:name w:val="ZS_D表 格式"/>
    <w:basedOn w:val="6"/>
    <w:qFormat/>
    <w:uiPriority w:val="0"/>
    <w:pPr>
      <w:spacing w:line="240" w:lineRule="atLeast"/>
    </w:pPr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tLeast"/>
        <w:ind w:left="0" w:leftChars="0" w:right="0" w:rightChars="0" w:firstLine="0" w:firstLineChars="0"/>
        <w:contextualSpacing w:val="0"/>
        <w:jc w:val="center"/>
        <w:outlineLvl w:val="9"/>
      </w:pPr>
      <w:rPr>
        <w:rFonts w:ascii="Times New Roman" w:hAnsi="Times New Roman" w:eastAsia="宋体"/>
        <w:b/>
        <w:i w:val="0"/>
        <w:color w:val="auto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sz="4" w:space="0"/>
          <w:tl2br w:val="nil"/>
          <w:tr2bl w:val="nil"/>
        </w:tcBorders>
        <w:shd w:val="clear" w:color="auto" w:fill="CCCCCC"/>
      </w:tcPr>
    </w:tblStylePr>
    <w:tblStylePr w:type="firstCol">
      <w:pPr>
        <w:wordWrap/>
        <w:spacing w:beforeLines="0" w:beforeAutospacing="0" w:afterLines="0" w:afterAutospacing="0" w:line="240" w:lineRule="atLeast"/>
        <w:ind w:left="0" w:leftChars="0" w:right="0" w:rightChars="0" w:firstLine="0" w:firstLineChars="0"/>
        <w:contextualSpacing w:val="0"/>
        <w:jc w:val="center"/>
        <w:outlineLvl w:val="9"/>
      </w:pPr>
      <w:rPr>
        <w:rFonts w:eastAsia="宋体"/>
        <w:sz w:val="21"/>
      </w:rPr>
    </w:tblStylePr>
  </w:style>
  <w:style w:type="paragraph" w:customStyle="1" w:styleId="17">
    <w:name w:val="表格内容"/>
    <w:basedOn w:val="18"/>
    <w:qFormat/>
    <w:uiPriority w:val="0"/>
    <w:pPr>
      <w:ind w:firstLine="0" w:firstLineChars="0"/>
    </w:pPr>
    <w:rPr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karen\Library\Group%20Containers\UBF8T346G9.Office\User%20Content.localized\Templates.localized\jindo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jindoo.dotx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2019-04-23T05:02:00Z</dcterms:created>
  <dc:creator>Microsoft Office User</dc:creator>
  <cp:lastModifiedBy>秦允振</cp:lastModifiedBy>
  <cp:lastPrinted>2019-04-23T06:34:00Z</cp:lastPrinted>
  <dcterms:modified xsi:type="dcterms:W3CDTF">2019-11-01T07:37:09Z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