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B7D" w:rsidRPr="00B12751" w:rsidRDefault="00B12751" w:rsidP="00B12751">
      <w:pPr>
        <w:pStyle w:val="Title"/>
        <w:rPr>
          <w:sz w:val="40"/>
          <w:szCs w:val="40"/>
        </w:rPr>
      </w:pPr>
      <w:r w:rsidRPr="00B12751">
        <w:rPr>
          <w:sz w:val="40"/>
          <w:szCs w:val="40"/>
        </w:rPr>
        <w:t>Google Checkout Integration: High Level Architecture</w:t>
      </w:r>
    </w:p>
    <w:p w:rsidR="00AD7E11" w:rsidRDefault="00F76FC2" w:rsidP="00B12751">
      <w:pPr>
        <w:pStyle w:val="Heading2"/>
      </w:pPr>
      <w:r>
        <w:t xml:space="preserve">High Level </w:t>
      </w:r>
      <w:r w:rsidR="00AD7E11">
        <w:t>Goals</w:t>
      </w:r>
    </w:p>
    <w:p w:rsidR="00AD7E11" w:rsidRDefault="00AD7E11" w:rsidP="00AD7E11">
      <w:pPr>
        <w:pStyle w:val="ListParagraph"/>
        <w:numPr>
          <w:ilvl w:val="0"/>
          <w:numId w:val="24"/>
        </w:numPr>
        <w:spacing w:after="120"/>
        <w:contextualSpacing w:val="0"/>
      </w:pPr>
      <w:r>
        <w:t>Offer Google Checkout as an option for customer payment during the checkout process on one of the e-commerce websites.</w:t>
      </w:r>
    </w:p>
    <w:p w:rsidR="00AD7E11" w:rsidRDefault="00AD7E11" w:rsidP="00AD7E11">
      <w:pPr>
        <w:pStyle w:val="ListParagraph"/>
        <w:numPr>
          <w:ilvl w:val="0"/>
          <w:numId w:val="24"/>
        </w:numPr>
        <w:spacing w:after="120"/>
        <w:contextualSpacing w:val="0"/>
      </w:pPr>
      <w:r>
        <w:t>Integration with Google Checkout without the need for enhancement of the SAP system.</w:t>
      </w:r>
    </w:p>
    <w:p w:rsidR="00AD7E11" w:rsidRPr="00AD7E11" w:rsidRDefault="00AD7E11" w:rsidP="00AD7E11">
      <w:pPr>
        <w:pStyle w:val="ListParagraph"/>
        <w:numPr>
          <w:ilvl w:val="0"/>
          <w:numId w:val="24"/>
        </w:numPr>
        <w:spacing w:after="120"/>
        <w:contextualSpacing w:val="0"/>
      </w:pPr>
      <w:r>
        <w:t>Utilize infrastructure from the Amazon/Mercent e-commerce integration where possible, to for a consistent checkout pipeline and to keep development costs under control.</w:t>
      </w:r>
    </w:p>
    <w:p w:rsidR="00C11A3E" w:rsidRPr="00C11A3E" w:rsidRDefault="002D5C1B" w:rsidP="00F0505D">
      <w:pPr>
        <w:pStyle w:val="Heading2"/>
      </w:pPr>
      <w:r>
        <w:t>Major Components</w:t>
      </w:r>
    </w:p>
    <w:p w:rsidR="007004FE" w:rsidRPr="002D5C1B" w:rsidRDefault="007004FE" w:rsidP="007004FE">
      <w:pPr>
        <w:ind w:left="720"/>
        <w:rPr>
          <w:b/>
        </w:rPr>
      </w:pPr>
      <w:r>
        <w:rPr>
          <w:b/>
          <w:u w:val="single"/>
        </w:rPr>
        <w:t>Google Checkout:</w:t>
      </w:r>
      <w:r w:rsidRPr="007004FE">
        <w:t xml:space="preserve">  </w:t>
      </w:r>
      <w:r>
        <w:t>A payment processing service offered by Google.   Google provides the user experience for a buyer checking out, collecting payment information on our behalf.  Interaction with Google takes place asynchronously via REST-based web services.  Communication is bi-directional with Google both receiving and sending order information.</w:t>
      </w:r>
    </w:p>
    <w:p w:rsidR="00C11A3E" w:rsidRDefault="008E763A" w:rsidP="00B12751">
      <w:pPr>
        <w:ind w:left="720"/>
      </w:pPr>
      <w:r>
        <w:rPr>
          <w:b/>
          <w:u w:val="single"/>
        </w:rPr>
        <w:t>SAP</w:t>
      </w:r>
      <w:r w:rsidR="002D5C1B" w:rsidRPr="002D5C1B">
        <w:rPr>
          <w:b/>
          <w:u w:val="single"/>
        </w:rPr>
        <w:t xml:space="preserve"> Staging Database:</w:t>
      </w:r>
      <w:r w:rsidR="002D5C1B">
        <w:rPr>
          <w:b/>
        </w:rPr>
        <w:t xml:space="preserve"> </w:t>
      </w:r>
      <w:r w:rsidR="002D5C1B">
        <w:t xml:space="preserve">Conceptualized and created for the Amazon/Mercent integration project, this database serves as a </w:t>
      </w:r>
      <w:r w:rsidR="00C11A3E">
        <w:t xml:space="preserve">queue for order-related transactions and updates.  </w:t>
      </w:r>
      <w:r>
        <w:t>SAP</w:t>
      </w:r>
      <w:r w:rsidR="00C11A3E">
        <w:t xml:space="preserve"> will monitor this database and consume any transactions posted for it, integrating them into the standard order processing operations.  In addition, </w:t>
      </w:r>
      <w:r>
        <w:t>SAP</w:t>
      </w:r>
      <w:r w:rsidR="00C11A3E">
        <w:t xml:space="preserve"> will post updates for orders received via this staging database, which will trigger actions to be requested from Google Checkout.</w:t>
      </w:r>
    </w:p>
    <w:p w:rsidR="007004FE" w:rsidRDefault="000E1EC1" w:rsidP="00B12751">
      <w:pPr>
        <w:ind w:left="720"/>
      </w:pPr>
      <w:r>
        <w:rPr>
          <w:b/>
          <w:u w:val="single"/>
        </w:rPr>
        <w:t>Payment Services Framework:</w:t>
      </w:r>
      <w:r>
        <w:t xml:space="preserve">  </w:t>
      </w:r>
      <w:r w:rsidR="006E7430">
        <w:t xml:space="preserve">A </w:t>
      </w:r>
      <w:r w:rsidR="00016C91">
        <w:t>framework serving</w:t>
      </w:r>
      <w:r w:rsidR="0083621A">
        <w:t xml:space="preserve"> the role of listener and translator, allowing </w:t>
      </w:r>
      <w:r w:rsidR="008E763A">
        <w:t>SAP</w:t>
      </w:r>
      <w:r w:rsidR="0083621A">
        <w:t xml:space="preserve"> and Google Checkout to communicate without either needing to understand the other’s interface.  Further, the goal is</w:t>
      </w:r>
      <w:r w:rsidR="006E7430">
        <w:t xml:space="preserve"> to provide a lightweight </w:t>
      </w:r>
      <w:r w:rsidR="0083621A">
        <w:t>wrapper with a neutral interface, allowing other</w:t>
      </w:r>
      <w:r w:rsidR="006E7430">
        <w:t xml:space="preserve"> third party payment processors to be added with minimal new development needed.</w:t>
      </w:r>
      <w:r w:rsidR="00016C91">
        <w:t xml:space="preserve">  The </w:t>
      </w:r>
      <w:r w:rsidR="00AD7E11">
        <w:t>framework</w:t>
      </w:r>
      <w:r w:rsidR="00016C91">
        <w:t xml:space="preserve"> consists of </w:t>
      </w:r>
      <w:r w:rsidR="00C022D5">
        <w:t>a client library, scheduled job</w:t>
      </w:r>
      <w:r w:rsidR="00016C91">
        <w:t>, and REST-based web services</w:t>
      </w:r>
      <w:r w:rsidR="00EA5E39">
        <w:t xml:space="preserve"> (both internal and public-facing)</w:t>
      </w:r>
      <w:r w:rsidR="00AD7E11">
        <w:t>.</w:t>
      </w:r>
    </w:p>
    <w:p w:rsidR="00016C91" w:rsidRPr="00016C91" w:rsidRDefault="00016C91" w:rsidP="00F0505D">
      <w:pPr>
        <w:pStyle w:val="Heading2"/>
      </w:pPr>
      <w:r>
        <w:t>Order Flow</w:t>
      </w:r>
    </w:p>
    <w:p w:rsidR="00016C91" w:rsidRPr="00016C91" w:rsidRDefault="00016C91" w:rsidP="002F2837">
      <w:pPr>
        <w:numPr>
          <w:ilvl w:val="0"/>
          <w:numId w:val="1"/>
        </w:numPr>
        <w:spacing w:after="120" w:line="240" w:lineRule="auto"/>
        <w:ind w:left="1080"/>
        <w:textAlignment w:val="center"/>
        <w:rPr>
          <w:rFonts w:ascii="Calibri" w:eastAsia="Times New Roman" w:hAnsi="Calibri" w:cs="Calibri"/>
          <w:b/>
        </w:rPr>
      </w:pPr>
      <w:r w:rsidRPr="00016C91">
        <w:rPr>
          <w:rFonts w:ascii="Calibri" w:eastAsia="Times New Roman" w:hAnsi="Calibri" w:cs="Calibri"/>
          <w:b/>
        </w:rPr>
        <w:t>Placement</w:t>
      </w:r>
    </w:p>
    <w:p w:rsidR="00C42B6F" w:rsidRPr="00C42B6F" w:rsidRDefault="002F2837" w:rsidP="00C42B6F">
      <w:pPr>
        <w:pStyle w:val="ListParagraph"/>
        <w:numPr>
          <w:ilvl w:val="1"/>
          <w:numId w:val="1"/>
        </w:numPr>
        <w:spacing w:after="120" w:line="240" w:lineRule="auto"/>
        <w:textAlignment w:val="center"/>
        <w:rPr>
          <w:rFonts w:ascii="Calibri" w:eastAsia="Times New Roman" w:hAnsi="Calibri" w:cs="Calibri"/>
        </w:rPr>
      </w:pPr>
      <w:r w:rsidRPr="00C42B6F">
        <w:rPr>
          <w:rFonts w:ascii="Calibri" w:eastAsia="Times New Roman" w:hAnsi="Calibri" w:cs="Calibri"/>
        </w:rPr>
        <w:t xml:space="preserve">On one of </w:t>
      </w:r>
      <w:r w:rsidR="00AD7E11">
        <w:rPr>
          <w:rFonts w:ascii="Calibri" w:eastAsia="Times New Roman" w:hAnsi="Calibri" w:cs="Calibri"/>
        </w:rPr>
        <w:t>the</w:t>
      </w:r>
      <w:r w:rsidRPr="00C42B6F">
        <w:rPr>
          <w:rFonts w:ascii="Calibri" w:eastAsia="Times New Roman" w:hAnsi="Calibri" w:cs="Calibri"/>
        </w:rPr>
        <w:t xml:space="preserve"> e-commerce websites, a customer places and order and clicks </w:t>
      </w:r>
      <w:r w:rsidR="00016C91" w:rsidRPr="00C42B6F">
        <w:rPr>
          <w:rFonts w:ascii="Calibri" w:eastAsia="Times New Roman" w:hAnsi="Calibri" w:cs="Calibri"/>
        </w:rPr>
        <w:t>the button for</w:t>
      </w:r>
      <w:r w:rsidRPr="00C42B6F">
        <w:rPr>
          <w:rFonts w:ascii="Calibri" w:eastAsia="Times New Roman" w:hAnsi="Calibri" w:cs="Calibri"/>
        </w:rPr>
        <w:t xml:space="preserve"> the</w:t>
      </w:r>
      <w:r w:rsidR="00016C91" w:rsidRPr="00C42B6F">
        <w:rPr>
          <w:rFonts w:ascii="Calibri" w:eastAsia="Times New Roman" w:hAnsi="Calibri" w:cs="Calibri"/>
        </w:rPr>
        <w:t xml:space="preserve"> Google Checkout</w:t>
      </w:r>
      <w:r w:rsidRPr="00C42B6F">
        <w:rPr>
          <w:rFonts w:ascii="Calibri" w:eastAsia="Times New Roman" w:hAnsi="Calibri" w:cs="Calibri"/>
        </w:rPr>
        <w:t xml:space="preserve"> payment method.</w:t>
      </w:r>
    </w:p>
    <w:p w:rsidR="009340DC" w:rsidRDefault="002F2837" w:rsidP="00C42B6F">
      <w:pPr>
        <w:numPr>
          <w:ilvl w:val="1"/>
          <w:numId w:val="5"/>
        </w:numPr>
        <w:spacing w:after="120" w:line="240" w:lineRule="auto"/>
        <w:textAlignment w:val="center"/>
        <w:rPr>
          <w:rFonts w:ascii="Calibri" w:eastAsia="Times New Roman" w:hAnsi="Calibri" w:cs="Calibri"/>
        </w:rPr>
      </w:pPr>
      <w:r w:rsidRPr="009340DC">
        <w:rPr>
          <w:rFonts w:ascii="Calibri" w:eastAsia="Times New Roman" w:hAnsi="Calibri" w:cs="Calibri"/>
        </w:rPr>
        <w:t xml:space="preserve">The website </w:t>
      </w:r>
      <w:r w:rsidR="00A14421" w:rsidRPr="009340DC">
        <w:rPr>
          <w:rFonts w:ascii="Calibri" w:eastAsia="Times New Roman" w:hAnsi="Calibri" w:cs="Calibri"/>
        </w:rPr>
        <w:t>calls</w:t>
      </w:r>
      <w:r w:rsidRPr="009340DC">
        <w:rPr>
          <w:rFonts w:ascii="Calibri" w:eastAsia="Times New Roman" w:hAnsi="Calibri" w:cs="Calibri"/>
        </w:rPr>
        <w:t xml:space="preserve"> the Payment Services Framework client library, which </w:t>
      </w:r>
      <w:r w:rsidR="00A14421" w:rsidRPr="009340DC">
        <w:rPr>
          <w:rFonts w:ascii="Calibri" w:eastAsia="Times New Roman" w:hAnsi="Calibri" w:cs="Calibri"/>
        </w:rPr>
        <w:t xml:space="preserve">invokes </w:t>
      </w:r>
      <w:r w:rsidR="009340DC" w:rsidRPr="009340DC">
        <w:rPr>
          <w:rFonts w:ascii="Calibri" w:eastAsia="Times New Roman" w:hAnsi="Calibri" w:cs="Calibri"/>
        </w:rPr>
        <w:t>an internal-facing REST service.  The internal service will submit a checkout request to Google.</w:t>
      </w:r>
    </w:p>
    <w:p w:rsidR="00A14421" w:rsidRDefault="009340DC" w:rsidP="00C42B6F">
      <w:pPr>
        <w:numPr>
          <w:ilvl w:val="1"/>
          <w:numId w:val="5"/>
        </w:numPr>
        <w:spacing w:after="120" w:line="240" w:lineRule="auto"/>
        <w:textAlignment w:val="center"/>
        <w:rPr>
          <w:rFonts w:ascii="Calibri" w:eastAsia="Times New Roman" w:hAnsi="Calibri" w:cs="Calibri"/>
        </w:rPr>
      </w:pPr>
      <w:r w:rsidRPr="009340DC">
        <w:rPr>
          <w:rFonts w:ascii="Calibri" w:eastAsia="Times New Roman" w:hAnsi="Calibri" w:cs="Calibri"/>
        </w:rPr>
        <w:t xml:space="preserve"> </w:t>
      </w:r>
      <w:r w:rsidR="00A14421" w:rsidRPr="009340DC">
        <w:rPr>
          <w:rFonts w:ascii="Calibri" w:eastAsia="Times New Roman" w:hAnsi="Calibri" w:cs="Calibri"/>
        </w:rPr>
        <w:t xml:space="preserve">When the Checkout Request is received, </w:t>
      </w:r>
      <w:r w:rsidR="00016C91" w:rsidRPr="00016C91">
        <w:rPr>
          <w:rFonts w:ascii="Calibri" w:eastAsia="Times New Roman" w:hAnsi="Calibri" w:cs="Calibri"/>
        </w:rPr>
        <w:t xml:space="preserve">Google validates the </w:t>
      </w:r>
      <w:r w:rsidR="00A14421" w:rsidRPr="009340DC">
        <w:rPr>
          <w:rFonts w:ascii="Calibri" w:eastAsia="Times New Roman" w:hAnsi="Calibri" w:cs="Calibri"/>
        </w:rPr>
        <w:t>information and synchronously responds with a url for the user to complete the checkout process.</w:t>
      </w:r>
      <w:r>
        <w:rPr>
          <w:rFonts w:ascii="Calibri" w:eastAsia="Times New Roman" w:hAnsi="Calibri" w:cs="Calibri"/>
        </w:rPr>
        <w:t xml:space="preserve">  This url is returned by the internal REST service to its caller.</w:t>
      </w:r>
    </w:p>
    <w:p w:rsidR="00A14421" w:rsidRDefault="00A14421" w:rsidP="00C42B6F">
      <w:pPr>
        <w:numPr>
          <w:ilvl w:val="1"/>
          <w:numId w:val="6"/>
        </w:numPr>
        <w:spacing w:after="120" w:line="240" w:lineRule="auto"/>
        <w:textAlignment w:val="center"/>
        <w:rPr>
          <w:rFonts w:ascii="Calibri" w:eastAsia="Times New Roman" w:hAnsi="Calibri" w:cs="Calibri"/>
        </w:rPr>
      </w:pPr>
      <w:r w:rsidRPr="00A14421">
        <w:rPr>
          <w:rFonts w:ascii="Calibri" w:eastAsia="Times New Roman" w:hAnsi="Calibri" w:cs="Calibri"/>
        </w:rPr>
        <w:t xml:space="preserve"> The e-commerce </w:t>
      </w:r>
      <w:r w:rsidR="00AD7E11">
        <w:rPr>
          <w:rFonts w:ascii="Calibri" w:eastAsia="Times New Roman" w:hAnsi="Calibri" w:cs="Calibri"/>
        </w:rPr>
        <w:t xml:space="preserve">site </w:t>
      </w:r>
      <w:r w:rsidR="009340DC">
        <w:rPr>
          <w:rFonts w:ascii="Calibri" w:eastAsia="Times New Roman" w:hAnsi="Calibri" w:cs="Calibri"/>
        </w:rPr>
        <w:t xml:space="preserve">uses the Google-supplied url that it receives from the Payment Services client library call and </w:t>
      </w:r>
      <w:r w:rsidRPr="00A14421">
        <w:rPr>
          <w:rFonts w:ascii="Calibri" w:eastAsia="Times New Roman" w:hAnsi="Calibri" w:cs="Calibri"/>
        </w:rPr>
        <w:t xml:space="preserve">redirects the customer </w:t>
      </w:r>
      <w:r w:rsidR="009340DC">
        <w:rPr>
          <w:rFonts w:ascii="Calibri" w:eastAsia="Times New Roman" w:hAnsi="Calibri" w:cs="Calibri"/>
        </w:rPr>
        <w:t>using a 302-type redirect.</w:t>
      </w:r>
    </w:p>
    <w:p w:rsidR="007775EE" w:rsidRPr="009340DC" w:rsidRDefault="00C42B6F" w:rsidP="009340DC">
      <w:pPr>
        <w:pStyle w:val="ListParagraph"/>
        <w:numPr>
          <w:ilvl w:val="1"/>
          <w:numId w:val="6"/>
        </w:numPr>
        <w:spacing w:after="0" w:line="240" w:lineRule="auto"/>
        <w:contextualSpacing w:val="0"/>
        <w:textAlignment w:val="center"/>
        <w:rPr>
          <w:rFonts w:ascii="Calibri" w:eastAsia="Times New Roman" w:hAnsi="Calibri" w:cs="Calibri"/>
          <w:b/>
        </w:rPr>
      </w:pPr>
      <w:r w:rsidRPr="009340DC">
        <w:rPr>
          <w:rFonts w:ascii="Calibri" w:eastAsia="Times New Roman" w:hAnsi="Calibri" w:cs="Calibri"/>
        </w:rPr>
        <w:lastRenderedPageBreak/>
        <w:t xml:space="preserve">During the process of checking out the customer, </w:t>
      </w:r>
      <w:r w:rsidR="001857A0" w:rsidRPr="009340DC">
        <w:rPr>
          <w:rFonts w:ascii="Calibri" w:eastAsia="Times New Roman" w:hAnsi="Calibri" w:cs="Calibri"/>
        </w:rPr>
        <w:t xml:space="preserve">the customer provides payment information to Google, which they will interpret and verify with the credit card companies.  As a part of the checkout process, </w:t>
      </w:r>
      <w:r w:rsidR="00016C91" w:rsidRPr="009340DC">
        <w:rPr>
          <w:rFonts w:ascii="Calibri" w:eastAsia="Times New Roman" w:hAnsi="Calibri" w:cs="Calibri"/>
        </w:rPr>
        <w:t xml:space="preserve">Google </w:t>
      </w:r>
      <w:r w:rsidRPr="009340DC">
        <w:rPr>
          <w:rFonts w:ascii="Calibri" w:eastAsia="Times New Roman" w:hAnsi="Calibri" w:cs="Calibri"/>
        </w:rPr>
        <w:t xml:space="preserve">will invoke </w:t>
      </w:r>
      <w:r w:rsidR="00AD7E11">
        <w:rPr>
          <w:rFonts w:ascii="Calibri" w:eastAsia="Times New Roman" w:hAnsi="Calibri" w:cs="Calibri"/>
        </w:rPr>
        <w:t>the external-facing</w:t>
      </w:r>
      <w:r w:rsidRPr="009340DC">
        <w:rPr>
          <w:rFonts w:ascii="Calibri" w:eastAsia="Times New Roman" w:hAnsi="Calibri" w:cs="Calibri"/>
        </w:rPr>
        <w:t xml:space="preserve"> REST service to calculate the taxes, shipping</w:t>
      </w:r>
      <w:r w:rsidR="001857A0" w:rsidRPr="009340DC">
        <w:rPr>
          <w:rFonts w:ascii="Calibri" w:eastAsia="Times New Roman" w:hAnsi="Calibri" w:cs="Calibri"/>
        </w:rPr>
        <w:t xml:space="preserve"> charges</w:t>
      </w:r>
      <w:r w:rsidRPr="009340DC">
        <w:rPr>
          <w:rFonts w:ascii="Calibri" w:eastAsia="Times New Roman" w:hAnsi="Calibri" w:cs="Calibri"/>
        </w:rPr>
        <w:t>, and discounts</w:t>
      </w:r>
      <w:r w:rsidR="001857A0" w:rsidRPr="009340DC">
        <w:rPr>
          <w:rFonts w:ascii="Calibri" w:eastAsia="Times New Roman" w:hAnsi="Calibri" w:cs="Calibri"/>
        </w:rPr>
        <w:t xml:space="preserve"> to apply to the order</w:t>
      </w:r>
      <w:r w:rsidRPr="009340DC">
        <w:rPr>
          <w:rFonts w:ascii="Calibri" w:eastAsia="Times New Roman" w:hAnsi="Calibri" w:cs="Calibri"/>
        </w:rPr>
        <w:t>.</w:t>
      </w:r>
      <w:r w:rsidR="00016C91" w:rsidRPr="00016C91">
        <w:rPr>
          <w:rFonts w:ascii="Calibri" w:eastAsia="Times New Roman" w:hAnsi="Calibri" w:cs="Calibri"/>
        </w:rPr>
        <w:t> </w:t>
      </w:r>
    </w:p>
    <w:p w:rsidR="009340DC" w:rsidRPr="009340DC" w:rsidRDefault="009340DC" w:rsidP="009340DC">
      <w:pPr>
        <w:spacing w:after="0" w:line="240" w:lineRule="auto"/>
        <w:ind w:left="1170"/>
        <w:textAlignment w:val="center"/>
        <w:rPr>
          <w:rFonts w:ascii="Calibri" w:eastAsia="Times New Roman" w:hAnsi="Calibri" w:cs="Calibri"/>
          <w:b/>
        </w:rPr>
      </w:pPr>
    </w:p>
    <w:p w:rsidR="00016C91" w:rsidRPr="00016C91" w:rsidRDefault="00016C91" w:rsidP="002F2837">
      <w:pPr>
        <w:numPr>
          <w:ilvl w:val="0"/>
          <w:numId w:val="9"/>
        </w:numPr>
        <w:spacing w:after="120" w:line="240" w:lineRule="auto"/>
        <w:ind w:left="1080"/>
        <w:textAlignment w:val="center"/>
        <w:rPr>
          <w:rFonts w:ascii="Calibri" w:eastAsia="Times New Roman" w:hAnsi="Calibri" w:cs="Calibri"/>
          <w:b/>
        </w:rPr>
      </w:pPr>
      <w:r w:rsidRPr="00016C91">
        <w:rPr>
          <w:rFonts w:ascii="Calibri" w:eastAsia="Times New Roman" w:hAnsi="Calibri" w:cs="Calibri"/>
          <w:b/>
        </w:rPr>
        <w:t>Acceptance</w:t>
      </w:r>
    </w:p>
    <w:p w:rsidR="00016C91" w:rsidRPr="00016C91" w:rsidRDefault="007775EE" w:rsidP="007775EE">
      <w:pPr>
        <w:numPr>
          <w:ilvl w:val="1"/>
          <w:numId w:val="10"/>
        </w:numPr>
        <w:spacing w:after="120" w:line="240" w:lineRule="auto"/>
        <w:textAlignment w:val="center"/>
        <w:rPr>
          <w:rFonts w:ascii="Calibri" w:eastAsia="Times New Roman" w:hAnsi="Calibri" w:cs="Calibri"/>
        </w:rPr>
      </w:pPr>
      <w:r>
        <w:rPr>
          <w:rFonts w:ascii="Calibri" w:eastAsia="Times New Roman" w:hAnsi="Calibri" w:cs="Calibri"/>
          <w:iCs/>
        </w:rPr>
        <w:t xml:space="preserve">Once the </w:t>
      </w:r>
      <w:r w:rsidR="00C022D5">
        <w:rPr>
          <w:rFonts w:ascii="Calibri" w:eastAsia="Times New Roman" w:hAnsi="Calibri" w:cs="Calibri"/>
          <w:iCs/>
        </w:rPr>
        <w:t>payment flow has been completed</w:t>
      </w:r>
      <w:r>
        <w:rPr>
          <w:rFonts w:ascii="Calibri" w:eastAsia="Times New Roman" w:hAnsi="Calibri" w:cs="Calibri"/>
          <w:iCs/>
        </w:rPr>
        <w:t xml:space="preserve">, Google will invoke </w:t>
      </w:r>
      <w:r w:rsidR="00AD7E11">
        <w:rPr>
          <w:rFonts w:ascii="Calibri" w:eastAsia="Times New Roman" w:hAnsi="Calibri" w:cs="Calibri"/>
          <w:iCs/>
        </w:rPr>
        <w:t>the public-facing</w:t>
      </w:r>
      <w:r>
        <w:rPr>
          <w:rFonts w:ascii="Calibri" w:eastAsia="Times New Roman" w:hAnsi="Calibri" w:cs="Calibri"/>
          <w:iCs/>
        </w:rPr>
        <w:t xml:space="preserve"> REST service to notify </w:t>
      </w:r>
      <w:r w:rsidR="00AD7E11">
        <w:rPr>
          <w:rFonts w:ascii="Calibri" w:eastAsia="Times New Roman" w:hAnsi="Calibri" w:cs="Calibri"/>
          <w:iCs/>
        </w:rPr>
        <w:t>[COMPANY]</w:t>
      </w:r>
      <w:r>
        <w:rPr>
          <w:rFonts w:ascii="Calibri" w:eastAsia="Times New Roman" w:hAnsi="Calibri" w:cs="Calibri"/>
          <w:iCs/>
        </w:rPr>
        <w:t xml:space="preserve"> that a new order has been placed.</w:t>
      </w:r>
      <w:r w:rsidR="00C2459C">
        <w:rPr>
          <w:rFonts w:ascii="Calibri" w:eastAsia="Times New Roman" w:hAnsi="Calibri" w:cs="Calibri"/>
          <w:iCs/>
        </w:rPr>
        <w:t xml:space="preserve">  The order notification is </w:t>
      </w:r>
      <w:r w:rsidR="00C022D5">
        <w:rPr>
          <w:rFonts w:ascii="Calibri" w:eastAsia="Times New Roman" w:hAnsi="Calibri" w:cs="Calibri"/>
          <w:iCs/>
        </w:rPr>
        <w:t>held</w:t>
      </w:r>
      <w:r w:rsidR="00AD7E11">
        <w:rPr>
          <w:rFonts w:ascii="Calibri" w:eastAsia="Times New Roman" w:hAnsi="Calibri" w:cs="Calibri"/>
          <w:iCs/>
        </w:rPr>
        <w:t xml:space="preserve"> in the staging database</w:t>
      </w:r>
      <w:r w:rsidR="00C2459C">
        <w:rPr>
          <w:rFonts w:ascii="Calibri" w:eastAsia="Times New Roman" w:hAnsi="Calibri" w:cs="Calibri"/>
          <w:iCs/>
        </w:rPr>
        <w:t xml:space="preserve"> for inclusion in </w:t>
      </w:r>
      <w:r w:rsidR="008E763A">
        <w:rPr>
          <w:rFonts w:ascii="Calibri" w:eastAsia="Times New Roman" w:hAnsi="Calibri" w:cs="Calibri"/>
          <w:iCs/>
        </w:rPr>
        <w:t>SAP</w:t>
      </w:r>
      <w:r w:rsidR="00C2459C">
        <w:rPr>
          <w:rFonts w:ascii="Calibri" w:eastAsia="Times New Roman" w:hAnsi="Calibri" w:cs="Calibri"/>
          <w:iCs/>
        </w:rPr>
        <w:t>’s order processing.</w:t>
      </w:r>
    </w:p>
    <w:p w:rsidR="00C2459C" w:rsidRPr="00016C91" w:rsidRDefault="007775EE" w:rsidP="00C2459C">
      <w:pPr>
        <w:numPr>
          <w:ilvl w:val="1"/>
          <w:numId w:val="10"/>
        </w:numPr>
        <w:spacing w:after="120" w:line="240" w:lineRule="auto"/>
        <w:textAlignment w:val="center"/>
        <w:rPr>
          <w:rFonts w:ascii="Calibri" w:eastAsia="Times New Roman" w:hAnsi="Calibri" w:cs="Calibri"/>
        </w:rPr>
      </w:pPr>
      <w:r>
        <w:rPr>
          <w:rFonts w:ascii="Calibri" w:eastAsia="Times New Roman" w:hAnsi="Calibri" w:cs="Calibri"/>
          <w:iCs/>
        </w:rPr>
        <w:t>After placement is complete, Google will perform a risk analysis on the customer and the order.  When this is complete, Google will invoke our REST service</w:t>
      </w:r>
      <w:r w:rsidR="00C2459C">
        <w:rPr>
          <w:rFonts w:ascii="Calibri" w:eastAsia="Times New Roman" w:hAnsi="Calibri" w:cs="Calibri"/>
          <w:iCs/>
        </w:rPr>
        <w:t xml:space="preserve"> and notify us of the result.  The results are staged for inclusion in </w:t>
      </w:r>
      <w:r w:rsidR="008E763A">
        <w:rPr>
          <w:rFonts w:ascii="Calibri" w:eastAsia="Times New Roman" w:hAnsi="Calibri" w:cs="Calibri"/>
          <w:iCs/>
        </w:rPr>
        <w:t>SAP</w:t>
      </w:r>
      <w:r w:rsidR="00C2459C">
        <w:rPr>
          <w:rFonts w:ascii="Calibri" w:eastAsia="Times New Roman" w:hAnsi="Calibri" w:cs="Calibri"/>
          <w:iCs/>
        </w:rPr>
        <w:t>’s order processing.</w:t>
      </w:r>
    </w:p>
    <w:p w:rsidR="00C2459C" w:rsidRDefault="00C2459C" w:rsidP="00C2459C">
      <w:pPr>
        <w:numPr>
          <w:ilvl w:val="1"/>
          <w:numId w:val="12"/>
        </w:numPr>
        <w:spacing w:after="0" w:line="240" w:lineRule="auto"/>
        <w:textAlignment w:val="center"/>
        <w:rPr>
          <w:rFonts w:ascii="Calibri" w:eastAsia="Times New Roman" w:hAnsi="Calibri" w:cs="Calibri"/>
        </w:rPr>
      </w:pPr>
      <w:r w:rsidRPr="00C2459C">
        <w:rPr>
          <w:rFonts w:ascii="Calibri" w:eastAsia="Times New Roman" w:hAnsi="Calibri" w:cs="Calibri"/>
        </w:rPr>
        <w:t xml:space="preserve">The charge is authorized by the credit card company and Google.  Google will invoke </w:t>
      </w:r>
      <w:r w:rsidR="004B5DBF">
        <w:rPr>
          <w:rFonts w:ascii="Calibri" w:eastAsia="Times New Roman" w:hAnsi="Calibri" w:cs="Calibri"/>
        </w:rPr>
        <w:t>the external-facing</w:t>
      </w:r>
      <w:r w:rsidRPr="00C2459C">
        <w:rPr>
          <w:rFonts w:ascii="Calibri" w:eastAsia="Times New Roman" w:hAnsi="Calibri" w:cs="Calibri"/>
        </w:rPr>
        <w:t xml:space="preserve"> REST service and notify </w:t>
      </w:r>
      <w:r w:rsidR="004B5DBF">
        <w:rPr>
          <w:rFonts w:ascii="Calibri" w:eastAsia="Times New Roman" w:hAnsi="Calibri" w:cs="Calibri"/>
        </w:rPr>
        <w:t>[COMPANY]</w:t>
      </w:r>
      <w:r w:rsidRPr="00C2459C">
        <w:rPr>
          <w:rFonts w:ascii="Calibri" w:eastAsia="Times New Roman" w:hAnsi="Calibri" w:cs="Calibri"/>
        </w:rPr>
        <w:t xml:space="preserve"> that the order is chargeable.   This notification is for inclusion in </w:t>
      </w:r>
      <w:r w:rsidR="008E763A">
        <w:rPr>
          <w:rFonts w:ascii="Calibri" w:eastAsia="Times New Roman" w:hAnsi="Calibri" w:cs="Calibri"/>
        </w:rPr>
        <w:t>SAP</w:t>
      </w:r>
      <w:r w:rsidRPr="00C2459C">
        <w:rPr>
          <w:rFonts w:ascii="Calibri" w:eastAsia="Times New Roman" w:hAnsi="Calibri" w:cs="Calibri"/>
        </w:rPr>
        <w:t>’s order processing.  The authorization is valid for 168 hours (7 days) once this notification is sent.</w:t>
      </w:r>
      <w:r>
        <w:rPr>
          <w:rFonts w:ascii="Calibri" w:eastAsia="Times New Roman" w:hAnsi="Calibri" w:cs="Calibri"/>
        </w:rPr>
        <w:t xml:space="preserve">  </w:t>
      </w:r>
    </w:p>
    <w:p w:rsidR="00016C91" w:rsidRPr="00016C91" w:rsidRDefault="00016C91" w:rsidP="00C2459C">
      <w:pPr>
        <w:spacing w:after="0" w:line="240" w:lineRule="auto"/>
        <w:ind w:left="1260"/>
        <w:textAlignment w:val="center"/>
        <w:rPr>
          <w:rFonts w:ascii="Calibri" w:eastAsia="Times New Roman" w:hAnsi="Calibri" w:cs="Calibri"/>
        </w:rPr>
      </w:pPr>
      <w:r w:rsidRPr="00016C91">
        <w:rPr>
          <w:rFonts w:ascii="Calibri" w:eastAsia="Times New Roman" w:hAnsi="Calibri" w:cs="Calibri"/>
        </w:rPr>
        <w:t> </w:t>
      </w:r>
    </w:p>
    <w:p w:rsidR="00016C91" w:rsidRPr="00016C91" w:rsidRDefault="00016C91" w:rsidP="002F2837">
      <w:pPr>
        <w:numPr>
          <w:ilvl w:val="0"/>
          <w:numId w:val="13"/>
        </w:numPr>
        <w:spacing w:after="120" w:line="240" w:lineRule="auto"/>
        <w:ind w:left="1080"/>
        <w:textAlignment w:val="center"/>
        <w:rPr>
          <w:rFonts w:ascii="Calibri" w:eastAsia="Times New Roman" w:hAnsi="Calibri" w:cs="Calibri"/>
          <w:b/>
        </w:rPr>
      </w:pPr>
      <w:r w:rsidRPr="00016C91">
        <w:rPr>
          <w:rFonts w:ascii="Calibri" w:eastAsia="Times New Roman" w:hAnsi="Calibri" w:cs="Calibri"/>
          <w:b/>
        </w:rPr>
        <w:t>Charging</w:t>
      </w:r>
    </w:p>
    <w:p w:rsidR="00016C91" w:rsidRPr="00016C91" w:rsidRDefault="008E763A" w:rsidP="00D57032">
      <w:pPr>
        <w:numPr>
          <w:ilvl w:val="1"/>
          <w:numId w:val="14"/>
        </w:numPr>
        <w:spacing w:after="120" w:line="240" w:lineRule="auto"/>
        <w:textAlignment w:val="center"/>
        <w:rPr>
          <w:rFonts w:ascii="Calibri" w:eastAsia="Times New Roman" w:hAnsi="Calibri" w:cs="Calibri"/>
        </w:rPr>
      </w:pPr>
      <w:r>
        <w:rPr>
          <w:rFonts w:ascii="Calibri" w:eastAsia="Times New Roman" w:hAnsi="Calibri" w:cs="Calibri"/>
        </w:rPr>
        <w:t>SAP</w:t>
      </w:r>
      <w:r w:rsidR="00531840">
        <w:rPr>
          <w:rFonts w:ascii="Calibri" w:eastAsia="Times New Roman" w:hAnsi="Calibri" w:cs="Calibri"/>
        </w:rPr>
        <w:t xml:space="preserve"> stages a request to charge the order into the staging database, which is read by the polling job.  The job will invoke an internal-facing REST service which issues the request to Google to charge the order.  According to the merchant agreement, the customer may only be charged when the order is ready to ship.  Partial charges may be placed</w:t>
      </w:r>
      <w:r w:rsidR="00016C91" w:rsidRPr="00016C91">
        <w:rPr>
          <w:rFonts w:ascii="Calibri" w:eastAsia="Times New Roman" w:hAnsi="Calibri" w:cs="Calibri"/>
        </w:rPr>
        <w:t>.</w:t>
      </w:r>
    </w:p>
    <w:p w:rsidR="00531840" w:rsidRDefault="00531840" w:rsidP="00531840">
      <w:pPr>
        <w:numPr>
          <w:ilvl w:val="1"/>
          <w:numId w:val="15"/>
        </w:numPr>
        <w:spacing w:after="120" w:line="240" w:lineRule="auto"/>
        <w:textAlignment w:val="center"/>
        <w:rPr>
          <w:rFonts w:ascii="Calibri" w:eastAsia="Times New Roman" w:hAnsi="Calibri" w:cs="Calibri"/>
        </w:rPr>
      </w:pPr>
      <w:r>
        <w:rPr>
          <w:rFonts w:ascii="Calibri" w:eastAsia="Times New Roman" w:hAnsi="Calibri" w:cs="Calibri"/>
        </w:rPr>
        <w:t xml:space="preserve">Google will acknowledge receiving the charge request by invoking </w:t>
      </w:r>
      <w:r w:rsidR="004B5DBF">
        <w:rPr>
          <w:rFonts w:ascii="Calibri" w:eastAsia="Times New Roman" w:hAnsi="Calibri" w:cs="Calibri"/>
        </w:rPr>
        <w:t>the public-facing</w:t>
      </w:r>
      <w:r>
        <w:rPr>
          <w:rFonts w:ascii="Calibri" w:eastAsia="Times New Roman" w:hAnsi="Calibri" w:cs="Calibri"/>
        </w:rPr>
        <w:t xml:space="preserve"> REST service.  This notification will be staged for inclusion in </w:t>
      </w:r>
      <w:r w:rsidR="008E763A">
        <w:rPr>
          <w:rFonts w:ascii="Calibri" w:eastAsia="Times New Roman" w:hAnsi="Calibri" w:cs="Calibri"/>
        </w:rPr>
        <w:t>SAP</w:t>
      </w:r>
      <w:r>
        <w:rPr>
          <w:rFonts w:ascii="Calibri" w:eastAsia="Times New Roman" w:hAnsi="Calibri" w:cs="Calibri"/>
        </w:rPr>
        <w:t>.</w:t>
      </w:r>
    </w:p>
    <w:p w:rsidR="000D326C" w:rsidRDefault="00531840" w:rsidP="000D326C">
      <w:pPr>
        <w:numPr>
          <w:ilvl w:val="1"/>
          <w:numId w:val="15"/>
        </w:numPr>
        <w:spacing w:after="0" w:line="240" w:lineRule="auto"/>
        <w:textAlignment w:val="center"/>
        <w:rPr>
          <w:rFonts w:ascii="Calibri" w:eastAsia="Times New Roman" w:hAnsi="Calibri" w:cs="Calibri"/>
        </w:rPr>
      </w:pPr>
      <w:r>
        <w:rPr>
          <w:rFonts w:ascii="Calibri" w:eastAsia="Times New Roman" w:hAnsi="Calibri" w:cs="Calibri"/>
        </w:rPr>
        <w:t xml:space="preserve">Google will make an attempt to charge the order, as requested.  Upon completion, Google will invoke two of our REST service endpoints.  The first serves to notify us of the result of the attempt, the second notifies us of the amount charged.  Both of these notifications will be staged for inclusion in </w:t>
      </w:r>
      <w:r w:rsidR="008E763A">
        <w:rPr>
          <w:rFonts w:ascii="Calibri" w:eastAsia="Times New Roman" w:hAnsi="Calibri" w:cs="Calibri"/>
        </w:rPr>
        <w:t>SAP</w:t>
      </w:r>
      <w:r>
        <w:rPr>
          <w:rFonts w:ascii="Calibri" w:eastAsia="Times New Roman" w:hAnsi="Calibri" w:cs="Calibri"/>
        </w:rPr>
        <w:t>.</w:t>
      </w:r>
    </w:p>
    <w:p w:rsidR="00016C91" w:rsidRPr="00016C91" w:rsidRDefault="00016C91" w:rsidP="000D326C">
      <w:pPr>
        <w:spacing w:after="120" w:line="240" w:lineRule="auto"/>
        <w:ind w:left="1080"/>
        <w:textAlignment w:val="center"/>
        <w:rPr>
          <w:rFonts w:ascii="Calibri" w:eastAsia="Times New Roman" w:hAnsi="Calibri" w:cs="Calibri"/>
        </w:rPr>
      </w:pPr>
    </w:p>
    <w:p w:rsidR="00016C91" w:rsidRPr="00016C91" w:rsidRDefault="00016C91" w:rsidP="002F2837">
      <w:pPr>
        <w:numPr>
          <w:ilvl w:val="0"/>
          <w:numId w:val="18"/>
        </w:numPr>
        <w:spacing w:after="120" w:line="240" w:lineRule="auto"/>
        <w:ind w:left="1080"/>
        <w:textAlignment w:val="center"/>
        <w:rPr>
          <w:rFonts w:ascii="Calibri" w:eastAsia="Times New Roman" w:hAnsi="Calibri" w:cs="Calibri"/>
          <w:b/>
        </w:rPr>
      </w:pPr>
      <w:r w:rsidRPr="00016C91">
        <w:rPr>
          <w:rFonts w:ascii="Calibri" w:eastAsia="Times New Roman" w:hAnsi="Calibri" w:cs="Calibri"/>
          <w:b/>
        </w:rPr>
        <w:t>Shipping</w:t>
      </w:r>
    </w:p>
    <w:p w:rsidR="00016C91" w:rsidRPr="00016C91" w:rsidRDefault="0050296F" w:rsidP="0050296F">
      <w:pPr>
        <w:numPr>
          <w:ilvl w:val="1"/>
          <w:numId w:val="19"/>
        </w:numPr>
        <w:spacing w:after="120" w:line="240" w:lineRule="auto"/>
        <w:textAlignment w:val="center"/>
        <w:rPr>
          <w:rFonts w:ascii="Calibri" w:eastAsia="Times New Roman" w:hAnsi="Calibri" w:cs="Calibri"/>
        </w:rPr>
      </w:pPr>
      <w:r>
        <w:rPr>
          <w:rFonts w:ascii="Calibri" w:eastAsia="Times New Roman" w:hAnsi="Calibri" w:cs="Calibri"/>
        </w:rPr>
        <w:t xml:space="preserve">Once the order is shipped, </w:t>
      </w:r>
      <w:r w:rsidR="008E763A">
        <w:rPr>
          <w:rFonts w:ascii="Calibri" w:eastAsia="Times New Roman" w:hAnsi="Calibri" w:cs="Calibri"/>
        </w:rPr>
        <w:t>SAP</w:t>
      </w:r>
      <w:r>
        <w:rPr>
          <w:rFonts w:ascii="Calibri" w:eastAsia="Times New Roman" w:hAnsi="Calibri" w:cs="Calibri"/>
        </w:rPr>
        <w:t xml:space="preserve"> will stage an update to that effect.  The polling job will receive this update and invoke an internal-facing REST service which passes the notification to Google.</w:t>
      </w:r>
    </w:p>
    <w:p w:rsidR="0050296F" w:rsidRDefault="0050296F" w:rsidP="0050296F">
      <w:pPr>
        <w:numPr>
          <w:ilvl w:val="1"/>
          <w:numId w:val="20"/>
        </w:numPr>
        <w:spacing w:after="0" w:line="240" w:lineRule="auto"/>
        <w:textAlignment w:val="center"/>
        <w:rPr>
          <w:rFonts w:ascii="Calibri" w:eastAsia="Times New Roman" w:hAnsi="Calibri" w:cs="Calibri"/>
        </w:rPr>
      </w:pPr>
      <w:r>
        <w:rPr>
          <w:rFonts w:ascii="Calibri" w:eastAsia="Times New Roman" w:hAnsi="Calibri" w:cs="Calibri"/>
        </w:rPr>
        <w:t xml:space="preserve">Google will acknowledge this update by invoking our REST service with an update to the order status.  This will be staged for inclusion in </w:t>
      </w:r>
      <w:r w:rsidR="008E763A">
        <w:rPr>
          <w:rFonts w:ascii="Calibri" w:eastAsia="Times New Roman" w:hAnsi="Calibri" w:cs="Calibri"/>
        </w:rPr>
        <w:t>SAP</w:t>
      </w:r>
      <w:r>
        <w:rPr>
          <w:rFonts w:ascii="Calibri" w:eastAsia="Times New Roman" w:hAnsi="Calibri" w:cs="Calibri"/>
        </w:rPr>
        <w:t>.</w:t>
      </w:r>
    </w:p>
    <w:p w:rsidR="00016C91" w:rsidRPr="0050296F" w:rsidRDefault="00016C91" w:rsidP="0050296F">
      <w:pPr>
        <w:spacing w:after="120" w:line="240" w:lineRule="auto"/>
        <w:ind w:left="1800"/>
        <w:textAlignment w:val="center"/>
        <w:rPr>
          <w:rFonts w:ascii="Calibri" w:eastAsia="Times New Roman" w:hAnsi="Calibri" w:cs="Calibri"/>
        </w:rPr>
      </w:pPr>
    </w:p>
    <w:p w:rsidR="00016C91" w:rsidRPr="00016C91" w:rsidRDefault="00016C91" w:rsidP="00EF35F7">
      <w:pPr>
        <w:numPr>
          <w:ilvl w:val="0"/>
          <w:numId w:val="22"/>
        </w:numPr>
        <w:spacing w:after="120" w:line="240" w:lineRule="auto"/>
        <w:ind w:left="1080"/>
        <w:textAlignment w:val="center"/>
        <w:rPr>
          <w:rFonts w:ascii="Calibri" w:eastAsia="Times New Roman" w:hAnsi="Calibri" w:cs="Calibri"/>
          <w:b/>
        </w:rPr>
      </w:pPr>
      <w:r w:rsidRPr="00016C91">
        <w:rPr>
          <w:rFonts w:ascii="Calibri" w:eastAsia="Times New Roman" w:hAnsi="Calibri" w:cs="Calibri"/>
          <w:b/>
        </w:rPr>
        <w:t>Completion</w:t>
      </w:r>
    </w:p>
    <w:p w:rsidR="00F0505D" w:rsidRDefault="00EF35F7" w:rsidP="00EF35F7">
      <w:pPr>
        <w:numPr>
          <w:ilvl w:val="1"/>
          <w:numId w:val="23"/>
        </w:numPr>
        <w:spacing w:after="120" w:line="240" w:lineRule="auto"/>
        <w:textAlignment w:val="center"/>
      </w:pPr>
      <w:r>
        <w:rPr>
          <w:rFonts w:ascii="Calibri" w:eastAsia="Times New Roman" w:hAnsi="Calibri" w:cs="Calibri"/>
        </w:rPr>
        <w:t xml:space="preserve">Once the order has been closed, </w:t>
      </w:r>
      <w:r w:rsidR="008E763A">
        <w:rPr>
          <w:rFonts w:ascii="Calibri" w:eastAsia="Times New Roman" w:hAnsi="Calibri" w:cs="Calibri"/>
        </w:rPr>
        <w:t>SAP</w:t>
      </w:r>
      <w:r>
        <w:rPr>
          <w:rFonts w:ascii="Calibri" w:eastAsia="Times New Roman" w:hAnsi="Calibri" w:cs="Calibri"/>
        </w:rPr>
        <w:t xml:space="preserve"> will stage an update to that effect.  The polling job will receive this update and invoke an internal facing REST service which requests that Google archive the order</w:t>
      </w:r>
      <w:r w:rsidR="00016C91" w:rsidRPr="00016C91">
        <w:rPr>
          <w:rFonts w:ascii="Calibri" w:eastAsia="Times New Roman" w:hAnsi="Calibri" w:cs="Calibri"/>
        </w:rPr>
        <w:t>.</w:t>
      </w:r>
      <w:r w:rsidRPr="00016C91">
        <w:t xml:space="preserve"> </w:t>
      </w:r>
    </w:p>
    <w:p w:rsidR="00F0505D" w:rsidRDefault="00F0505D" w:rsidP="00F0505D">
      <w:r>
        <w:br w:type="page"/>
      </w:r>
    </w:p>
    <w:p w:rsidR="002C40CF" w:rsidRDefault="002C40CF" w:rsidP="002C40CF">
      <w:pPr>
        <w:pStyle w:val="Heading1"/>
        <w:sectPr w:rsidR="002C40CF" w:rsidSect="002C40CF">
          <w:pgSz w:w="12240" w:h="15840"/>
          <w:pgMar w:top="1440" w:right="1440" w:bottom="1440" w:left="1440" w:header="720" w:footer="720" w:gutter="0"/>
          <w:cols w:space="720"/>
          <w:docGrid w:linePitch="360"/>
        </w:sectPr>
      </w:pPr>
    </w:p>
    <w:p w:rsidR="002C40CF" w:rsidRDefault="002C40CF" w:rsidP="00785EDB">
      <w:pPr>
        <w:pStyle w:val="Heading1"/>
        <w:spacing w:before="0" w:after="240"/>
      </w:pPr>
      <w:r>
        <w:lastRenderedPageBreak/>
        <w:t>High Level Integration Flow</w:t>
      </w:r>
      <w:bookmarkStart w:id="0" w:name="_GoBack"/>
      <w:bookmarkEnd w:id="0"/>
    </w:p>
    <w:p w:rsidR="002C40CF" w:rsidRPr="002C40CF" w:rsidRDefault="002C40CF" w:rsidP="00785EDB">
      <w:pPr>
        <w:jc w:val="center"/>
      </w:pPr>
      <w:r>
        <w:rPr>
          <w:noProof/>
        </w:rPr>
        <w:drawing>
          <wp:inline distT="0" distB="0" distL="0" distR="0">
            <wp:extent cx="9326070" cy="5162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in-D-_Projects_Personal_Portfilio-WIP_candidates_Google-Checkout_High-Level-Archit.png"/>
                    <pic:cNvPicPr/>
                  </pic:nvPicPr>
                  <pic:blipFill>
                    <a:blip r:embed="rId5">
                      <a:extLst>
                        <a:ext uri="{28A0092B-C50C-407E-A947-70E740481C1C}">
                          <a14:useLocalDpi xmlns:a14="http://schemas.microsoft.com/office/drawing/2010/main" val="0"/>
                        </a:ext>
                      </a:extLst>
                    </a:blip>
                    <a:stretch>
                      <a:fillRect/>
                    </a:stretch>
                  </pic:blipFill>
                  <pic:spPr>
                    <a:xfrm>
                      <a:off x="0" y="0"/>
                      <a:ext cx="9339333" cy="5169892"/>
                    </a:xfrm>
                    <a:prstGeom prst="rect">
                      <a:avLst/>
                    </a:prstGeom>
                  </pic:spPr>
                </pic:pic>
              </a:graphicData>
            </a:graphic>
          </wp:inline>
        </w:drawing>
      </w:r>
    </w:p>
    <w:sectPr w:rsidR="002C40CF" w:rsidRPr="002C40CF" w:rsidSect="00785EDB">
      <w:pgSz w:w="15840" w:h="12240" w:orient="landscape" w:code="1"/>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EAB"/>
    <w:multiLevelType w:val="hybridMultilevel"/>
    <w:tmpl w:val="5844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C6F5C"/>
    <w:multiLevelType w:val="multilevel"/>
    <w:tmpl w:val="BAA857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15DB4"/>
    <w:multiLevelType w:val="multilevel"/>
    <w:tmpl w:val="84726848"/>
    <w:lvl w:ilvl="0">
      <w:start w:val="1"/>
      <w:numFmt w:val="decimal"/>
      <w:lvlText w:val="%1."/>
      <w:lvlJc w:val="left"/>
      <w:pPr>
        <w:tabs>
          <w:tab w:val="num" w:pos="720"/>
        </w:tabs>
        <w:ind w:left="720" w:hanging="360"/>
      </w:pPr>
    </w:lvl>
    <w:lvl w:ilvl="1">
      <w:start w:val="1"/>
      <w:numFmt w:val="lowerLetter"/>
      <w:lvlText w:val="%2."/>
      <w:lvlJc w:val="left"/>
      <w:pPr>
        <w:tabs>
          <w:tab w:val="num" w:pos="1530"/>
        </w:tabs>
        <w:ind w:left="153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F6EE7"/>
    <w:multiLevelType w:val="multilevel"/>
    <w:tmpl w:val="E97006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5563F"/>
    <w:multiLevelType w:val="multilevel"/>
    <w:tmpl w:val="F746DD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825BDC"/>
    <w:multiLevelType w:val="multilevel"/>
    <w:tmpl w:val="BCEC30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1"/>
    </w:lvlOverride>
  </w:num>
  <w:num w:numId="3">
    <w:abstractNumId w:val="2"/>
    <w:lvlOverride w:ilvl="0"/>
    <w:lvlOverride w:ilvl="1">
      <w:startOverride w:val="2"/>
    </w:lvlOverride>
  </w:num>
  <w:num w:numId="4">
    <w:abstractNumId w:val="2"/>
    <w:lvlOverride w:ilvl="0"/>
    <w:lvlOverride w:ilvl="1">
      <w:startOverride w:val="3"/>
    </w:lvlOverride>
  </w:num>
  <w:num w:numId="5">
    <w:abstractNumId w:val="2"/>
  </w:num>
  <w:num w:numId="6">
    <w:abstractNumId w:val="2"/>
  </w:num>
  <w:num w:numId="7">
    <w:abstractNumId w:val="2"/>
    <w:lvlOverride w:ilvl="0"/>
    <w:lvlOverride w:ilvl="1">
      <w:startOverride w:val="6"/>
    </w:lvlOverride>
  </w:num>
  <w:num w:numId="8">
    <w:abstractNumId w:val="2"/>
    <w:lvlOverride w:ilvl="0"/>
    <w:lvlOverride w:ilvl="1">
      <w:startOverride w:val="7"/>
    </w:lvlOverride>
  </w:num>
  <w:num w:numId="9">
    <w:abstractNumId w:val="3"/>
    <w:lvlOverride w:ilvl="0">
      <w:startOverride w:val="2"/>
    </w:lvlOverride>
  </w:num>
  <w:num w:numId="10">
    <w:abstractNumId w:val="3"/>
    <w:lvlOverride w:ilvl="0"/>
    <w:lvlOverride w:ilvl="1">
      <w:startOverride w:val="1"/>
    </w:lvlOverride>
  </w:num>
  <w:num w:numId="11">
    <w:abstractNumId w:val="3"/>
    <w:lvlOverride w:ilvl="0"/>
    <w:lvlOverride w:ilvl="1">
      <w:startOverride w:val="2"/>
    </w:lvlOverride>
  </w:num>
  <w:num w:numId="12">
    <w:abstractNumId w:val="3"/>
    <w:lvlOverride w:ilvl="0"/>
    <w:lvlOverride w:ilvl="1">
      <w:startOverride w:val="3"/>
    </w:lvlOverride>
  </w:num>
  <w:num w:numId="13">
    <w:abstractNumId w:val="5"/>
    <w:lvlOverride w:ilvl="0">
      <w:startOverride w:val="3"/>
    </w:lvlOverride>
  </w:num>
  <w:num w:numId="14">
    <w:abstractNumId w:val="5"/>
    <w:lvlOverride w:ilvl="0"/>
    <w:lvlOverride w:ilvl="1">
      <w:startOverride w:val="1"/>
    </w:lvlOverride>
  </w:num>
  <w:num w:numId="15">
    <w:abstractNumId w:val="5"/>
    <w:lvlOverride w:ilvl="0"/>
    <w:lvlOverride w:ilvl="1">
      <w:startOverride w:val="2"/>
    </w:lvlOverride>
  </w:num>
  <w:num w:numId="16">
    <w:abstractNumId w:val="5"/>
    <w:lvlOverride w:ilvl="0"/>
    <w:lvlOverride w:ilvl="1">
      <w:startOverride w:val="3"/>
    </w:lvlOverride>
  </w:num>
  <w:num w:numId="17">
    <w:abstractNumId w:val="5"/>
    <w:lvlOverride w:ilvl="0"/>
    <w:lvlOverride w:ilvl="1">
      <w:startOverride w:val="4"/>
    </w:lvlOverride>
  </w:num>
  <w:num w:numId="18">
    <w:abstractNumId w:val="4"/>
    <w:lvlOverride w:ilvl="0">
      <w:startOverride w:val="4"/>
    </w:lvlOverride>
  </w:num>
  <w:num w:numId="19">
    <w:abstractNumId w:val="4"/>
    <w:lvlOverride w:ilvl="0"/>
    <w:lvlOverride w:ilvl="1">
      <w:startOverride w:val="1"/>
    </w:lvlOverride>
  </w:num>
  <w:num w:numId="20">
    <w:abstractNumId w:val="4"/>
  </w:num>
  <w:num w:numId="21">
    <w:abstractNumId w:val="4"/>
    <w:lvlOverride w:ilvl="0"/>
    <w:lvlOverride w:ilvl="1">
      <w:startOverride w:val="3"/>
    </w:lvlOverride>
  </w:num>
  <w:num w:numId="22">
    <w:abstractNumId w:val="1"/>
    <w:lvlOverride w:ilvl="0">
      <w:startOverride w:val="5"/>
    </w:lvlOverride>
  </w:num>
  <w:num w:numId="23">
    <w:abstractNumId w:val="1"/>
    <w:lvlOverride w:ilvl="0"/>
    <w:lvlOverride w:ilvl="1">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12751"/>
    <w:rsid w:val="00016C91"/>
    <w:rsid w:val="000D326C"/>
    <w:rsid w:val="000E1EC1"/>
    <w:rsid w:val="001857A0"/>
    <w:rsid w:val="002C40CF"/>
    <w:rsid w:val="002D5C1B"/>
    <w:rsid w:val="002F2837"/>
    <w:rsid w:val="004B5DBF"/>
    <w:rsid w:val="0050296F"/>
    <w:rsid w:val="00531840"/>
    <w:rsid w:val="006E7430"/>
    <w:rsid w:val="007004FE"/>
    <w:rsid w:val="007775EE"/>
    <w:rsid w:val="00785EDB"/>
    <w:rsid w:val="0079517D"/>
    <w:rsid w:val="0083621A"/>
    <w:rsid w:val="008E763A"/>
    <w:rsid w:val="00931B7D"/>
    <w:rsid w:val="009340DC"/>
    <w:rsid w:val="00A14421"/>
    <w:rsid w:val="00AD7E11"/>
    <w:rsid w:val="00B12751"/>
    <w:rsid w:val="00C022D5"/>
    <w:rsid w:val="00C11A3E"/>
    <w:rsid w:val="00C2459C"/>
    <w:rsid w:val="00C42B6F"/>
    <w:rsid w:val="00D57032"/>
    <w:rsid w:val="00EA5E39"/>
    <w:rsid w:val="00EF35F7"/>
    <w:rsid w:val="00F0505D"/>
    <w:rsid w:val="00F76FC2"/>
    <w:rsid w:val="00FD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20ACF-E89A-4028-B9DB-9DB65C1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B7D"/>
  </w:style>
  <w:style w:type="paragraph" w:styleId="Heading1">
    <w:name w:val="heading 1"/>
    <w:basedOn w:val="Normal"/>
    <w:next w:val="Normal"/>
    <w:link w:val="Heading1Char"/>
    <w:uiPriority w:val="9"/>
    <w:qFormat/>
    <w:rsid w:val="00B1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7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7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1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751"/>
    <w:rPr>
      <w:rFonts w:ascii="Tahoma" w:hAnsi="Tahoma" w:cs="Tahoma"/>
      <w:sz w:val="16"/>
      <w:szCs w:val="16"/>
    </w:rPr>
  </w:style>
  <w:style w:type="character" w:customStyle="1" w:styleId="Heading2Char">
    <w:name w:val="Heading 2 Char"/>
    <w:basedOn w:val="DefaultParagraphFont"/>
    <w:link w:val="Heading2"/>
    <w:uiPriority w:val="9"/>
    <w:rsid w:val="00B1275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1275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16C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Squire</dc:creator>
  <cp:lastModifiedBy>Jesse Squire</cp:lastModifiedBy>
  <cp:revision>14</cp:revision>
  <dcterms:created xsi:type="dcterms:W3CDTF">2010-05-06T13:24:00Z</dcterms:created>
  <dcterms:modified xsi:type="dcterms:W3CDTF">2015-02-22T22:04:00Z</dcterms:modified>
</cp:coreProperties>
</file>