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BFC04E" w14:textId="77777777" w:rsidR="00C14149" w:rsidRPr="00740AE0" w:rsidRDefault="00C14149" w:rsidP="00C14149">
      <w:pPr>
        <w:spacing w:after="100"/>
      </w:pPr>
      <w:bookmarkStart w:id="0" w:name="_GoBack"/>
      <w:bookmarkEnd w:id="0"/>
      <w:r w:rsidRPr="00740AE0">
        <w:rPr>
          <w:sz w:val="48"/>
          <w:szCs w:val="48"/>
        </w:rPr>
        <w:t>Graph Neural Network Modeling of the Structural Brain Connectome for Uncertainty-Aware Age Estimation</w:t>
      </w:r>
    </w:p>
    <w:p w14:paraId="7BC24B98" w14:textId="77777777" w:rsidR="00D7522C" w:rsidRDefault="00D7522C" w:rsidP="003B4E04">
      <w:pPr>
        <w:pStyle w:val="Author"/>
        <w:spacing w:before="100" w:beforeAutospacing="1" w:after="100" w:afterAutospacing="1" w:line="120" w:lineRule="auto"/>
        <w:rPr>
          <w:sz w:val="16"/>
          <w:szCs w:val="16"/>
        </w:rPr>
      </w:pPr>
    </w:p>
    <w:p w14:paraId="67DAF94F"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69B3113" w14:textId="77777777" w:rsidR="006F0886" w:rsidRPr="00F0121B" w:rsidRDefault="006F0886" w:rsidP="006F0886">
      <w:pPr>
        <w:rPr>
          <w:sz w:val="18"/>
          <w:szCs w:val="18"/>
        </w:rPr>
      </w:pPr>
      <w:proofErr w:type="spellStart"/>
      <w:r w:rsidRPr="00F0121B">
        <w:rPr>
          <w:sz w:val="18"/>
          <w:szCs w:val="18"/>
        </w:rPr>
        <w:lastRenderedPageBreak/>
        <w:t>Jangam</w:t>
      </w:r>
      <w:proofErr w:type="spellEnd"/>
      <w:r w:rsidRPr="00F0121B">
        <w:rPr>
          <w:sz w:val="18"/>
          <w:szCs w:val="18"/>
        </w:rPr>
        <w:t xml:space="preserve"> </w:t>
      </w:r>
      <w:proofErr w:type="spellStart"/>
      <w:r w:rsidRPr="00F0121B">
        <w:rPr>
          <w:sz w:val="18"/>
          <w:szCs w:val="18"/>
        </w:rPr>
        <w:t>Subbarayudu</w:t>
      </w:r>
      <w:proofErr w:type="spellEnd"/>
    </w:p>
    <w:p w14:paraId="1AB69CE4" w14:textId="77777777" w:rsidR="006F0886" w:rsidRPr="00F0121B" w:rsidRDefault="006F0886" w:rsidP="006F0886">
      <w:pPr>
        <w:rPr>
          <w:i/>
          <w:iCs/>
          <w:sz w:val="18"/>
          <w:szCs w:val="18"/>
        </w:rPr>
      </w:pPr>
      <w:r w:rsidRPr="00F0121B">
        <w:rPr>
          <w:i/>
          <w:iCs/>
          <w:sz w:val="18"/>
          <w:szCs w:val="18"/>
        </w:rPr>
        <w:t>Computer Science and Engineering</w:t>
      </w:r>
    </w:p>
    <w:p w14:paraId="6AAD9B63" w14:textId="77777777" w:rsidR="006F0886" w:rsidRPr="00F0121B" w:rsidRDefault="006F0886" w:rsidP="006F0886">
      <w:pPr>
        <w:rPr>
          <w:i/>
          <w:iCs/>
          <w:sz w:val="18"/>
          <w:szCs w:val="18"/>
        </w:rPr>
      </w:pPr>
      <w:r w:rsidRPr="00F0121B">
        <w:rPr>
          <w:i/>
          <w:iCs/>
          <w:sz w:val="18"/>
          <w:szCs w:val="18"/>
        </w:rPr>
        <w:t>SIMATS Engineering</w:t>
      </w:r>
    </w:p>
    <w:p w14:paraId="212F0686" w14:textId="77777777" w:rsidR="006F0886" w:rsidRPr="00F0121B" w:rsidRDefault="006F0886" w:rsidP="006F0886">
      <w:pPr>
        <w:rPr>
          <w:i/>
          <w:iCs/>
          <w:sz w:val="18"/>
          <w:szCs w:val="18"/>
        </w:rPr>
      </w:pPr>
      <w:r w:rsidRPr="00F0121B">
        <w:rPr>
          <w:i/>
          <w:iCs/>
          <w:sz w:val="18"/>
          <w:szCs w:val="18"/>
        </w:rPr>
        <w:t xml:space="preserve">Saveetha Institute of Medical and Technical Sciences, </w:t>
      </w:r>
    </w:p>
    <w:p w14:paraId="241A0930" w14:textId="77777777" w:rsidR="006F0886" w:rsidRPr="00F0121B" w:rsidRDefault="006F0886" w:rsidP="006F0886">
      <w:pPr>
        <w:rPr>
          <w:i/>
          <w:sz w:val="18"/>
          <w:szCs w:val="18"/>
        </w:rPr>
      </w:pPr>
      <w:r w:rsidRPr="00F0121B">
        <w:rPr>
          <w:i/>
          <w:sz w:val="18"/>
          <w:szCs w:val="18"/>
        </w:rPr>
        <w:t xml:space="preserve">Saveetha University, </w:t>
      </w:r>
    </w:p>
    <w:p w14:paraId="15DF4D5B" w14:textId="77777777" w:rsidR="006F0886" w:rsidRPr="00F0121B" w:rsidRDefault="006F0886" w:rsidP="006F0886">
      <w:pPr>
        <w:rPr>
          <w:sz w:val="18"/>
          <w:szCs w:val="18"/>
        </w:rPr>
      </w:pPr>
      <w:r w:rsidRPr="00F0121B">
        <w:rPr>
          <w:sz w:val="18"/>
          <w:szCs w:val="18"/>
        </w:rPr>
        <w:t>Chennai, Tamil Nadu, India. Pincode:602105.</w:t>
      </w:r>
    </w:p>
    <w:p w14:paraId="32A76A82" w14:textId="77777777" w:rsidR="00BD670B" w:rsidRDefault="001821BA" w:rsidP="006306D1">
      <w:pPr>
        <w:pStyle w:val="Author"/>
        <w:spacing w:before="0"/>
        <w:rPr>
          <w:rStyle w:val="Hyperlink"/>
          <w:sz w:val="18"/>
          <w:szCs w:val="18"/>
        </w:rPr>
      </w:pPr>
      <w:hyperlink r:id="rId9" w:history="1">
        <w:r w:rsidR="006F0886" w:rsidRPr="00F0121B">
          <w:rPr>
            <w:rStyle w:val="Hyperlink"/>
            <w:sz w:val="18"/>
            <w:szCs w:val="18"/>
          </w:rPr>
          <w:t>jsr5077@gmail.com</w:t>
        </w:r>
      </w:hyperlink>
      <w:r w:rsidR="006F0886" w:rsidRPr="00F0121B">
        <w:rPr>
          <w:rStyle w:val="Hyperlink"/>
          <w:sz w:val="18"/>
          <w:szCs w:val="18"/>
        </w:rPr>
        <w:t xml:space="preserve">  </w:t>
      </w:r>
    </w:p>
    <w:p w14:paraId="5BADDDE2" w14:textId="77777777" w:rsidR="006F0886" w:rsidRPr="00F0121B" w:rsidRDefault="00BD670B" w:rsidP="006F0886">
      <w:pPr>
        <w:rPr>
          <w:sz w:val="18"/>
          <w:szCs w:val="18"/>
        </w:rPr>
      </w:pPr>
      <w:r>
        <w:rPr>
          <w:sz w:val="18"/>
          <w:szCs w:val="18"/>
        </w:rPr>
        <w:br w:type="column"/>
      </w:r>
      <w:r w:rsidR="006F0886" w:rsidRPr="00F0121B">
        <w:rPr>
          <w:sz w:val="18"/>
          <w:szCs w:val="18"/>
        </w:rPr>
        <w:lastRenderedPageBreak/>
        <w:t>G. Michael</w:t>
      </w:r>
    </w:p>
    <w:p w14:paraId="38260D14" w14:textId="77777777" w:rsidR="006F0886" w:rsidRPr="00F761D6" w:rsidRDefault="006F0886" w:rsidP="006F0886">
      <w:pPr>
        <w:rPr>
          <w:i/>
          <w:iCs/>
          <w:sz w:val="18"/>
          <w:szCs w:val="18"/>
        </w:rPr>
      </w:pPr>
      <w:r w:rsidRPr="00F761D6">
        <w:rPr>
          <w:i/>
          <w:iCs/>
          <w:sz w:val="18"/>
          <w:szCs w:val="18"/>
        </w:rPr>
        <w:t>Computational Data Science</w:t>
      </w:r>
    </w:p>
    <w:p w14:paraId="26D09A46" w14:textId="77777777" w:rsidR="006F0886" w:rsidRPr="00F761D6" w:rsidRDefault="006F0886" w:rsidP="006F0886">
      <w:pPr>
        <w:rPr>
          <w:i/>
          <w:iCs/>
          <w:sz w:val="18"/>
          <w:szCs w:val="18"/>
        </w:rPr>
      </w:pPr>
      <w:r w:rsidRPr="00F761D6">
        <w:rPr>
          <w:i/>
          <w:iCs/>
          <w:sz w:val="18"/>
          <w:szCs w:val="18"/>
        </w:rPr>
        <w:t>SIMATS Engineering</w:t>
      </w:r>
    </w:p>
    <w:p w14:paraId="2BBB3963" w14:textId="77777777" w:rsidR="006F0886" w:rsidRPr="00F761D6" w:rsidRDefault="006F0886" w:rsidP="006F0886">
      <w:pPr>
        <w:rPr>
          <w:i/>
          <w:iCs/>
          <w:sz w:val="18"/>
          <w:szCs w:val="18"/>
        </w:rPr>
      </w:pPr>
      <w:r w:rsidRPr="00F761D6">
        <w:rPr>
          <w:i/>
          <w:iCs/>
          <w:sz w:val="18"/>
          <w:szCs w:val="18"/>
        </w:rPr>
        <w:t>Saveetha Institute of Medical and Technical Sciences,</w:t>
      </w:r>
    </w:p>
    <w:p w14:paraId="48954928" w14:textId="77777777" w:rsidR="006F0886" w:rsidRPr="00F761D6" w:rsidRDefault="006F0886" w:rsidP="006F0886">
      <w:pPr>
        <w:rPr>
          <w:i/>
          <w:sz w:val="18"/>
          <w:szCs w:val="18"/>
        </w:rPr>
      </w:pPr>
      <w:r w:rsidRPr="00F761D6">
        <w:rPr>
          <w:i/>
          <w:iCs/>
          <w:sz w:val="18"/>
          <w:szCs w:val="18"/>
        </w:rPr>
        <w:t xml:space="preserve"> </w:t>
      </w:r>
      <w:r w:rsidRPr="00F761D6">
        <w:rPr>
          <w:i/>
          <w:sz w:val="18"/>
          <w:szCs w:val="18"/>
        </w:rPr>
        <w:t xml:space="preserve">Saveetha University, </w:t>
      </w:r>
    </w:p>
    <w:p w14:paraId="2224543B" w14:textId="77777777" w:rsidR="006F0886" w:rsidRPr="00F0121B" w:rsidRDefault="006F0886" w:rsidP="006F0886">
      <w:pPr>
        <w:rPr>
          <w:sz w:val="18"/>
          <w:szCs w:val="18"/>
        </w:rPr>
      </w:pPr>
      <w:r w:rsidRPr="00F0121B">
        <w:rPr>
          <w:sz w:val="18"/>
          <w:szCs w:val="18"/>
        </w:rPr>
        <w:t>Chennai, Tamil Nadu, India. Pincode:602105.</w:t>
      </w:r>
    </w:p>
    <w:p w14:paraId="66C026F6" w14:textId="77777777" w:rsidR="006F0886" w:rsidRPr="00F0121B" w:rsidRDefault="001821BA" w:rsidP="006F0886">
      <w:pPr>
        <w:rPr>
          <w:sz w:val="18"/>
          <w:szCs w:val="18"/>
        </w:rPr>
      </w:pPr>
      <w:hyperlink r:id="rId10" w:history="1">
        <w:r w:rsidR="006F0886" w:rsidRPr="00F0121B">
          <w:rPr>
            <w:rStyle w:val="Hyperlink"/>
            <w:sz w:val="18"/>
            <w:szCs w:val="18"/>
          </w:rPr>
          <w:t>michaelg.sse@saveetha.com</w:t>
        </w:r>
      </w:hyperlink>
    </w:p>
    <w:p w14:paraId="74A388CD" w14:textId="77777777" w:rsidR="006F0886" w:rsidRDefault="006F0886" w:rsidP="006F0886">
      <w:pPr>
        <w:rPr>
          <w:sz w:val="18"/>
          <w:szCs w:val="18"/>
        </w:rPr>
      </w:pPr>
    </w:p>
    <w:p w14:paraId="40C40DB8" w14:textId="77777777" w:rsidR="006F0886" w:rsidRPr="00862D85" w:rsidRDefault="00BD670B" w:rsidP="006F0886">
      <w:pPr>
        <w:rPr>
          <w:sz w:val="18"/>
          <w:szCs w:val="18"/>
        </w:rPr>
      </w:pPr>
      <w:r>
        <w:rPr>
          <w:sz w:val="18"/>
          <w:szCs w:val="18"/>
        </w:rPr>
        <w:br w:type="column"/>
      </w:r>
      <w:r w:rsidR="006F0886" w:rsidRPr="008970B0">
        <w:rPr>
          <w:sz w:val="18"/>
          <w:szCs w:val="18"/>
        </w:rPr>
        <w:lastRenderedPageBreak/>
        <w:t>V. Sheeja Kumari</w:t>
      </w:r>
    </w:p>
    <w:p w14:paraId="3C4F1F64" w14:textId="77777777" w:rsidR="006F0886" w:rsidRPr="00F761D6" w:rsidRDefault="006F0886" w:rsidP="006F0886">
      <w:pPr>
        <w:rPr>
          <w:i/>
          <w:iCs/>
          <w:sz w:val="18"/>
          <w:szCs w:val="18"/>
        </w:rPr>
      </w:pPr>
      <w:r w:rsidRPr="00F761D6">
        <w:rPr>
          <w:i/>
          <w:iCs/>
          <w:sz w:val="18"/>
          <w:szCs w:val="18"/>
        </w:rPr>
        <w:t>Computer Science and Engineering</w:t>
      </w:r>
    </w:p>
    <w:p w14:paraId="4274071C" w14:textId="77777777" w:rsidR="006F0886" w:rsidRPr="00F761D6" w:rsidRDefault="006F0886" w:rsidP="006F0886">
      <w:pPr>
        <w:rPr>
          <w:i/>
          <w:iCs/>
          <w:sz w:val="18"/>
          <w:szCs w:val="18"/>
        </w:rPr>
      </w:pPr>
      <w:r w:rsidRPr="00F761D6">
        <w:rPr>
          <w:i/>
          <w:iCs/>
          <w:sz w:val="18"/>
          <w:szCs w:val="18"/>
        </w:rPr>
        <w:t>SIMATS Engineering</w:t>
      </w:r>
    </w:p>
    <w:p w14:paraId="78419775" w14:textId="77777777" w:rsidR="006F0886" w:rsidRPr="00F761D6" w:rsidRDefault="006F0886" w:rsidP="006F0886">
      <w:pPr>
        <w:rPr>
          <w:i/>
          <w:iCs/>
          <w:sz w:val="18"/>
          <w:szCs w:val="18"/>
        </w:rPr>
      </w:pPr>
      <w:r w:rsidRPr="00F761D6">
        <w:rPr>
          <w:i/>
          <w:iCs/>
          <w:sz w:val="18"/>
          <w:szCs w:val="18"/>
        </w:rPr>
        <w:t>Saveetha Institute of Medical and Technical Sciences,</w:t>
      </w:r>
    </w:p>
    <w:p w14:paraId="075C5EFD" w14:textId="77777777" w:rsidR="006F0886" w:rsidRPr="00F761D6" w:rsidRDefault="006F0886" w:rsidP="006F0886">
      <w:pPr>
        <w:rPr>
          <w:i/>
          <w:sz w:val="18"/>
          <w:szCs w:val="18"/>
        </w:rPr>
      </w:pPr>
      <w:r w:rsidRPr="00F761D6">
        <w:rPr>
          <w:i/>
          <w:iCs/>
          <w:sz w:val="18"/>
          <w:szCs w:val="18"/>
        </w:rPr>
        <w:t xml:space="preserve"> </w:t>
      </w:r>
      <w:r w:rsidRPr="00F761D6">
        <w:rPr>
          <w:i/>
          <w:sz w:val="18"/>
          <w:szCs w:val="18"/>
        </w:rPr>
        <w:t xml:space="preserve">Saveetha University, </w:t>
      </w:r>
    </w:p>
    <w:p w14:paraId="7DB4D092" w14:textId="77777777" w:rsidR="006F0886" w:rsidRDefault="006F0886" w:rsidP="006F0886">
      <w:pPr>
        <w:rPr>
          <w:sz w:val="18"/>
          <w:szCs w:val="18"/>
        </w:rPr>
      </w:pPr>
      <w:r w:rsidRPr="00862D85">
        <w:rPr>
          <w:sz w:val="18"/>
          <w:szCs w:val="18"/>
        </w:rPr>
        <w:t>Chennai, Ta</w:t>
      </w:r>
      <w:r>
        <w:rPr>
          <w:sz w:val="18"/>
          <w:szCs w:val="18"/>
        </w:rPr>
        <w:t>mil Nadu, India. Pincode:602105.</w:t>
      </w:r>
    </w:p>
    <w:p w14:paraId="1CB267E1" w14:textId="77777777" w:rsidR="001A3B3D" w:rsidRPr="00F847A6" w:rsidRDefault="006F0886" w:rsidP="006F0886">
      <w:pPr>
        <w:rPr>
          <w:sz w:val="18"/>
          <w:szCs w:val="18"/>
        </w:rPr>
      </w:pPr>
      <w:r w:rsidRPr="008970B0">
        <w:rPr>
          <w:rStyle w:val="Hyperlink"/>
          <w:sz w:val="18"/>
          <w:szCs w:val="18"/>
        </w:rPr>
        <w:t>sheejakumari.sse@saveetha.com</w:t>
      </w:r>
    </w:p>
    <w:p w14:paraId="767047F5" w14:textId="68298449" w:rsidR="009303D9" w:rsidRPr="005B520E" w:rsidRDefault="009303D9">
      <w:pPr>
        <w:sectPr w:rsidR="009303D9" w:rsidRPr="005B520E" w:rsidSect="00D9169E">
          <w:type w:val="continuous"/>
          <w:pgSz w:w="11906" w:h="16838" w:code="9"/>
          <w:pgMar w:top="446" w:right="893" w:bottom="1440" w:left="893" w:header="720" w:footer="720" w:gutter="0"/>
          <w:cols w:num="3" w:space="720"/>
          <w:docGrid w:linePitch="360"/>
        </w:sectPr>
      </w:pPr>
    </w:p>
    <w:p w14:paraId="4C858C40" w14:textId="7F314C6B" w:rsidR="005C6DA3" w:rsidRDefault="009303D9" w:rsidP="00C353B5">
      <w:pPr>
        <w:pStyle w:val="Abstract"/>
      </w:pPr>
      <w:r>
        <w:rPr>
          <w:i/>
          <w:iCs/>
        </w:rPr>
        <w:lastRenderedPageBreak/>
        <w:t>Abstract</w:t>
      </w:r>
      <w:r>
        <w:t>—</w:t>
      </w:r>
      <w:r w:rsidR="006C18EC" w:rsidRPr="006C18EC">
        <w:t xml:space="preserve"> Brain age prediction from neuroimaging data offers an extremely sensitive and personalized biomarker for brain health; however, all current deep learning pipelines treat the brain as a grid of voxels or patches of sequences, overlooking the structural organization of the brain's white matter network, whose progressive degeneration is the hallmark of both physiological and pathop</w:t>
      </w:r>
      <w:r w:rsidR="007439D3">
        <w:t>hysiological aging processes. Authors</w:t>
      </w:r>
      <w:r w:rsidR="006C18EC" w:rsidRPr="006C18EC">
        <w:t xml:space="preserve"> introduce GAT-BU, Graph Attention Network with Bayesian Uncertainty, a pipeline where the brain of each subject is modeled by means of tractography-driven structural brain connectivity graph and generates a predictive age distribution rather than a single-point prediction. The nodes are cortical and subcortical brain regions (Desikan-Killiany atlas, N=84) while the edge weights represent the SIFT2-filtered connectivity between brain regions obtained via probabilistic tractography. The Bayesian uncertainty is computed together by Monte Carlo dropout and Deep Ensemble; the predictive variance is shown to be notably higher in patients with MCI and AD compared to cognitively normal (CN) individuals, showing that the uncertainty of the model serves as an additional biomarker with clinical significance. Using benchmarks from OASIS-3 and ADNI datasets, GAT-BU yields a MAE of 3.09 years and R² of 0.95, which beats the performance of five different baselines in 2023-2024 by using CNN, Transformer, and GNN models.</w:t>
      </w:r>
    </w:p>
    <w:p w14:paraId="3A62429A" w14:textId="2BBCF8B0" w:rsidR="009303D9" w:rsidRPr="00C353B5" w:rsidRDefault="004D72B5" w:rsidP="005C6DA3">
      <w:pPr>
        <w:pStyle w:val="Abstract"/>
        <w:rPr>
          <w:i/>
          <w:iCs/>
        </w:rPr>
      </w:pPr>
      <w:r w:rsidRPr="00C353B5">
        <w:rPr>
          <w:i/>
          <w:iCs/>
        </w:rPr>
        <w:t>Keywords—</w:t>
      </w:r>
      <w:r w:rsidR="005C6DA3" w:rsidRPr="00C353B5">
        <w:rPr>
          <w:i/>
          <w:iCs/>
        </w:rPr>
        <w:t xml:space="preserve"> </w:t>
      </w:r>
      <w:r w:rsidR="006C18EC" w:rsidRPr="006C18EC">
        <w:rPr>
          <w:i/>
          <w:iCs/>
        </w:rPr>
        <w:t>Brain age estimation, graph attention network, structural connectome, diffusion MRI, Bayesian uncertainty quantification, neurodegeneration, white-matter connectivity, deep ensembles.</w:t>
      </w:r>
    </w:p>
    <w:p w14:paraId="66A1CF22" w14:textId="77777777" w:rsidR="009303D9" w:rsidRDefault="009303D9" w:rsidP="006B6B66">
      <w:pPr>
        <w:pStyle w:val="Heading1"/>
      </w:pPr>
      <w:r w:rsidRPr="00D632BE">
        <w:t xml:space="preserve">Introduction </w:t>
      </w:r>
    </w:p>
    <w:p w14:paraId="16C4D2B7" w14:textId="7A07659C" w:rsidR="00FD42C0" w:rsidRDefault="00FD42C0" w:rsidP="005E7E0E">
      <w:pPr>
        <w:pStyle w:val="BodyText"/>
      </w:pPr>
      <w:r>
        <w:t xml:space="preserve">Brain age — the biological age of the brain as inferred from neuroimaging data — has emerged as one of the most informative and clinically actionable biomarkers in computational neuroscience. The brain-age gap (BAG), defined as the arithmetic difference between the predicted brain age and the subject's chronological age, is systematically and significantly elevated in individuals with mild cognitive impairment (MCI), Alzheimer's disease (AD), schizophrenia, and a range of neurodegenerative and neuropsychiatric conditions [1]. Positive BAG — indicative of apparently accelerated biological aging — has been independently associated with increased all-cause mortality, steeper longitudinal cognitive decline, reduced white-matter microstructural integrity, and higher cumulative amyloid burden, making it a compelling endpoint for early risk </w:t>
      </w:r>
      <w:r>
        <w:lastRenderedPageBreak/>
        <w:t xml:space="preserve">stratification and longitudinal monitoring in clinical neuroscience </w:t>
      </w:r>
      <w:r w:rsidR="00C40F63">
        <w:t>practice. The</w:t>
      </w:r>
      <w:r>
        <w:t xml:space="preserve"> computational estimation of brain age was transformed by the advent of deep learning. Early convolutional neural networks (CNNs) applied to T1-weighted structural MRI demonstrated that chronological age could be predicted with mean absolute errors (MAE) of 3–5 years on large heterogeneous cohorts, without any manual feature engineering [2]. This led to a cascade of increasingly advanced models like three-dimensional residual networks (3D </w:t>
      </w:r>
      <w:proofErr w:type="spellStart"/>
      <w:r>
        <w:t>ResNets</w:t>
      </w:r>
      <w:proofErr w:type="spellEnd"/>
      <w:r>
        <w:t>), which make use of hierarchical volumetric feature learning via skip connections in deep networks [3];vision transformers (</w:t>
      </w:r>
      <w:proofErr w:type="spellStart"/>
      <w:r>
        <w:t>ViTs</w:t>
      </w:r>
      <w:proofErr w:type="spellEnd"/>
      <w:r>
        <w:t xml:space="preserve">), which learn long-range correlations between patches via global self-attention across sequences of three-dimensional image patches [4]; and cross-attention models such as </w:t>
      </w:r>
      <w:proofErr w:type="spellStart"/>
      <w:r>
        <w:t>BrainAGE</w:t>
      </w:r>
      <w:proofErr w:type="spellEnd"/>
      <w:r>
        <w:t>+, which combine multi-scale cortical surface maps and three-dimensional MRI using dual stream attention [5]. On another track, graph neural networks (GNNs), initially used on functional connectivity networks for classification tasks [6], were adapted for brain age regression using multi-scale hierarchical graph architectures exploiting structural connectivity [7].</w:t>
      </w:r>
    </w:p>
    <w:p w14:paraId="17D47340" w14:textId="7E1EFDA8" w:rsidR="00FD42C0" w:rsidRDefault="00FD42C0" w:rsidP="005E7E0E">
      <w:pPr>
        <w:pStyle w:val="BodyText"/>
      </w:pPr>
      <w:r>
        <w:t>However, despite all these advancements in the field of architecture, there remain two key and enduring shortcomings that limit the real-world application of the current brain age estimation algorithms. First, there is a representational issue: all the prevailing models represent the brain as a regular three-dimensional lattice of voxels or as an ordered set of image patches. While both are natural inputs for convolutional and transformers operations, such representation loses the brain network organization altogether. The aging effect on the brain is not just about changes inside the local neighborhoods of voxels; it is about the disruption of the long-range connections between spatially separated brain areas that can be studied using the diffusion MRI tractography. And while subject-specific brain connectome maps based on tractography are readily available and provide a very rich source of information, it remains almost untouched by the brain age estimation research community. Second, there is an epistemic issue: all currently known brain age models provide one deterministic age estimate without any measure of predictive uncertainty</w:t>
      </w:r>
      <w:r w:rsidR="00A87D85">
        <w:t>[8]</w:t>
      </w:r>
      <w:r>
        <w:t xml:space="preserve">. In the realm of clinical decision support, a point </w:t>
      </w:r>
      <w:r w:rsidR="00B5683F">
        <w:t>estimated</w:t>
      </w:r>
      <w:r>
        <w:t xml:space="preserve"> lacking confidence measures is of little actionable importance; the new age of reliable, ethical AI in </w:t>
      </w:r>
      <w:r>
        <w:lastRenderedPageBreak/>
        <w:t>medical imaging has made it abundantly clear that calibration of uncertainty is essential [9].</w:t>
      </w:r>
    </w:p>
    <w:p w14:paraId="1EBBE9AF" w14:textId="3F92ACEF" w:rsidR="00FD42C0" w:rsidRDefault="00FD42C0" w:rsidP="005E7E0E">
      <w:pPr>
        <w:pStyle w:val="BodyText"/>
      </w:pPr>
      <w:r>
        <w:t xml:space="preserve">This paper introduces GAT-BU (Graph Attention Network with Bayesian Uncertainty), a unified framework that simultaneously resolves both limitations. Each subject's brain is represented as a weighted structural connectome graph in which nodes encode morphometric features of cortical and subcortical regions (Desikan-Killiany atlas, N=84) and edges encode the strength of white-matter tract connections derived from probabilistic tractography with SIFT2 weighting. A multi-layer GAT processes this graph, learning per-connection attention weights that serve as a built-in interpretability mechanism — identifying which specific inter-regional white-matter pathways are most predictive of age without any post-hoc attribution method. A Bayesian uncertainty head, implemented as both Monte Carlo dropout and a deep ensemble of M=5 independently initialized models, converts each prediction from a point estimate to a calibrated predictive distribution with explicit confidence </w:t>
      </w:r>
      <w:r w:rsidR="007439D3">
        <w:t>intervals. Beyond</w:t>
      </w:r>
      <w:r>
        <w:t xml:space="preserve"> predictive accuracy, a central clinical hypothesis of this work is that the model's own uncertainty output consti</w:t>
      </w:r>
      <w:r w:rsidR="007439D3">
        <w:t xml:space="preserve">tutes a meaningful biomarker. </w:t>
      </w:r>
      <w:r w:rsidR="007439D3">
        <w:rPr>
          <w:lang w:val="en-US"/>
        </w:rPr>
        <w:t xml:space="preserve">The Author’s </w:t>
      </w:r>
      <w:r w:rsidR="007439D3">
        <w:t>demonstrate</w:t>
      </w:r>
      <w:r>
        <w:t xml:space="preserve"> empirically that both the brain-age gap and the deep ensemble predictive variance are significantly and monotonically elevated across CN, MCI, and AD diagnostic groups, with large effect sizes, confirming that GAT-BU correctly identifies its own uncertainty on clinically abnormal connectomes that deviate from healthy aging training distributions.</w:t>
      </w:r>
    </w:p>
    <w:p w14:paraId="399C20AA" w14:textId="2A008E88" w:rsidR="00FD42C0" w:rsidRPr="00FD42C0" w:rsidRDefault="00FD42C0" w:rsidP="005E7E0E">
      <w:pPr>
        <w:pStyle w:val="BodyText"/>
      </w:pPr>
      <w:r>
        <w:t>The principal contributions are: (1) a tractography-derived connectome-as-graph input representation that natively encodes white-matter network topology for brain age regression; (2) a multi-layer GAT with multi-head attention providing native connection-level interpretability; (3) calibrated Bayesian uncertainty via MC dropout and deep ensembles with systematic evaluation against ECE, sharpness, and empirical coverage; (4) clinical validation establishing that both BAG and predictive uncertainty stratify CN/MCI/AD groups; and (5) a comprehensive benchmark against five competitive 2023–2024 baselines on public OASIS-3 and ADNI datasets.</w:t>
      </w:r>
    </w:p>
    <w:p w14:paraId="534E2FB4" w14:textId="77777777" w:rsidR="009303D9" w:rsidRDefault="0001699C" w:rsidP="006B6B66">
      <w:pPr>
        <w:pStyle w:val="Heading1"/>
      </w:pPr>
      <w:r>
        <w:t>RELATED WORK</w:t>
      </w:r>
    </w:p>
    <w:p w14:paraId="7AC24491" w14:textId="09CD5D33" w:rsidR="00BC1B7F" w:rsidRDefault="00BC1B7F" w:rsidP="00BC1B7F">
      <w:pPr>
        <w:pStyle w:val="Heading2"/>
      </w:pPr>
      <w:r w:rsidRPr="00BC1B7F">
        <w:t>Uncertainty-Aware Deep Learning in Neuroimaging (2018–2024)</w:t>
      </w:r>
    </w:p>
    <w:p w14:paraId="392E003D" w14:textId="4D8C4E29" w:rsidR="00C524F2" w:rsidRDefault="003800FF" w:rsidP="0059530F">
      <w:pPr>
        <w:pStyle w:val="BodyText"/>
      </w:pPr>
      <w:r w:rsidRPr="003800FF">
        <w:t>Uncertainty quantification in neuroimaging deep learning has previously focused on segmentations and classifications. The study by Nair et al.[10] revealed that uncertainty maps generated via MC dropout were spatially meaningful for detecting lesions in patients suffering from multiple sclerosis, while the level of voxel-wise variance was related to inter-rater disagreement between clinicians. Roy et al.[11] reported that MC sampling from a fully convolutional network provided calibrated uncertainty maps for brain parcellation with maximum uncertainty at parcel boundaries where automatic segmentation failed to operate. Particularly, with respect to estimating brain age, Jonsson et al.[12] showed that deep learning brain age prediction error was increased in UK Biobank subjects with neuropsychiatric disorders, which empirically motivated the main clinical hypothesis in the GAT-BU study.</w:t>
      </w:r>
    </w:p>
    <w:p w14:paraId="112FFCEF" w14:textId="77777777" w:rsidR="007B435B" w:rsidRDefault="007B435B" w:rsidP="007B435B">
      <w:pPr>
        <w:pStyle w:val="Heading2"/>
      </w:pPr>
      <w:r w:rsidRPr="003800FF">
        <w:lastRenderedPageBreak/>
        <w:t>Tractography-Based Connectome Aging and Benchmark Datasets (2019–2023)</w:t>
      </w:r>
    </w:p>
    <w:p w14:paraId="67D27DC6" w14:textId="790714CB" w:rsidR="007B435B" w:rsidRDefault="007B435B" w:rsidP="007B435B">
      <w:pPr>
        <w:pStyle w:val="BodyText"/>
      </w:pPr>
      <w:r w:rsidRPr="003800FF">
        <w:t xml:space="preserve">Structural connectomes from tractography have proven to be extremely sensitive biomarkers of brain aging. In their research based on the UK Biobank diffusion MRI data set, Vos et al.[13] showed that the strength of connections of bilateral hippocampal-prefrontal and callosal tracts decrease in a significant non-linear manner throughout the whole adult lifespan, and effect sizes of these changes were even greater than those of scalar diffusion measures (FA, MD). Chamberland et al.[14] conducted a longitudinal analysis of UK Biobank data and concluded that graph-theoretical measures of structural connectomes, in particular, global efficiency and clustering coefficients of hubs predicted individual cognitive aging trajectories much better than regional </w:t>
      </w:r>
      <w:proofErr w:type="spellStart"/>
      <w:r w:rsidRPr="003800FF">
        <w:t>gray</w:t>
      </w:r>
      <w:proofErr w:type="spellEnd"/>
      <w:r w:rsidRPr="003800FF">
        <w:t xml:space="preserve"> matter volume, allowing pre-clinical identification of decline prior to clinical diagnosis. There are two very important longitudinal cohorts that can be used as benchmarks for evaluation of such techniques: OASIS-3[15], which is a longitudinal aging and dementia cohort including 384 unique individuals aged 42-95 years old with multi-shell diffusion MRI, CDR ratings and MMSE scores, and ADNI[16], which is a multi-site North American cohort with 1,087 unique baseline scans from CN, EMCI, LMCI and AD groups at 57 acquisition sites.</w:t>
      </w:r>
    </w:p>
    <w:p w14:paraId="0FFD8E8E" w14:textId="0D528800" w:rsidR="003800FF" w:rsidRDefault="003800FF" w:rsidP="003800FF">
      <w:pPr>
        <w:pStyle w:val="Heading2"/>
      </w:pPr>
      <w:r w:rsidRPr="003800FF">
        <w:t>Graph Neural Networks for Structural Connectomes (2018–2024)</w:t>
      </w:r>
    </w:p>
    <w:p w14:paraId="219F6EA1" w14:textId="77777777" w:rsidR="00153AA4" w:rsidRDefault="00153AA4" w:rsidP="00D9169E">
      <w:pPr>
        <w:spacing w:before="80" w:after="40"/>
        <w:jc w:val="both"/>
        <w:rPr>
          <w:spacing w:val="-1"/>
          <w:lang w:val="x-none" w:eastAsia="x-none"/>
        </w:rPr>
      </w:pPr>
      <w:r w:rsidRPr="00153AA4">
        <w:rPr>
          <w:spacing w:val="-1"/>
          <w:lang w:val="x-none" w:eastAsia="x-none"/>
        </w:rPr>
        <w:t xml:space="preserve">With the introduction of the Graph Attention Network (GAT)[17] architecture, a systematic way to learn node embeddings of irregular graphs by using learned attention coefficients per edge during </w:t>
      </w:r>
      <w:proofErr w:type="spellStart"/>
      <w:r w:rsidRPr="00153AA4">
        <w:rPr>
          <w:spacing w:val="-1"/>
          <w:lang w:val="x-none" w:eastAsia="x-none"/>
        </w:rPr>
        <w:t>neighborhood</w:t>
      </w:r>
      <w:proofErr w:type="spellEnd"/>
      <w:r w:rsidRPr="00153AA4">
        <w:rPr>
          <w:spacing w:val="-1"/>
          <w:lang w:val="x-none" w:eastAsia="x-none"/>
        </w:rPr>
        <w:t xml:space="preserve"> aggregation was achieved, offering an inherent way of interpretation lacking in spectral GNNs. The most common parcellation scheme used for the analysis of the brain through its structural connectome based on the Desikan-Killiany atlas[18] of 68 </w:t>
      </w:r>
      <w:proofErr w:type="spellStart"/>
      <w:r w:rsidRPr="00153AA4">
        <w:rPr>
          <w:spacing w:val="-1"/>
          <w:lang w:val="x-none" w:eastAsia="x-none"/>
        </w:rPr>
        <w:t>gyral</w:t>
      </w:r>
      <w:proofErr w:type="spellEnd"/>
      <w:r w:rsidRPr="00153AA4">
        <w:rPr>
          <w:spacing w:val="-1"/>
          <w:lang w:val="x-none" w:eastAsia="x-none"/>
        </w:rPr>
        <w:t xml:space="preserve"> regions with additional </w:t>
      </w:r>
      <w:proofErr w:type="spellStart"/>
      <w:r w:rsidRPr="00153AA4">
        <w:rPr>
          <w:spacing w:val="-1"/>
          <w:lang w:val="x-none" w:eastAsia="x-none"/>
        </w:rPr>
        <w:t>FreeSurfer</w:t>
      </w:r>
      <w:proofErr w:type="spellEnd"/>
      <w:r w:rsidRPr="00153AA4">
        <w:rPr>
          <w:spacing w:val="-1"/>
          <w:lang w:val="x-none" w:eastAsia="x-none"/>
        </w:rPr>
        <w:t xml:space="preserve"> subcortical segmentation, since these regions represent well-known anatomical landmarks with their respective functional and aging characteristics. The usage of GNNs at the scale of connectomes is made possible through </w:t>
      </w:r>
      <w:proofErr w:type="spellStart"/>
      <w:r w:rsidRPr="00153AA4">
        <w:rPr>
          <w:spacing w:val="-1"/>
          <w:lang w:val="x-none" w:eastAsia="x-none"/>
        </w:rPr>
        <w:t>PyTorch</w:t>
      </w:r>
      <w:proofErr w:type="spellEnd"/>
      <w:r w:rsidRPr="00153AA4">
        <w:rPr>
          <w:spacing w:val="-1"/>
          <w:lang w:val="x-none" w:eastAsia="x-none"/>
        </w:rPr>
        <w:t xml:space="preserve"> Geometric[19] – a library offering efficient sparse graph convolution, heterogeneous graph support, and mini-batching of large neuroimaging datasets.</w:t>
      </w:r>
    </w:p>
    <w:p w14:paraId="295D44DB" w14:textId="7A2746AB" w:rsidR="00153AA4" w:rsidRDefault="00153AA4" w:rsidP="00153AA4">
      <w:pPr>
        <w:pStyle w:val="Heading2"/>
      </w:pPr>
      <w:r w:rsidRPr="00153AA4">
        <w:t>Diffusion MRI Pipelines, Multimodal Brain Age, and GNN Uncertainty (2019–2025)</w:t>
      </w:r>
    </w:p>
    <w:p w14:paraId="7657AB3E" w14:textId="4E430641" w:rsidR="00C524F2" w:rsidRPr="00C524F2" w:rsidRDefault="00153AA4" w:rsidP="0059530F">
      <w:pPr>
        <w:pStyle w:val="BodyText"/>
      </w:pPr>
      <w:r w:rsidRPr="00153AA4">
        <w:t xml:space="preserve">On the software pipeline front, the MRtrix3 software framework[20] supplies the tractography pipeline that enables all modern structural connectome construction processes: MSMT-CSD, iFOD2-based probabilistic tractography streamlines, and SIFT2 biological-informed tractography streamlines filtering, which together enable subject-specific weighted adjacency matrices used in GAT-BU. Regarding the brain age prediction task itself, Moon et al.[21] have suggested a global-local attention network, which utilizes multimodal neuroimaging information, namely both structural MRI features and diffusion-based features, to improve prediction performance and </w:t>
      </w:r>
      <w:proofErr w:type="spellStart"/>
      <w:r w:rsidRPr="00153AA4">
        <w:t>behavioral</w:t>
      </w:r>
      <w:proofErr w:type="spellEnd"/>
      <w:r w:rsidRPr="00153AA4">
        <w:t xml:space="preserve"> generalizability of the method; nevertheless, like all other previous methods, their solution generates only deterministic point predictions without any uncertainty estimation. Very recently, </w:t>
      </w:r>
      <w:proofErr w:type="spellStart"/>
      <w:r w:rsidRPr="00153AA4">
        <w:t>Daneshvar</w:t>
      </w:r>
      <w:proofErr w:type="spellEnd"/>
      <w:r w:rsidRPr="00153AA4">
        <w:t xml:space="preserve"> and </w:t>
      </w:r>
      <w:proofErr w:type="spellStart"/>
      <w:r w:rsidRPr="00153AA4">
        <w:t>Samavi</w:t>
      </w:r>
      <w:proofErr w:type="spellEnd"/>
      <w:r w:rsidRPr="00153AA4">
        <w:t xml:space="preserve">[22] have presented the application of the self-distillation technique </w:t>
      </w:r>
      <w:r w:rsidRPr="00153AA4">
        <w:lastRenderedPageBreak/>
        <w:t>for uncertainty quantification in the GNNs applied to healthcare tasks, demonstrating that knowledge distillation from an ensemble teacher network to a single student network allows recovering the calibrated epistemic uncertainty at lower computational cost.</w:t>
      </w:r>
    </w:p>
    <w:p w14:paraId="5DCF5DF3" w14:textId="77777777" w:rsidR="009303D9" w:rsidRDefault="009303D9" w:rsidP="006B6B66">
      <w:pPr>
        <w:pStyle w:val="Heading1"/>
      </w:pPr>
      <w:r>
        <w:t>Pr</w:t>
      </w:r>
      <w:r w:rsidR="00EC0787">
        <w:t>oposed methodology</w:t>
      </w:r>
    </w:p>
    <w:p w14:paraId="2BAD79F5" w14:textId="77777777" w:rsidR="00C524F2" w:rsidRDefault="00C524F2" w:rsidP="0022332E">
      <w:pPr>
        <w:pStyle w:val="BodyText"/>
      </w:pPr>
      <w:r w:rsidRPr="00227A65">
        <w:t xml:space="preserve">Fig. 1. GAT-BU System Architecture for Uncertainty-Aware Brain Age Estimation Using Structural Connectomes. </w:t>
      </w:r>
      <w:r w:rsidRPr="00A65189">
        <w:t xml:space="preserve">Diffusion and T1-weighted MRIs are then analyzed to build personalized brain networks consisting of connectivity and morphological brain networks. These networks are analyzed through Graph Attention Networks (GATs), which are further analyzed through Bayesian </w:t>
      </w:r>
      <w:r w:rsidRPr="00A65189">
        <w:lastRenderedPageBreak/>
        <w:t>uncertainty analysis to obtain reliable predictions of the age of the brain.</w:t>
      </w:r>
    </w:p>
    <w:p w14:paraId="392C6EC4" w14:textId="77777777" w:rsidR="00C524F2" w:rsidRDefault="00C524F2" w:rsidP="00C524F2">
      <w:pPr>
        <w:spacing w:before="80" w:after="40"/>
        <w:jc w:val="both"/>
        <w:rPr>
          <w:i/>
          <w:iCs/>
        </w:rPr>
      </w:pPr>
      <w:r w:rsidRPr="00D06A6D">
        <w:rPr>
          <w:i/>
          <w:iCs/>
        </w:rPr>
        <w:t>A. System Overview</w:t>
      </w:r>
    </w:p>
    <w:p w14:paraId="6349214A" w14:textId="77777777" w:rsidR="009F18C1" w:rsidRDefault="00C524F2" w:rsidP="0022332E">
      <w:pPr>
        <w:pStyle w:val="BodyText"/>
        <w:sectPr w:rsidR="009F18C1" w:rsidSect="009F18C1">
          <w:type w:val="continuous"/>
          <w:pgSz w:w="11906" w:h="16838" w:code="9"/>
          <w:pgMar w:top="1080" w:right="893" w:bottom="1440" w:left="893" w:header="720" w:footer="720" w:gutter="0"/>
          <w:cols w:num="2" w:space="720"/>
          <w:docGrid w:linePitch="360"/>
        </w:sectPr>
      </w:pPr>
      <w:r w:rsidRPr="0065485D">
        <w:t xml:space="preserve">The overall architecture of the proposed GAT-BU framework is illustrated </w:t>
      </w:r>
      <w:r w:rsidR="00B5683F" w:rsidRPr="0065485D">
        <w:t>on</w:t>
      </w:r>
      <w:r w:rsidRPr="0065485D">
        <w:t xml:space="preserve"> Fig. 1. GAT-BU consists of four sequential modules: (1) structural connectome construction from </w:t>
      </w:r>
      <w:proofErr w:type="spellStart"/>
      <w:r w:rsidRPr="0065485D">
        <w:t>preprocessed</w:t>
      </w:r>
      <w:proofErr w:type="spellEnd"/>
      <w:r w:rsidRPr="0065485D">
        <w:t xml:space="preserve"> </w:t>
      </w:r>
      <w:proofErr w:type="spellStart"/>
      <w:r w:rsidRPr="0065485D">
        <w:t>dMRI</w:t>
      </w:r>
      <w:proofErr w:type="spellEnd"/>
      <w:r w:rsidRPr="0065485D">
        <w:t>; (2) graph formation assigning morphometric node features and tractography-derived edge weights; (3) a multi-layer Graph Attention Network for continuous age regression; and (4) a Bayesian uncertainty head producing a calibrated predictive age distribution. The full pipeline is end-to-end differentiable and trained jointly from graph inputs to predicted age and uncertainty, without separate pre-training stages.</w:t>
      </w:r>
    </w:p>
    <w:p w14:paraId="78A228F8" w14:textId="440B6716" w:rsidR="00C524F2" w:rsidRDefault="00C524F2" w:rsidP="0022332E">
      <w:pPr>
        <w:pStyle w:val="BodyText"/>
      </w:pPr>
    </w:p>
    <w:p w14:paraId="3282BADC" w14:textId="1A535654" w:rsidR="00C524F2" w:rsidRPr="0028019D" w:rsidRDefault="00C524F2" w:rsidP="00C524F2">
      <w:pPr>
        <w:spacing w:before="80" w:after="40"/>
      </w:pPr>
      <w:r>
        <w:rPr>
          <w:noProof/>
          <w:lang w:val="en-IN" w:eastAsia="en-IN"/>
        </w:rPr>
        <w:drawing>
          <wp:inline distT="0" distB="0" distL="0" distR="0" wp14:anchorId="0A239D59" wp14:editId="13582817">
            <wp:extent cx="6400800" cy="3987800"/>
            <wp:effectExtent l="19050" t="19050" r="19050" b="12700"/>
            <wp:docPr id="1815259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59195" name="Picture 1815259195"/>
                    <pic:cNvPicPr/>
                  </pic:nvPicPr>
                  <pic:blipFill rotWithShape="1">
                    <a:blip r:embed="rId11">
                      <a:extLst>
                        <a:ext uri="{28A0092B-C50C-407E-A947-70E740481C1C}">
                          <a14:useLocalDpi xmlns:a14="http://schemas.microsoft.com/office/drawing/2010/main" val="0"/>
                        </a:ext>
                      </a:extLst>
                    </a:blip>
                    <a:srcRect t="6547"/>
                    <a:stretch>
                      <a:fillRect/>
                    </a:stretch>
                  </pic:blipFill>
                  <pic:spPr bwMode="auto">
                    <a:xfrm>
                      <a:off x="0" y="0"/>
                      <a:ext cx="6400800" cy="3987800"/>
                    </a:xfrm>
                    <a:prstGeom prst="rect">
                      <a:avLst/>
                    </a:prstGeom>
                    <a:ln>
                      <a:solidFill>
                        <a:srgbClr val="EE0000"/>
                      </a:solidFill>
                    </a:ln>
                    <a:extLst>
                      <a:ext uri="{53640926-AAD7-44D8-BBD7-CCE9431645EC}">
                        <a14:shadowObscured xmlns:a14="http://schemas.microsoft.com/office/drawing/2010/main"/>
                      </a:ext>
                    </a:extLst>
                  </pic:spPr>
                </pic:pic>
              </a:graphicData>
            </a:graphic>
          </wp:inline>
        </w:drawing>
      </w:r>
    </w:p>
    <w:p w14:paraId="32B6D8F2" w14:textId="72790640" w:rsidR="00C524F2" w:rsidRDefault="00C524F2" w:rsidP="00C524F2">
      <w:pPr>
        <w:rPr>
          <w:sz w:val="16"/>
          <w:szCs w:val="16"/>
        </w:rPr>
      </w:pPr>
      <w:r w:rsidRPr="001A0EEE">
        <w:rPr>
          <w:sz w:val="16"/>
          <w:szCs w:val="16"/>
        </w:rPr>
        <w:t>Fig. 1. GAT-BU System Architecture for Uncertainty-Aware Brain Age Estimation Using Structural Connectomes</w:t>
      </w:r>
    </w:p>
    <w:p w14:paraId="414A8BBE" w14:textId="77777777" w:rsidR="0022332E" w:rsidRDefault="0022332E" w:rsidP="00C524F2">
      <w:pPr>
        <w:rPr>
          <w:sz w:val="16"/>
          <w:szCs w:val="16"/>
        </w:rPr>
      </w:pPr>
    </w:p>
    <w:p w14:paraId="078EFC1D" w14:textId="77777777" w:rsidR="009F18C1" w:rsidRDefault="009F18C1" w:rsidP="0022332E">
      <w:pPr>
        <w:pStyle w:val="BodyText"/>
        <w:sectPr w:rsidR="009F18C1" w:rsidSect="00C14149">
          <w:type w:val="continuous"/>
          <w:pgSz w:w="11906" w:h="16838" w:code="9"/>
          <w:pgMar w:top="1080" w:right="893" w:bottom="1440" w:left="893" w:header="720" w:footer="720" w:gutter="0"/>
          <w:cols w:space="720"/>
          <w:docGrid w:linePitch="360"/>
        </w:sectPr>
      </w:pPr>
    </w:p>
    <w:p w14:paraId="30421086" w14:textId="77777777" w:rsidR="00C524F2" w:rsidRDefault="00C524F2" w:rsidP="0022332E">
      <w:pPr>
        <w:pStyle w:val="BodyText"/>
      </w:pPr>
      <w:r w:rsidRPr="00D06A6D">
        <w:lastRenderedPageBreak/>
        <w:t xml:space="preserve">GAT-BU consists of four sequential modules: (1) structural connectome construction from </w:t>
      </w:r>
      <w:proofErr w:type="spellStart"/>
      <w:r w:rsidRPr="00D06A6D">
        <w:t>preprocessed</w:t>
      </w:r>
      <w:proofErr w:type="spellEnd"/>
      <w:r w:rsidRPr="00D06A6D">
        <w:t xml:space="preserve"> </w:t>
      </w:r>
      <w:proofErr w:type="spellStart"/>
      <w:r w:rsidRPr="00D06A6D">
        <w:t>dMRI</w:t>
      </w:r>
      <w:proofErr w:type="spellEnd"/>
      <w:r w:rsidRPr="00D06A6D">
        <w:t xml:space="preserve">; (2) graph formation assigning morphometric node features and tractography-derived edge weights; (3) a multi-layer Graph Attention Network for continuous age regression; and (4) a Bayesian uncertainty head producing a calibrated predictive age distribution. The full pipeline is end-to-end differentiable and trained jointly from graph inputs to predicted age and uncertainty, without separate pre-training stages. The architectural flow is: </w:t>
      </w:r>
      <w:proofErr w:type="spellStart"/>
      <w:r w:rsidRPr="00D06A6D">
        <w:t>dMRI</w:t>
      </w:r>
      <w:proofErr w:type="spellEnd"/>
      <w:r w:rsidRPr="00D06A6D">
        <w:t xml:space="preserve"> → MSMT-CSD → iFOD2 tractography → SIFT2 → adjacency matrix A; T1 MRI → </w:t>
      </w:r>
      <w:proofErr w:type="spellStart"/>
      <w:r w:rsidRPr="00D06A6D">
        <w:t>FreeSurfer</w:t>
      </w:r>
      <w:proofErr w:type="spellEnd"/>
      <w:r w:rsidRPr="00D06A6D">
        <w:t xml:space="preserve"> → node feature matrix X; (A, X) → GAT layers → global pooling → Bayesian head → (</w:t>
      </w:r>
      <w:proofErr w:type="spellStart"/>
      <w:r w:rsidRPr="00D06A6D">
        <w:t>μ_θ</w:t>
      </w:r>
      <w:proofErr w:type="spellEnd"/>
      <w:r w:rsidRPr="00D06A6D">
        <w:t>, σ²_θ).</w:t>
      </w:r>
    </w:p>
    <w:p w14:paraId="722850D9" w14:textId="77777777" w:rsidR="00C524F2" w:rsidRPr="00D9169E" w:rsidRDefault="00C524F2" w:rsidP="00D9169E">
      <w:pPr>
        <w:spacing w:before="80" w:after="40"/>
        <w:jc w:val="both"/>
        <w:rPr>
          <w:i/>
          <w:iCs/>
        </w:rPr>
      </w:pPr>
      <w:r w:rsidRPr="00D9169E">
        <w:rPr>
          <w:i/>
          <w:iCs/>
        </w:rPr>
        <w:t>B. Structural Connectome Construction</w:t>
      </w:r>
    </w:p>
    <w:p w14:paraId="51234AFB" w14:textId="139DE404" w:rsidR="00C524F2" w:rsidRPr="00D06A6D" w:rsidRDefault="00C524F2" w:rsidP="0022332E">
      <w:pPr>
        <w:pStyle w:val="BodyText"/>
      </w:pPr>
      <w:r w:rsidRPr="00D06A6D">
        <w:t xml:space="preserve">Diffusion MRI preprocessing strictly follows the </w:t>
      </w:r>
      <w:r w:rsidR="00A87D85" w:rsidRPr="00D06A6D">
        <w:t>recommended MRtrix3</w:t>
      </w:r>
      <w:r w:rsidRPr="00D06A6D">
        <w:t xml:space="preserve"> pipeline . Raw </w:t>
      </w:r>
      <w:proofErr w:type="spellStart"/>
      <w:r w:rsidRPr="00D06A6D">
        <w:t>dMRI</w:t>
      </w:r>
      <w:proofErr w:type="spellEnd"/>
      <w:r w:rsidRPr="00D06A6D">
        <w:t xml:space="preserve"> volumes </w:t>
      </w:r>
      <w:r w:rsidRPr="00D06A6D">
        <w:lastRenderedPageBreak/>
        <w:t xml:space="preserve">undergo </w:t>
      </w:r>
      <w:proofErr w:type="spellStart"/>
      <w:r w:rsidRPr="00D06A6D">
        <w:t>Marchenko-Pastur</w:t>
      </w:r>
      <w:proofErr w:type="spellEnd"/>
      <w:r w:rsidRPr="00D06A6D">
        <w:t xml:space="preserve"> PCA-based thermal </w:t>
      </w:r>
      <w:proofErr w:type="spellStart"/>
      <w:r w:rsidRPr="00D06A6D">
        <w:t>denoising</w:t>
      </w:r>
      <w:proofErr w:type="spellEnd"/>
      <w:r w:rsidRPr="00D06A6D">
        <w:t xml:space="preserve">, Gibbs ringing </w:t>
      </w:r>
      <w:proofErr w:type="spellStart"/>
      <w:r w:rsidRPr="00D06A6D">
        <w:t>artifact</w:t>
      </w:r>
      <w:proofErr w:type="spellEnd"/>
      <w:r w:rsidRPr="00D06A6D">
        <w:t xml:space="preserve"> suppression via </w:t>
      </w:r>
      <w:proofErr w:type="spellStart"/>
      <w:r w:rsidRPr="00D06A6D">
        <w:t>subvoxel</w:t>
      </w:r>
      <w:proofErr w:type="spellEnd"/>
      <w:r w:rsidRPr="00D06A6D">
        <w:t xml:space="preserve"> shift correction, eddy-current and head-motion correction using FSL eddy with slice-to-volume motion estimation enabled for single-band acquisitions, multiplicative bias field correction via ANTs N4BiasFieldCorrection, and brain extraction with FSL BET using </w:t>
      </w:r>
      <w:proofErr w:type="spellStart"/>
      <w:r w:rsidRPr="00D06A6D">
        <w:t>dMRI</w:t>
      </w:r>
      <w:proofErr w:type="spellEnd"/>
      <w:r w:rsidRPr="00D06A6D">
        <w:t xml:space="preserve">-specific fractional intensity thresholds. </w:t>
      </w:r>
      <w:proofErr w:type="spellStart"/>
      <w:r w:rsidRPr="00D06A6D">
        <w:t>Preprocessed</w:t>
      </w:r>
      <w:proofErr w:type="spellEnd"/>
      <w:r w:rsidRPr="00D06A6D">
        <w:t xml:space="preserve"> </w:t>
      </w:r>
      <w:proofErr w:type="spellStart"/>
      <w:r w:rsidRPr="00D06A6D">
        <w:t>dMRI</w:t>
      </w:r>
      <w:proofErr w:type="spellEnd"/>
      <w:r w:rsidRPr="00D06A6D">
        <w:t xml:space="preserve"> is registered to the co-acquired T1-weighted structural image using boundary-based registration (BBR) within FSL FLIRT, and the T1 is non-linearly registered to MNI-152 standard space for atlas mapping via ANTs </w:t>
      </w:r>
      <w:proofErr w:type="spellStart"/>
      <w:r w:rsidRPr="00D06A6D">
        <w:t>SyN.Multi</w:t>
      </w:r>
      <w:proofErr w:type="spellEnd"/>
      <w:r w:rsidRPr="00D06A6D">
        <w:t xml:space="preserve">-shell multi-tissue constrained spherical deconvolution (MSMT-CSD) estimates fiber orientation distributions (FODs) simultaneously for white matter, gray matter, and CSF tissue compartments, enabling robust tractography in the presence of crossing fibers and partial-volume effects. </w:t>
      </w:r>
      <w:r w:rsidRPr="00D06A6D">
        <w:lastRenderedPageBreak/>
        <w:t xml:space="preserve">Whole-brain probabilistic streamline tractography uses the iFOD2 second-order integration algorithm with 10 million seeds distributed proportionally to the WM FOD amplitude, an apparent fiber density (AFD) threshold of 0.06, a maximum turning angle of 45°, and streamline length bounds of 30–500 mm. Spherical-deconvolution informed filtering of </w:t>
      </w:r>
      <w:proofErr w:type="spellStart"/>
      <w:r w:rsidRPr="00D06A6D">
        <w:t>tractograms</w:t>
      </w:r>
      <w:proofErr w:type="spellEnd"/>
      <w:r w:rsidRPr="00D06A6D">
        <w:t xml:space="preserve"> (SIFT2) assigns per-streamline cross-sectional area weights such that the weighted streamline density in each voxel is proportional to the intra-axonal volume fraction, providing biologically interpretable connectivity estimates that correct for the distance-length bias of raw streamline counts.</w:t>
      </w:r>
    </w:p>
    <w:p w14:paraId="520064EF" w14:textId="77777777" w:rsidR="00C524F2" w:rsidRPr="00D06A6D" w:rsidRDefault="00C524F2" w:rsidP="0022332E">
      <w:pPr>
        <w:pStyle w:val="BodyText"/>
      </w:pPr>
      <w:r w:rsidRPr="00D06A6D">
        <w:t xml:space="preserve">Brain parcellation uses the Desikan-Killiany cortical atlas (68 cortical parcels) augmented with the </w:t>
      </w:r>
      <w:proofErr w:type="spellStart"/>
      <w:r w:rsidRPr="00D06A6D">
        <w:t>FreeSurfer</w:t>
      </w:r>
      <w:proofErr w:type="spellEnd"/>
      <w:r w:rsidRPr="00D06A6D">
        <w:t xml:space="preserve"> </w:t>
      </w:r>
      <w:proofErr w:type="spellStart"/>
      <w:r w:rsidRPr="00D06A6D">
        <w:t>aseg</w:t>
      </w:r>
      <w:proofErr w:type="spellEnd"/>
      <w:r w:rsidRPr="00D06A6D">
        <w:t xml:space="preserve"> subcortical segmentation (16 structures), giving N=84 regions. The connectivity weight between region </w:t>
      </w:r>
      <w:proofErr w:type="spellStart"/>
      <w:r w:rsidRPr="00D06A6D">
        <w:t>i</w:t>
      </w:r>
      <w:proofErr w:type="spellEnd"/>
      <w:r w:rsidRPr="00D06A6D">
        <w:t xml:space="preserve"> and region j is </w:t>
      </w:r>
      <w:proofErr w:type="spellStart"/>
      <w:r w:rsidRPr="00D06A6D">
        <w:t>w_ij</w:t>
      </w:r>
      <w:proofErr w:type="spellEnd"/>
      <w:r w:rsidRPr="00D06A6D">
        <w:t xml:space="preserve"> = log(1 + </w:t>
      </w:r>
      <w:proofErr w:type="spellStart"/>
      <w:r w:rsidRPr="00D06A6D">
        <w:t>C_ij</w:t>
      </w:r>
      <w:proofErr w:type="spellEnd"/>
      <w:r w:rsidRPr="00D06A6D">
        <w:t xml:space="preserve"> / (</w:t>
      </w:r>
      <w:proofErr w:type="spellStart"/>
      <w:r w:rsidRPr="00D06A6D">
        <w:t>V_i</w:t>
      </w:r>
      <w:proofErr w:type="spellEnd"/>
      <w:r w:rsidRPr="00D06A6D">
        <w:t xml:space="preserve"> + </w:t>
      </w:r>
      <w:proofErr w:type="spellStart"/>
      <w:r w:rsidRPr="00D06A6D">
        <w:t>V_j</w:t>
      </w:r>
      <w:proofErr w:type="spellEnd"/>
      <w:r w:rsidRPr="00D06A6D">
        <w:t xml:space="preserve">)), where </w:t>
      </w:r>
      <w:proofErr w:type="spellStart"/>
      <w:r w:rsidRPr="00D06A6D">
        <w:t>C_ij</w:t>
      </w:r>
      <w:proofErr w:type="spellEnd"/>
      <w:r w:rsidRPr="00D06A6D">
        <w:t xml:space="preserve"> is the SIFT2-weighted streamline count and </w:t>
      </w:r>
      <w:proofErr w:type="spellStart"/>
      <w:r w:rsidRPr="00D06A6D">
        <w:t>V_i</w:t>
      </w:r>
      <w:proofErr w:type="spellEnd"/>
      <w:r w:rsidRPr="00D06A6D">
        <w:t xml:space="preserve">, </w:t>
      </w:r>
      <w:proofErr w:type="spellStart"/>
      <w:r w:rsidRPr="00D06A6D">
        <w:t>V_j</w:t>
      </w:r>
      <w:proofErr w:type="spellEnd"/>
      <w:r w:rsidRPr="00D06A6D">
        <w:t xml:space="preserve"> are region volumes in mm³. The logarithmic volume normalization reduces hub-region dominance while preserving the relative ordering of connection strengths. The resulting subject-specific symmetric weighted adjacency matrix A </w:t>
      </w:r>
      <w:r w:rsidRPr="0022332E">
        <w:rPr>
          <w:rFonts w:ascii="Cambria Math" w:hAnsi="Cambria Math" w:cs="Cambria Math"/>
        </w:rPr>
        <w:t>∈</w:t>
      </w:r>
      <w:r w:rsidRPr="00D06A6D">
        <w:t xml:space="preserve"> ℝ^(84×84) encodes the individual white-matter network architecture.</w:t>
      </w:r>
    </w:p>
    <w:p w14:paraId="742D1849" w14:textId="77777777" w:rsidR="00C524F2" w:rsidRPr="00D9169E" w:rsidRDefault="00C524F2" w:rsidP="00C524F2">
      <w:pPr>
        <w:spacing w:before="80" w:after="40"/>
        <w:jc w:val="both"/>
        <w:rPr>
          <w:i/>
          <w:iCs/>
        </w:rPr>
      </w:pPr>
      <w:r w:rsidRPr="00D06A6D">
        <w:rPr>
          <w:i/>
          <w:iCs/>
        </w:rPr>
        <w:t>C. Node Feature Matrix</w:t>
      </w:r>
    </w:p>
    <w:p w14:paraId="0109A534" w14:textId="77777777" w:rsidR="00C524F2" w:rsidRPr="00D06A6D" w:rsidRDefault="00C524F2" w:rsidP="0022332E">
      <w:pPr>
        <w:pStyle w:val="BodyText"/>
      </w:pPr>
      <w:r w:rsidRPr="00D06A6D">
        <w:t xml:space="preserve">Each of the 84 nodes receives a 6-dimensional feature vector encoding regional morphometry from </w:t>
      </w:r>
      <w:proofErr w:type="spellStart"/>
      <w:r w:rsidRPr="00D06A6D">
        <w:t>FreeSurfer</w:t>
      </w:r>
      <w:proofErr w:type="spellEnd"/>
      <w:r w:rsidRPr="00D06A6D">
        <w:t xml:space="preserve"> recon-all processing of the co-registered T1 MRI. For cortical parcels, features are: (1) mean cortical thickness (mm); (2) standard deviation of cortical thickness across vertices (mm); (3) total pial surface area (mm²); (4) mean curvature averaged over the parcel surface (mm⁻¹); (5) intrinsic curvature index (a dimensionless curvature shape descriptor); (6) gray matter volume (mm³). For subcortical structures, features are: (1) gray matter volume (mm³); (2) mean T1-weighted signal intensity (</w:t>
      </w:r>
      <w:proofErr w:type="spellStart"/>
      <w:r w:rsidRPr="00D06A6D">
        <w:t>a.u</w:t>
      </w:r>
      <w:proofErr w:type="spellEnd"/>
      <w:r w:rsidRPr="00D06A6D">
        <w:t>.); (3) intensity standard deviation (</w:t>
      </w:r>
      <w:proofErr w:type="spellStart"/>
      <w:r w:rsidRPr="00D06A6D">
        <w:t>a.u</w:t>
      </w:r>
      <w:proofErr w:type="spellEnd"/>
      <w:r w:rsidRPr="00D06A6D">
        <w:t xml:space="preserve">.); with zero-padding for the remaining three dimensions. All features are z-score normalized per feature dimension across the training set before model input. The resulting X </w:t>
      </w:r>
      <w:r w:rsidRPr="0022332E">
        <w:rPr>
          <w:rFonts w:ascii="Cambria Math" w:hAnsi="Cambria Math" w:cs="Cambria Math"/>
        </w:rPr>
        <w:t>∈</w:t>
      </w:r>
      <w:r w:rsidRPr="00D06A6D">
        <w:t xml:space="preserve"> ℝ^(84×6) provides complementary morphometric information to the topological structure encoded in A.</w:t>
      </w:r>
    </w:p>
    <w:p w14:paraId="6A1378F4" w14:textId="77777777" w:rsidR="00C524F2" w:rsidRPr="00D06A6D" w:rsidRDefault="00C524F2" w:rsidP="00C524F2">
      <w:pPr>
        <w:spacing w:before="80" w:after="40"/>
        <w:jc w:val="both"/>
      </w:pPr>
      <w:r w:rsidRPr="00D06A6D">
        <w:rPr>
          <w:i/>
          <w:iCs/>
        </w:rPr>
        <w:t>D. Graph Attention Network Architecture</w:t>
      </w:r>
    </w:p>
    <w:p w14:paraId="08142A45" w14:textId="77777777" w:rsidR="00C524F2" w:rsidRPr="00D06A6D" w:rsidRDefault="00C524F2" w:rsidP="0022332E">
      <w:pPr>
        <w:pStyle w:val="BodyText"/>
      </w:pPr>
      <w:r w:rsidRPr="00D06A6D">
        <w:t xml:space="preserve">The GAT core processes the input graph G=(X,A) through three stacked attention layers. At layer l, the hidden representation of node </w:t>
      </w:r>
      <w:proofErr w:type="spellStart"/>
      <w:r w:rsidRPr="00D06A6D">
        <w:t>i</w:t>
      </w:r>
      <w:proofErr w:type="spellEnd"/>
      <w:r w:rsidRPr="00D06A6D">
        <w:t xml:space="preserve"> is updated by attending over its structural </w:t>
      </w:r>
      <w:proofErr w:type="spellStart"/>
      <w:r w:rsidRPr="00D06A6D">
        <w:t>neighborhood</w:t>
      </w:r>
      <w:proofErr w:type="spellEnd"/>
      <w:r w:rsidRPr="00D06A6D">
        <w:t xml:space="preserve"> N(</w:t>
      </w:r>
      <w:proofErr w:type="spellStart"/>
      <w:r w:rsidRPr="00D06A6D">
        <w:t>i</w:t>
      </w:r>
      <w:proofErr w:type="spellEnd"/>
      <w:r w:rsidRPr="00D06A6D">
        <w:t>), defined by non-zero entries in A:</w:t>
      </w:r>
    </w:p>
    <w:p w14:paraId="08A66127" w14:textId="77777777" w:rsidR="00C524F2" w:rsidRPr="00D06A6D" w:rsidRDefault="00C524F2" w:rsidP="00C524F2">
      <w:pPr>
        <w:spacing w:before="40" w:after="40"/>
      </w:pPr>
      <w:proofErr w:type="spellStart"/>
      <w:r w:rsidRPr="00D06A6D">
        <w:rPr>
          <w:i/>
          <w:iCs/>
        </w:rPr>
        <w:t>h_i</w:t>
      </w:r>
      <w:proofErr w:type="spellEnd"/>
      <w:r w:rsidRPr="00D06A6D">
        <w:rPr>
          <w:i/>
          <w:iCs/>
        </w:rPr>
        <w:t xml:space="preserve">^(l+1) = </w:t>
      </w:r>
      <w:proofErr w:type="gramStart"/>
      <w:r w:rsidRPr="00D06A6D">
        <w:rPr>
          <w:i/>
          <w:iCs/>
        </w:rPr>
        <w:t>σ( Σ</w:t>
      </w:r>
      <w:proofErr w:type="gramEnd"/>
      <w:r w:rsidRPr="00D06A6D">
        <w:rPr>
          <w:i/>
          <w:iCs/>
        </w:rPr>
        <w:t>_{</w:t>
      </w:r>
      <w:proofErr w:type="spellStart"/>
      <w:r w:rsidRPr="00D06A6D">
        <w:rPr>
          <w:i/>
          <w:iCs/>
        </w:rPr>
        <w:t>j</w:t>
      </w:r>
      <w:r w:rsidRPr="00D06A6D">
        <w:rPr>
          <w:rFonts w:ascii="Cambria Math" w:hAnsi="Cambria Math" w:cs="Cambria Math"/>
          <w:i/>
          <w:iCs/>
        </w:rPr>
        <w:t>∈</w:t>
      </w:r>
      <w:r w:rsidRPr="00D06A6D">
        <w:rPr>
          <w:i/>
          <w:iCs/>
        </w:rPr>
        <w:t>N</w:t>
      </w:r>
      <w:proofErr w:type="spellEnd"/>
      <w:r w:rsidRPr="00D06A6D">
        <w:rPr>
          <w:i/>
          <w:iCs/>
        </w:rPr>
        <w:t>(</w:t>
      </w:r>
      <w:proofErr w:type="spellStart"/>
      <w:r w:rsidRPr="00D06A6D">
        <w:rPr>
          <w:i/>
          <w:iCs/>
        </w:rPr>
        <w:t>i</w:t>
      </w:r>
      <w:proofErr w:type="spellEnd"/>
      <w:r w:rsidRPr="00D06A6D">
        <w:rPr>
          <w:i/>
          <w:iCs/>
        </w:rPr>
        <w:t>)} α_</w:t>
      </w:r>
      <w:proofErr w:type="spellStart"/>
      <w:r w:rsidRPr="00D06A6D">
        <w:rPr>
          <w:i/>
          <w:iCs/>
        </w:rPr>
        <w:t>ij</w:t>
      </w:r>
      <w:proofErr w:type="spellEnd"/>
      <w:r w:rsidRPr="00D06A6D">
        <w:rPr>
          <w:i/>
          <w:iCs/>
        </w:rPr>
        <w:t xml:space="preserve">^(l) · W^(l) </w:t>
      </w:r>
      <w:proofErr w:type="spellStart"/>
      <w:r w:rsidRPr="00D06A6D">
        <w:rPr>
          <w:i/>
          <w:iCs/>
        </w:rPr>
        <w:t>h_j</w:t>
      </w:r>
      <w:proofErr w:type="spellEnd"/>
      <w:r w:rsidRPr="00D06A6D">
        <w:rPr>
          <w:i/>
          <w:iCs/>
        </w:rPr>
        <w:t>^(l) )</w:t>
      </w:r>
    </w:p>
    <w:p w14:paraId="71E9BE9A" w14:textId="77777777" w:rsidR="00C524F2" w:rsidRPr="00D06A6D" w:rsidRDefault="00C524F2" w:rsidP="0022332E">
      <w:pPr>
        <w:pStyle w:val="BodyText"/>
      </w:pPr>
      <w:r w:rsidRPr="00D06A6D">
        <w:t xml:space="preserve">where W^(l) </w:t>
      </w:r>
      <w:r w:rsidRPr="0022332E">
        <w:rPr>
          <w:rFonts w:ascii="Cambria Math" w:hAnsi="Cambria Math" w:cs="Cambria Math"/>
        </w:rPr>
        <w:t>∈</w:t>
      </w:r>
      <w:r w:rsidRPr="00D06A6D">
        <w:t xml:space="preserve"> ℝ^(d_{l+1}×</w:t>
      </w:r>
      <w:proofErr w:type="spellStart"/>
      <w:r w:rsidRPr="00D06A6D">
        <w:t>d_l</w:t>
      </w:r>
      <w:proofErr w:type="spellEnd"/>
      <w:r w:rsidRPr="00D06A6D">
        <w:t>) is a shared learnable linear projection, σ(·) is the ELU nonlinear activation, and α_</w:t>
      </w:r>
      <w:proofErr w:type="spellStart"/>
      <w:r w:rsidRPr="00D06A6D">
        <w:t>ij</w:t>
      </w:r>
      <w:proofErr w:type="spellEnd"/>
      <w:r w:rsidRPr="00D06A6D">
        <w:t>^(l) are normalized attention coefficients computed as:</w:t>
      </w:r>
    </w:p>
    <w:p w14:paraId="2F4204F2" w14:textId="77777777" w:rsidR="00C524F2" w:rsidRPr="00D06A6D" w:rsidRDefault="00C524F2" w:rsidP="00C524F2">
      <w:pPr>
        <w:spacing w:before="40" w:after="40"/>
      </w:pPr>
      <w:r w:rsidRPr="00D06A6D">
        <w:rPr>
          <w:i/>
          <w:iCs/>
        </w:rPr>
        <w:t>α_</w:t>
      </w:r>
      <w:proofErr w:type="spellStart"/>
      <w:r w:rsidRPr="00D06A6D">
        <w:rPr>
          <w:i/>
          <w:iCs/>
        </w:rPr>
        <w:t>ij</w:t>
      </w:r>
      <w:proofErr w:type="spellEnd"/>
      <w:r w:rsidRPr="00D06A6D">
        <w:rPr>
          <w:i/>
          <w:iCs/>
        </w:rPr>
        <w:t xml:space="preserve"> = </w:t>
      </w:r>
      <w:proofErr w:type="spellStart"/>
      <w:r w:rsidRPr="00D06A6D">
        <w:rPr>
          <w:i/>
          <w:iCs/>
        </w:rPr>
        <w:t>softmax_</w:t>
      </w:r>
      <w:proofErr w:type="gramStart"/>
      <w:r w:rsidRPr="00D06A6D">
        <w:rPr>
          <w:i/>
          <w:iCs/>
        </w:rPr>
        <w:t>j</w:t>
      </w:r>
      <w:proofErr w:type="spellEnd"/>
      <w:r w:rsidRPr="00D06A6D">
        <w:rPr>
          <w:i/>
          <w:iCs/>
        </w:rPr>
        <w:t xml:space="preserve">( </w:t>
      </w:r>
      <w:proofErr w:type="spellStart"/>
      <w:r w:rsidRPr="00D06A6D">
        <w:rPr>
          <w:i/>
          <w:iCs/>
        </w:rPr>
        <w:t>LeakyReLU</w:t>
      </w:r>
      <w:proofErr w:type="spellEnd"/>
      <w:proofErr w:type="gramEnd"/>
      <w:r w:rsidRPr="00D06A6D">
        <w:rPr>
          <w:i/>
          <w:iCs/>
        </w:rPr>
        <w:t xml:space="preserve">( </w:t>
      </w:r>
      <w:proofErr w:type="spellStart"/>
      <w:r w:rsidRPr="00D06A6D">
        <w:rPr>
          <w:i/>
          <w:iCs/>
        </w:rPr>
        <w:t>a^T</w:t>
      </w:r>
      <w:proofErr w:type="spellEnd"/>
      <w:r w:rsidRPr="00D06A6D">
        <w:rPr>
          <w:i/>
          <w:iCs/>
        </w:rPr>
        <w:t xml:space="preserve"> [W </w:t>
      </w:r>
      <w:proofErr w:type="spellStart"/>
      <w:r w:rsidRPr="00D06A6D">
        <w:rPr>
          <w:i/>
          <w:iCs/>
        </w:rPr>
        <w:t>h_i</w:t>
      </w:r>
      <w:proofErr w:type="spellEnd"/>
      <w:r w:rsidRPr="00D06A6D">
        <w:rPr>
          <w:i/>
          <w:iCs/>
        </w:rPr>
        <w:t xml:space="preserve"> ‖ W </w:t>
      </w:r>
      <w:proofErr w:type="spellStart"/>
      <w:r w:rsidRPr="00D06A6D">
        <w:rPr>
          <w:i/>
          <w:iCs/>
        </w:rPr>
        <w:t>h_j</w:t>
      </w:r>
      <w:proofErr w:type="spellEnd"/>
      <w:r w:rsidRPr="00D06A6D">
        <w:rPr>
          <w:i/>
          <w:iCs/>
        </w:rPr>
        <w:t>] ) )</w:t>
      </w:r>
    </w:p>
    <w:p w14:paraId="12C47A14" w14:textId="77777777" w:rsidR="00C524F2" w:rsidRPr="003D24D3" w:rsidRDefault="00C524F2" w:rsidP="0022332E">
      <w:pPr>
        <w:pStyle w:val="BodyText"/>
      </w:pPr>
      <w:r w:rsidRPr="00D06A6D">
        <w:t xml:space="preserve">where a </w:t>
      </w:r>
      <w:r w:rsidRPr="0022332E">
        <w:rPr>
          <w:rFonts w:ascii="Cambria Math" w:hAnsi="Cambria Math" w:cs="Cambria Math"/>
        </w:rPr>
        <w:t>∈</w:t>
      </w:r>
      <w:r w:rsidRPr="00D06A6D">
        <w:t xml:space="preserve"> ℝ^(2d') is a learnable attention parameter vector and ‖ denotes vector concatenation. </w:t>
      </w:r>
      <w:r w:rsidRPr="00571419">
        <w:t xml:space="preserve">Structural edge weight </w:t>
      </w:r>
      <w:proofErr w:type="spellStart"/>
      <w:r w:rsidRPr="00571419">
        <w:t>w_ij</w:t>
      </w:r>
      <w:proofErr w:type="spellEnd"/>
      <w:r w:rsidRPr="00571419">
        <w:t xml:space="preserve"> from A is utilized as a multiplicative prior to the pre-</w:t>
      </w:r>
      <w:proofErr w:type="spellStart"/>
      <w:r w:rsidRPr="00571419">
        <w:t>softmax</w:t>
      </w:r>
      <w:proofErr w:type="spellEnd"/>
      <w:r w:rsidRPr="00571419">
        <w:t xml:space="preserve"> attention logits: </w:t>
      </w:r>
      <w:proofErr w:type="spellStart"/>
      <w:r w:rsidRPr="00571419">
        <w:t>e_ij</w:t>
      </w:r>
      <w:proofErr w:type="spellEnd"/>
      <w:r w:rsidRPr="00571419">
        <w:t xml:space="preserve"> = </w:t>
      </w:r>
      <w:proofErr w:type="spellStart"/>
      <w:r w:rsidRPr="00571419">
        <w:t>w_ij</w:t>
      </w:r>
      <w:proofErr w:type="spellEnd"/>
      <w:r w:rsidRPr="00571419">
        <w:t xml:space="preserve"> · </w:t>
      </w:r>
      <w:proofErr w:type="spellStart"/>
      <w:r w:rsidRPr="00571419">
        <w:t>LeakyReLU</w:t>
      </w:r>
      <w:proofErr w:type="spellEnd"/>
      <w:r w:rsidRPr="00571419">
        <w:t>(</w:t>
      </w:r>
      <w:proofErr w:type="spellStart"/>
      <w:r w:rsidRPr="00571419">
        <w:t>a^T</w:t>
      </w:r>
      <w:proofErr w:type="spellEnd"/>
      <w:r w:rsidRPr="00571419">
        <w:t>[</w:t>
      </w:r>
      <w:proofErr w:type="spellStart"/>
      <w:r w:rsidRPr="00571419">
        <w:t>Wh_i</w:t>
      </w:r>
      <w:proofErr w:type="spellEnd"/>
      <w:r w:rsidRPr="00571419">
        <w:t xml:space="preserve"> ‖ </w:t>
      </w:r>
      <w:proofErr w:type="spellStart"/>
      <w:r w:rsidRPr="00571419">
        <w:t>Wh_j</w:t>
      </w:r>
      <w:proofErr w:type="spellEnd"/>
      <w:r w:rsidRPr="00571419">
        <w:t xml:space="preserve">]) such that anatomically stronger edges are assigned greater importance initially, yet the learned weights can disregard this information when structural connections provide little predictive value for </w:t>
      </w:r>
      <w:r w:rsidRPr="00571419">
        <w:lastRenderedPageBreak/>
        <w:t xml:space="preserve">aging. Multi-head attention with K=8 heads is used in layer 1 and 2, while in layer 3 only one head is used with averaging of heads. Attention layers use hidden sizes [64, 128, 64]. Global attention pool is calculated over all 84 node embeddings with a learned node-importance scalar function resulting in a vector embedding g </w:t>
      </w:r>
      <w:r w:rsidRPr="0022332E">
        <w:rPr>
          <w:rFonts w:ascii="Cambria Math" w:hAnsi="Cambria Math" w:cs="Cambria Math"/>
        </w:rPr>
        <w:t>∈</w:t>
      </w:r>
      <w:r w:rsidRPr="00571419">
        <w:t xml:space="preserve"> ℝ^64 of the whole connectome. This vector embedding goes through two FC layers (FC-64→FC-32) followed by batch normalization and ELU activation functions to produce an output of two scalars (mean and log-variance of predicted age) of a dual regression head. Aggregated coefficients α_</w:t>
      </w:r>
      <w:proofErr w:type="spellStart"/>
      <w:r w:rsidRPr="00571419">
        <w:t>ij</w:t>
      </w:r>
      <w:proofErr w:type="spellEnd"/>
      <w:r w:rsidRPr="00571419">
        <w:t xml:space="preserve"> averaged over all test subjects are stored as the native interpretability feature of the model providing the most age-predictive white-matter connections.</w:t>
      </w:r>
    </w:p>
    <w:p w14:paraId="168C13A8" w14:textId="77777777" w:rsidR="00C524F2" w:rsidRPr="00D9169E" w:rsidRDefault="00C524F2" w:rsidP="00D9169E">
      <w:pPr>
        <w:spacing w:before="80" w:after="40"/>
        <w:jc w:val="both"/>
        <w:rPr>
          <w:i/>
          <w:iCs/>
        </w:rPr>
      </w:pPr>
      <w:r w:rsidRPr="00D06A6D">
        <w:rPr>
          <w:i/>
          <w:iCs/>
        </w:rPr>
        <w:t>E. Bayesian Uncertainty Estimation</w:t>
      </w:r>
    </w:p>
    <w:p w14:paraId="16DAC4F6" w14:textId="4822FA30" w:rsidR="00C524F2" w:rsidRPr="00D06A6D" w:rsidRDefault="00C524F2" w:rsidP="0022332E">
      <w:pPr>
        <w:pStyle w:val="BodyText"/>
      </w:pPr>
      <w:r w:rsidRPr="006736EA">
        <w:t xml:space="preserve">GAT-BU combines two Bayesian uncertainty estimation techniques. The MC Dropout method uses </w:t>
      </w:r>
      <w:r w:rsidR="00003C2B" w:rsidRPr="006736EA">
        <w:t>dropouts’</w:t>
      </w:r>
      <w:r w:rsidRPr="006736EA">
        <w:t xml:space="preserve"> layers with rate p = 0.3 that are added after every fully-connected layer and kept in active (stochastic) mode at inference time. For every test sample, T = 50 stochastic forward passes are performed to yield age samples {</w:t>
      </w:r>
      <w:proofErr w:type="spellStart"/>
      <w:r w:rsidRPr="006736EA">
        <w:t>ŷ_t</w:t>
      </w:r>
      <w:proofErr w:type="spellEnd"/>
      <w:r w:rsidRPr="006736EA">
        <w:t>}.</w:t>
      </w:r>
      <w:r w:rsidRPr="00D06A6D">
        <w:t>The predicted age is the sample mean ŷ = (1/T)</w:t>
      </w:r>
      <w:proofErr w:type="spellStart"/>
      <w:r w:rsidRPr="00D06A6D">
        <w:t>Σ_t</w:t>
      </w:r>
      <w:proofErr w:type="spellEnd"/>
      <w:r w:rsidRPr="00D06A6D">
        <w:t xml:space="preserve"> </w:t>
      </w:r>
      <w:proofErr w:type="spellStart"/>
      <w:r w:rsidRPr="00D06A6D">
        <w:t>ŷ_t</w:t>
      </w:r>
      <w:proofErr w:type="spellEnd"/>
      <w:r w:rsidRPr="00D06A6D">
        <w:t>, and epistemic uncertainty is quantified as the sample variance σ²_ep = (1/T)</w:t>
      </w:r>
      <w:proofErr w:type="spellStart"/>
      <w:r w:rsidRPr="00D06A6D">
        <w:t>Σ_t</w:t>
      </w:r>
      <w:proofErr w:type="spellEnd"/>
      <w:r w:rsidRPr="00D06A6D">
        <w:t>(</w:t>
      </w:r>
      <w:proofErr w:type="spellStart"/>
      <w:r w:rsidRPr="00D06A6D">
        <w:t>ŷ_t</w:t>
      </w:r>
      <w:proofErr w:type="spellEnd"/>
      <w:r w:rsidRPr="00D06A6D">
        <w:t xml:space="preserve">−ŷ)². In the Deep Ensemble approach, M=5 independent GAT-BU models are trained from distinct random weight initializations and different random data orderings. The ensemble mean </w:t>
      </w:r>
      <w:proofErr w:type="spellStart"/>
      <w:r w:rsidRPr="00D06A6D">
        <w:t>μ_ens</w:t>
      </w:r>
      <w:proofErr w:type="spellEnd"/>
      <w:r w:rsidRPr="00D06A6D">
        <w:t xml:space="preserve"> = (1/M)</w:t>
      </w:r>
      <w:proofErr w:type="spellStart"/>
      <w:r w:rsidRPr="00D06A6D">
        <w:t>Σ_m</w:t>
      </w:r>
      <w:proofErr w:type="spellEnd"/>
      <w:r w:rsidRPr="00D06A6D">
        <w:t xml:space="preserve"> </w:t>
      </w:r>
      <w:proofErr w:type="spellStart"/>
      <w:r w:rsidRPr="00D06A6D">
        <w:t>μ_m</w:t>
      </w:r>
      <w:proofErr w:type="spellEnd"/>
      <w:r w:rsidRPr="00D06A6D">
        <w:t xml:space="preserve"> provides the age prediction, and the ensemble variance σ²_ens = (1/M)</w:t>
      </w:r>
      <w:proofErr w:type="spellStart"/>
      <w:r w:rsidRPr="00D06A6D">
        <w:t>Σ_m</w:t>
      </w:r>
      <w:proofErr w:type="spellEnd"/>
      <w:r w:rsidRPr="00D06A6D">
        <w:t>(</w:t>
      </w:r>
      <w:proofErr w:type="spellStart"/>
      <w:r w:rsidRPr="00D06A6D">
        <w:t>μ_m−μ_ens</w:t>
      </w:r>
      <w:proofErr w:type="spellEnd"/>
      <w:r w:rsidRPr="00D06A6D">
        <w:t>)² captures inter-model disagreement as epistemic uncertainty.</w:t>
      </w:r>
    </w:p>
    <w:p w14:paraId="61C2DC4B" w14:textId="77777777" w:rsidR="00C524F2" w:rsidRPr="00D06A6D" w:rsidRDefault="00C524F2" w:rsidP="0022332E">
      <w:pPr>
        <w:pStyle w:val="BodyText"/>
      </w:pPr>
      <w:r w:rsidRPr="00D06A6D">
        <w:t>All models are trained under a Gaussian Negative Log-Likelihood (NLL) objective that jointly optimizes the age prediction and a heteroscedastic aleatoric uncertainty head:</w:t>
      </w:r>
    </w:p>
    <w:p w14:paraId="0B8A1BAA" w14:textId="77777777" w:rsidR="00C524F2" w:rsidRPr="00D06A6D" w:rsidRDefault="00C524F2" w:rsidP="00C524F2">
      <w:pPr>
        <w:spacing w:before="40" w:after="40"/>
      </w:pPr>
      <w:r w:rsidRPr="00D06A6D">
        <w:rPr>
          <w:i/>
          <w:iCs/>
        </w:rPr>
        <w:t xml:space="preserve">L = (1/2) log(σ²_θ) + (y − </w:t>
      </w:r>
      <w:proofErr w:type="spellStart"/>
      <w:r w:rsidRPr="00D06A6D">
        <w:rPr>
          <w:i/>
          <w:iCs/>
        </w:rPr>
        <w:t>μ_</w:t>
      </w:r>
      <w:proofErr w:type="gramStart"/>
      <w:r w:rsidRPr="00D06A6D">
        <w:rPr>
          <w:i/>
          <w:iCs/>
        </w:rPr>
        <w:t>θ</w:t>
      </w:r>
      <w:proofErr w:type="spellEnd"/>
      <w:r w:rsidRPr="00D06A6D">
        <w:rPr>
          <w:i/>
          <w:iCs/>
        </w:rPr>
        <w:t>)²</w:t>
      </w:r>
      <w:proofErr w:type="gramEnd"/>
      <w:r w:rsidRPr="00D06A6D">
        <w:rPr>
          <w:i/>
          <w:iCs/>
        </w:rPr>
        <w:t xml:space="preserve"> / (2σ²_θ) + λ‖θ‖²</w:t>
      </w:r>
    </w:p>
    <w:p w14:paraId="4C540A3F" w14:textId="77777777" w:rsidR="00C524F2" w:rsidRPr="00D06A6D" w:rsidRDefault="00C524F2" w:rsidP="0022332E">
      <w:pPr>
        <w:pStyle w:val="BodyText"/>
      </w:pPr>
      <w:r w:rsidRPr="00D06A6D">
        <w:t>where λ=1×10⁻⁴ is an L₂ weight decay coefficient. This objective encourages the model to report high predicted variance for subjects whose connectomes are intrinsically ambiguous, regardless of epistemic model uncertainty. The total predictive uncertainty for deployment combines aleatoric variance (from the NLL head) and epistemic variance (from MC dropout or ensemble spread) additively: σ²_total = σ²_alea + σ²_ep.</w:t>
      </w:r>
    </w:p>
    <w:p w14:paraId="4F19E349" w14:textId="77777777" w:rsidR="00C524F2" w:rsidRPr="00D06A6D" w:rsidRDefault="00C524F2" w:rsidP="00C524F2">
      <w:pPr>
        <w:spacing w:before="80" w:after="40"/>
        <w:jc w:val="both"/>
      </w:pPr>
      <w:r w:rsidRPr="00D06A6D">
        <w:rPr>
          <w:i/>
          <w:iCs/>
        </w:rPr>
        <w:t>F. Training Protocol</w:t>
      </w:r>
    </w:p>
    <w:p w14:paraId="4A5BB345" w14:textId="7C7A61CD" w:rsidR="00C524F2" w:rsidRPr="00C524F2" w:rsidRDefault="00C524F2" w:rsidP="0022332E">
      <w:pPr>
        <w:pStyle w:val="BodyText"/>
      </w:pPr>
      <w:r w:rsidRPr="00D06A6D">
        <w:t xml:space="preserve">All models are optimized using the </w:t>
      </w:r>
      <w:proofErr w:type="spellStart"/>
      <w:r w:rsidRPr="00D06A6D">
        <w:t>AdamW</w:t>
      </w:r>
      <w:proofErr w:type="spellEnd"/>
      <w:r w:rsidRPr="00D06A6D">
        <w:t xml:space="preserve"> optimizer with initial learning rate </w:t>
      </w:r>
      <w:proofErr w:type="spellStart"/>
      <w:r w:rsidRPr="00D06A6D">
        <w:t>lr</w:t>
      </w:r>
      <w:proofErr w:type="spellEnd"/>
      <w:r w:rsidRPr="00D06A6D">
        <w:t xml:space="preserve">=1×10⁻³ and weight decay=1×10⁻⁴. A cosine annealing learning rate schedule with warm restarts (T₀=50 epochs, </w:t>
      </w:r>
      <w:proofErr w:type="spellStart"/>
      <w:r w:rsidRPr="00D06A6D">
        <w:t>T_mult</w:t>
      </w:r>
      <w:proofErr w:type="spellEnd"/>
      <w:r w:rsidRPr="00D06A6D">
        <w:t>=2) is used. Training runs for a maximum of 300 epochs with early stopping based on validation MAE (patience=40 epochs, minimum improvement=0.01 years). Mini-batch size is 32 connectome graphs. Three stochastic data augmentation strategies are applied per training batch: (</w:t>
      </w:r>
      <w:proofErr w:type="spellStart"/>
      <w:r w:rsidRPr="00D06A6D">
        <w:t>i</w:t>
      </w:r>
      <w:proofErr w:type="spellEnd"/>
      <w:r w:rsidRPr="00D06A6D">
        <w:t xml:space="preserve">) random edge dropout — zeroing 10% of randomly selected adjacency entries to simulate tractography noise; (ii) Gaussian node feature jitter — adding independent Gaussian noise with σ=0.01×per-feature standard deviation; (iii) hemisphere mirroring — swapping left and right hemisphere node indices with probability p=0.5, exploiting approximate bilateral symmetry of white-matter architecture. All experiments are implemented in </w:t>
      </w:r>
      <w:proofErr w:type="spellStart"/>
      <w:r w:rsidRPr="00D06A6D">
        <w:t>PyTorch</w:t>
      </w:r>
      <w:proofErr w:type="spellEnd"/>
      <w:r w:rsidRPr="00D06A6D">
        <w:t xml:space="preserve"> 2.1 with </w:t>
      </w:r>
      <w:proofErr w:type="spellStart"/>
      <w:r w:rsidRPr="00D06A6D">
        <w:t>PyTorch</w:t>
      </w:r>
      <w:proofErr w:type="spellEnd"/>
      <w:r w:rsidRPr="00D06A6D">
        <w:t xml:space="preserve"> Geometric [19] and executed on NVIDIA A100-80GB GPUs. Preprocessed connectome graphs are serialized to </w:t>
      </w:r>
      <w:r w:rsidRPr="00D06A6D">
        <w:lastRenderedPageBreak/>
        <w:t xml:space="preserve">disk as </w:t>
      </w:r>
      <w:proofErr w:type="spellStart"/>
      <w:r w:rsidRPr="00D06A6D">
        <w:t>PyTorch</w:t>
      </w:r>
      <w:proofErr w:type="spellEnd"/>
      <w:r w:rsidRPr="00D06A6D">
        <w:t xml:space="preserve"> Geometric </w:t>
      </w:r>
      <w:proofErr w:type="spellStart"/>
      <w:r w:rsidRPr="00D06A6D">
        <w:t>HeteroData</w:t>
      </w:r>
      <w:proofErr w:type="spellEnd"/>
      <w:r w:rsidRPr="00D06A6D">
        <w:t xml:space="preserve"> objects to avoid redundant tractography computation across training epochs.</w:t>
      </w:r>
    </w:p>
    <w:p w14:paraId="29E83503" w14:textId="77777777" w:rsidR="009303D9" w:rsidRDefault="004567B6" w:rsidP="00BD420B">
      <w:pPr>
        <w:pStyle w:val="Heading1"/>
      </w:pPr>
      <w:r>
        <w:t>experiments</w:t>
      </w:r>
    </w:p>
    <w:p w14:paraId="5B0B22CC" w14:textId="77777777" w:rsidR="00C524F2" w:rsidRPr="00D06A6D" w:rsidRDefault="00C524F2" w:rsidP="00C524F2">
      <w:pPr>
        <w:spacing w:before="80" w:after="40"/>
        <w:jc w:val="both"/>
      </w:pPr>
      <w:r w:rsidRPr="00D06A6D">
        <w:rPr>
          <w:i/>
          <w:iCs/>
        </w:rPr>
        <w:t>A. Datasets and Preprocessing</w:t>
      </w:r>
    </w:p>
    <w:p w14:paraId="01FDBB6C" w14:textId="4A255DAE" w:rsidR="00C524F2" w:rsidRDefault="00C524F2" w:rsidP="0022332E">
      <w:pPr>
        <w:pStyle w:val="BodyText"/>
      </w:pPr>
      <w:r w:rsidRPr="00D06A6D">
        <w:t>Experiments use two publicly available large-scale longitudinal neuroimaging cohorts. OASIS-3 is a longitudinal aging and dementia study collected at Washington University School of Medicine, comprising cognitively normal adults and subjects with MCI or AD diagnoses confirmed by clinical consensus. Participants range in age from 42 to 95 years. The dataset provides multi-echo MPRAGE T1-weighted structural MRI, multi-shell diffusion MRI (b=0/1000/2000 s/mm², 32 directions per shell on a 1.25 mm isotropic grid), MMSE scores, and CDR ratings at each l</w:t>
      </w:r>
      <w:r w:rsidR="00DC103C">
        <w:t xml:space="preserve">ongitudinal visit. Following </w:t>
      </w:r>
      <w:r w:rsidR="00DC103C">
        <w:rPr>
          <w:lang w:val="en-US"/>
        </w:rPr>
        <w:t>Authors</w:t>
      </w:r>
      <w:r w:rsidRPr="00D06A6D">
        <w:t xml:space="preserve"> </w:t>
      </w:r>
      <w:proofErr w:type="spellStart"/>
      <w:r w:rsidRPr="00D06A6D">
        <w:t>dMRI</w:t>
      </w:r>
      <w:proofErr w:type="spellEnd"/>
      <w:r w:rsidRPr="00D06A6D">
        <w:t xml:space="preserve"> quality control pipeline — excluding sessions with fewer than 30 gradient directions, maximum b-value below 1000 s/mm², or eddy outlier fraction exceeding 10% of slices — the effective OASIS-3 sample is 812 sessions from 384 unique subjects. For cross-sectional analysis, only each subject's baseline session is used to prevent data leakage across </w:t>
      </w:r>
      <w:proofErr w:type="spellStart"/>
      <w:r w:rsidRPr="00D06A6D">
        <w:t>splits.ADNI</w:t>
      </w:r>
      <w:proofErr w:type="spellEnd"/>
      <w:r w:rsidRPr="00D06A6D">
        <w:t xml:space="preserve"> is a multi-site North American longitudinal study spanning CN, early MCI (EMCI), late MCI (LMCI), and AD diagnostic groups. Subjects range from 55 to 90 years of age. Harmonized T1-weighted structural MRI and </w:t>
      </w:r>
      <w:proofErr w:type="spellStart"/>
      <w:r w:rsidRPr="00D06A6D">
        <w:t>dMRI</w:t>
      </w:r>
      <w:proofErr w:type="spellEnd"/>
      <w:r w:rsidRPr="00D06A6D">
        <w:t xml:space="preserve"> data are available from 57 acquisition sites using a standardized ADNI-3 protocol. After applying identical </w:t>
      </w:r>
      <w:proofErr w:type="spellStart"/>
      <w:r w:rsidRPr="00D06A6D">
        <w:t>dMRI</w:t>
      </w:r>
      <w:proofErr w:type="spellEnd"/>
      <w:r w:rsidRPr="00D06A6D">
        <w:t xml:space="preserve"> quality control criteria, the ADNI sample comprises 1,087 unique baseline sessions. Inter-site variability in connectome edge weights is addressed with </w:t>
      </w:r>
      <w:proofErr w:type="spellStart"/>
      <w:r w:rsidRPr="00D06A6D">
        <w:t>ComBat</w:t>
      </w:r>
      <w:proofErr w:type="spellEnd"/>
      <w:r w:rsidRPr="00D06A6D">
        <w:t xml:space="preserve"> harmonization using age, sex, and diagnostic group as biological covariates of interest, applied to log-transformed edge weights before model training. Both cohorts are randomly partitioned into 70% training, 15% validation, and 15% held-out test sets, stratified jointly by age decile and diagnostic group to ensure balanced class and age-range representation across all three partitions.</w:t>
      </w:r>
    </w:p>
    <w:p w14:paraId="2595EF03" w14:textId="77777777" w:rsidR="00C524F2" w:rsidRPr="00D06A6D" w:rsidRDefault="00C524F2" w:rsidP="00C524F2">
      <w:pPr>
        <w:spacing w:before="80" w:after="40"/>
        <w:jc w:val="both"/>
      </w:pPr>
      <w:r w:rsidRPr="00D06A6D">
        <w:rPr>
          <w:i/>
          <w:iCs/>
        </w:rPr>
        <w:t>B. Baseline Models</w:t>
      </w:r>
    </w:p>
    <w:p w14:paraId="03FEFC6B" w14:textId="7B09BB8E" w:rsidR="00C524F2" w:rsidRDefault="00C524F2" w:rsidP="0022332E">
      <w:pPr>
        <w:pStyle w:val="BodyText"/>
      </w:pPr>
      <w:r w:rsidRPr="00D06A6D">
        <w:t xml:space="preserve">GAT-BU is benchmarked against five competitive baselines representing contemporary state-of-the-art approaches. 3D </w:t>
      </w:r>
      <w:proofErr w:type="spellStart"/>
      <w:r w:rsidRPr="00D06A6D">
        <w:t>ResNet</w:t>
      </w:r>
      <w:proofErr w:type="spellEnd"/>
      <w:r w:rsidRPr="00D06A6D">
        <w:t xml:space="preserve"> a three-dimensional residual convolutional network with 50 layers applied to T1-weighted MRI at 1 mm isotropic resolution, using global average pooling and a linear regression head; this baseline represents the standard voxel-based CNN approach. </w:t>
      </w:r>
      <w:proofErr w:type="spellStart"/>
      <w:r w:rsidRPr="00D06A6D">
        <w:t>ViT</w:t>
      </w:r>
      <w:proofErr w:type="spellEnd"/>
      <w:r w:rsidRPr="00D06A6D">
        <w:t xml:space="preserve">-Brain a 3D Vision Transformer with patch size 16³ mm, 12 attention heads, and 768-dimensional embeddings, pretrained on </w:t>
      </w:r>
      <w:r w:rsidR="00404E18">
        <w:t xml:space="preserve">UK Biobank and fine-tuned on </w:t>
      </w:r>
      <w:r w:rsidR="00404E18">
        <w:rPr>
          <w:lang w:val="en-US"/>
        </w:rPr>
        <w:t>The Authors</w:t>
      </w:r>
      <w:r w:rsidRPr="00D06A6D">
        <w:t xml:space="preserve"> training splits; this represents the state-of-the-art transformer approach. </w:t>
      </w:r>
      <w:proofErr w:type="spellStart"/>
      <w:r w:rsidRPr="00D06A6D">
        <w:t>BrainAGE</w:t>
      </w:r>
      <w:proofErr w:type="spellEnd"/>
      <w:r w:rsidRPr="00D06A6D">
        <w:t xml:space="preserve">+ the multi-scale cross-attention network fusing cortical thickness and volumetric features, representing the best-performing single-modal deep learning baseline. MSGNN a multi-scale GNN operating on structural connectomes derived from the same tractography pipeline, representing the strongest published GNN brain age regression baseline. </w:t>
      </w:r>
      <w:proofErr w:type="spellStart"/>
      <w:r w:rsidRPr="00D06A6D">
        <w:t>BayesGAT</w:t>
      </w:r>
      <w:proofErr w:type="spellEnd"/>
      <w:r w:rsidRPr="00D06A6D">
        <w:t xml:space="preserve"> : a single-head MC-dropout GAT adapted from Alzheimer's staging to age regression, representing the ablation of GAT-BU that uses only MC dropout without deep ensemble diversity. All baselines are trained from scratch on the identical training partition using their originally published hyperparameters, and all evaluations are performed exclusively on the held-</w:t>
      </w:r>
      <w:r w:rsidRPr="00D06A6D">
        <w:lastRenderedPageBreak/>
        <w:t xml:space="preserve">out test set that is never observed during training or </w:t>
      </w:r>
      <w:proofErr w:type="spellStart"/>
      <w:r w:rsidRPr="00D06A6D">
        <w:t>hyperparameter</w:t>
      </w:r>
      <w:proofErr w:type="spellEnd"/>
      <w:r w:rsidRPr="00D06A6D">
        <w:t xml:space="preserve"> selection.</w:t>
      </w:r>
    </w:p>
    <w:p w14:paraId="68263C6E" w14:textId="77777777" w:rsidR="00C524F2" w:rsidRPr="00D06A6D" w:rsidRDefault="00C524F2" w:rsidP="00C524F2">
      <w:pPr>
        <w:spacing w:before="80" w:after="40"/>
        <w:jc w:val="both"/>
      </w:pPr>
      <w:r w:rsidRPr="00D06A6D">
        <w:rPr>
          <w:i/>
          <w:iCs/>
        </w:rPr>
        <w:t>C. Evaluation Metrics</w:t>
      </w:r>
    </w:p>
    <w:p w14:paraId="1DE94492" w14:textId="77777777" w:rsidR="00C524F2" w:rsidRPr="00D06A6D" w:rsidRDefault="00C524F2" w:rsidP="0022332E">
      <w:pPr>
        <w:pStyle w:val="BodyText"/>
      </w:pPr>
      <w:r w:rsidRPr="00D06A6D">
        <w:t>Prediction accuracy is evaluated via MAE in years (primary metric), RMSE, and R² between predicted and chronological age, with 95% bootstrap confidence intervals (B=1000 resamples). Uncertainty calibration is assessed by Expected Calibration Error (ECE) with 15 equal-width confidence bins, sharpness (mean predicted standard deviation σ, lower is more informative), and empirical coverage at the nominal 95% confidence level. Clinical biomarker validity is assessed by one-way ANOVA comparing BAG and predictive uncertainty across CN, MCI, and AD diagnostic groups on OASIS-3, with Tukey HSD post-hoc tests, Bonferroni correction (α=0.05), and Cohen's d pairwise effect sizes.</w:t>
      </w:r>
    </w:p>
    <w:p w14:paraId="242EEE51" w14:textId="2437D59A" w:rsidR="00B67BF8" w:rsidRDefault="00C524F2" w:rsidP="00427237">
      <w:pPr>
        <w:pStyle w:val="Heading1"/>
        <w:ind w:firstLine="0"/>
      </w:pPr>
      <w:r>
        <w:t>RESULTS</w:t>
      </w:r>
      <w:r w:rsidR="00B67BF8" w:rsidRPr="00427237">
        <w:t xml:space="preserve"> AND FUTURE </w:t>
      </w:r>
      <w:r>
        <w:t>DISCUSSION</w:t>
      </w:r>
    </w:p>
    <w:p w14:paraId="14C5816B" w14:textId="77777777" w:rsidR="00C524F2" w:rsidRPr="00D06A6D" w:rsidRDefault="00C524F2" w:rsidP="00C524F2">
      <w:pPr>
        <w:spacing w:before="80" w:after="40"/>
        <w:jc w:val="both"/>
      </w:pPr>
      <w:r w:rsidRPr="00D06A6D">
        <w:rPr>
          <w:i/>
          <w:iCs/>
        </w:rPr>
        <w:t>A. Brain Age Prediction Accuracy</w:t>
      </w:r>
    </w:p>
    <w:p w14:paraId="2F28809A" w14:textId="4F28C6D8" w:rsidR="004212BE" w:rsidRPr="004212BE" w:rsidRDefault="004212BE" w:rsidP="004212BE">
      <w:pPr>
        <w:spacing w:after="80"/>
        <w:ind w:firstLine="360"/>
        <w:rPr>
          <w:sz w:val="16"/>
          <w:szCs w:val="16"/>
        </w:rPr>
      </w:pPr>
      <w:r w:rsidRPr="004212BE">
        <w:rPr>
          <w:sz w:val="16"/>
          <w:szCs w:val="16"/>
        </w:rPr>
        <w:t>TABLE</w:t>
      </w:r>
      <w:r>
        <w:rPr>
          <w:sz w:val="16"/>
          <w:szCs w:val="16"/>
        </w:rPr>
        <w:t xml:space="preserve">. </w:t>
      </w:r>
      <w:r w:rsidRPr="004212BE">
        <w:rPr>
          <w:sz w:val="16"/>
          <w:szCs w:val="16"/>
        </w:rPr>
        <w:t xml:space="preserve">I. </w:t>
      </w:r>
      <w:r w:rsidRPr="004212BE">
        <w:rPr>
          <w:i/>
          <w:iCs/>
          <w:sz w:val="16"/>
          <w:szCs w:val="16"/>
        </w:rPr>
        <w:t xml:space="preserve">Accuracy on OASIS-3 Held-Out Test </w:t>
      </w:r>
      <w:r w:rsidR="004942FF" w:rsidRPr="004212BE">
        <w:rPr>
          <w:i/>
          <w:iCs/>
          <w:sz w:val="16"/>
          <w:szCs w:val="16"/>
        </w:rPr>
        <w:t>Set (</w:t>
      </w:r>
      <w:r w:rsidRPr="004212BE">
        <w:rPr>
          <w:i/>
          <w:iCs/>
          <w:sz w:val="16"/>
          <w:szCs w:val="16"/>
        </w:rPr>
        <w:t>Set (MC-D + Ensemble UQ)</w:t>
      </w:r>
    </w:p>
    <w:tbl>
      <w:tblPr>
        <w:tblW w:w="5116" w:type="pct"/>
        <w:tblLook w:val="04A0" w:firstRow="1" w:lastRow="0" w:firstColumn="1" w:lastColumn="0" w:noHBand="0" w:noVBand="1"/>
      </w:tblPr>
      <w:tblGrid>
        <w:gridCol w:w="1509"/>
        <w:gridCol w:w="1105"/>
        <w:gridCol w:w="880"/>
        <w:gridCol w:w="566"/>
        <w:gridCol w:w="739"/>
      </w:tblGrid>
      <w:tr w:rsidR="004212BE" w:rsidRPr="004212BE" w14:paraId="434D6B47" w14:textId="77777777" w:rsidTr="009F18C1">
        <w:trPr>
          <w:trHeight w:val="290"/>
        </w:trPr>
        <w:tc>
          <w:tcPr>
            <w:tcW w:w="1587" w:type="pct"/>
            <w:tcBorders>
              <w:top w:val="single" w:sz="4" w:space="0" w:color="auto"/>
              <w:left w:val="single" w:sz="4" w:space="0" w:color="auto"/>
              <w:bottom w:val="single" w:sz="4" w:space="0" w:color="auto"/>
              <w:right w:val="single" w:sz="4" w:space="0" w:color="auto"/>
            </w:tcBorders>
            <w:noWrap/>
            <w:vAlign w:val="center"/>
            <w:hideMark/>
          </w:tcPr>
          <w:p w14:paraId="4FCB9540" w14:textId="77777777" w:rsidR="004212BE" w:rsidRPr="004212BE" w:rsidRDefault="004212BE" w:rsidP="004212BE">
            <w:pPr>
              <w:rPr>
                <w:rFonts w:eastAsia="Times New Roman"/>
                <w:b/>
                <w:bCs/>
                <w:color w:val="000000"/>
                <w:lang w:val="en-IN" w:eastAsia="en-IN"/>
              </w:rPr>
            </w:pPr>
            <w:r w:rsidRPr="004212BE">
              <w:rPr>
                <w:rFonts w:eastAsia="Times New Roman"/>
                <w:b/>
                <w:bCs/>
                <w:lang w:val="en-IN" w:eastAsia="en-IN"/>
              </w:rPr>
              <w:t>Method</w:t>
            </w:r>
          </w:p>
        </w:tc>
        <w:tc>
          <w:tcPr>
            <w:tcW w:w="1137" w:type="pct"/>
            <w:tcBorders>
              <w:top w:val="single" w:sz="4" w:space="0" w:color="auto"/>
              <w:left w:val="nil"/>
              <w:bottom w:val="single" w:sz="4" w:space="0" w:color="auto"/>
              <w:right w:val="single" w:sz="4" w:space="0" w:color="auto"/>
            </w:tcBorders>
            <w:noWrap/>
            <w:vAlign w:val="center"/>
            <w:hideMark/>
          </w:tcPr>
          <w:p w14:paraId="50299AC8" w14:textId="77777777" w:rsidR="004212BE" w:rsidRPr="004212BE" w:rsidRDefault="004212BE" w:rsidP="004212BE">
            <w:pPr>
              <w:rPr>
                <w:rFonts w:eastAsia="Times New Roman"/>
                <w:b/>
                <w:bCs/>
                <w:color w:val="000000"/>
                <w:lang w:val="en-IN" w:eastAsia="en-IN"/>
              </w:rPr>
            </w:pPr>
            <w:r w:rsidRPr="004212BE">
              <w:rPr>
                <w:rFonts w:eastAsia="Times New Roman"/>
                <w:b/>
                <w:bCs/>
                <w:lang w:val="en-IN" w:eastAsia="en-IN"/>
              </w:rPr>
              <w:t>MAE↓(yr)</w:t>
            </w:r>
          </w:p>
        </w:tc>
        <w:tc>
          <w:tcPr>
            <w:tcW w:w="931" w:type="pct"/>
            <w:tcBorders>
              <w:top w:val="single" w:sz="4" w:space="0" w:color="auto"/>
              <w:left w:val="nil"/>
              <w:bottom w:val="single" w:sz="4" w:space="0" w:color="auto"/>
              <w:right w:val="single" w:sz="4" w:space="0" w:color="auto"/>
            </w:tcBorders>
            <w:noWrap/>
            <w:vAlign w:val="center"/>
            <w:hideMark/>
          </w:tcPr>
          <w:p w14:paraId="6723BF06" w14:textId="77777777" w:rsidR="004212BE" w:rsidRPr="004212BE" w:rsidRDefault="004212BE" w:rsidP="004212BE">
            <w:pPr>
              <w:rPr>
                <w:rFonts w:eastAsia="Times New Roman"/>
                <w:b/>
                <w:bCs/>
                <w:color w:val="000000"/>
                <w:lang w:val="en-IN" w:eastAsia="en-IN"/>
              </w:rPr>
            </w:pPr>
            <w:r w:rsidRPr="004212BE">
              <w:rPr>
                <w:rFonts w:eastAsia="Times New Roman"/>
                <w:b/>
                <w:bCs/>
                <w:lang w:val="en-IN" w:eastAsia="en-IN"/>
              </w:rPr>
              <w:t>RMSE</w:t>
            </w:r>
          </w:p>
        </w:tc>
        <w:tc>
          <w:tcPr>
            <w:tcW w:w="583" w:type="pct"/>
            <w:tcBorders>
              <w:top w:val="single" w:sz="4" w:space="0" w:color="auto"/>
              <w:left w:val="nil"/>
              <w:bottom w:val="single" w:sz="4" w:space="0" w:color="auto"/>
              <w:right w:val="single" w:sz="4" w:space="0" w:color="auto"/>
            </w:tcBorders>
            <w:noWrap/>
            <w:vAlign w:val="center"/>
            <w:hideMark/>
          </w:tcPr>
          <w:p w14:paraId="6164373F" w14:textId="77777777" w:rsidR="004212BE" w:rsidRPr="004212BE" w:rsidRDefault="004212BE" w:rsidP="004212BE">
            <w:pPr>
              <w:rPr>
                <w:rFonts w:eastAsia="Times New Roman"/>
                <w:b/>
                <w:bCs/>
                <w:color w:val="000000"/>
                <w:lang w:val="en-IN" w:eastAsia="en-IN"/>
              </w:rPr>
            </w:pPr>
            <w:r w:rsidRPr="004212BE">
              <w:rPr>
                <w:rFonts w:eastAsia="Times New Roman"/>
                <w:b/>
                <w:bCs/>
                <w:lang w:val="en-IN" w:eastAsia="en-IN"/>
              </w:rPr>
              <w:t>R²↑</w:t>
            </w:r>
          </w:p>
        </w:tc>
        <w:tc>
          <w:tcPr>
            <w:tcW w:w="762" w:type="pct"/>
            <w:tcBorders>
              <w:top w:val="single" w:sz="4" w:space="0" w:color="auto"/>
              <w:left w:val="nil"/>
              <w:bottom w:val="single" w:sz="4" w:space="0" w:color="auto"/>
              <w:right w:val="single" w:sz="4" w:space="0" w:color="auto"/>
            </w:tcBorders>
            <w:noWrap/>
            <w:vAlign w:val="center"/>
            <w:hideMark/>
          </w:tcPr>
          <w:p w14:paraId="5CA86592" w14:textId="77777777" w:rsidR="004212BE" w:rsidRPr="004212BE" w:rsidRDefault="004212BE" w:rsidP="004212BE">
            <w:pPr>
              <w:rPr>
                <w:rFonts w:eastAsia="Times New Roman"/>
                <w:b/>
                <w:bCs/>
                <w:color w:val="000000"/>
                <w:lang w:val="en-IN" w:eastAsia="en-IN"/>
              </w:rPr>
            </w:pPr>
            <w:r w:rsidRPr="004212BE">
              <w:rPr>
                <w:rFonts w:eastAsia="Times New Roman"/>
                <w:b/>
                <w:bCs/>
                <w:lang w:val="en-IN" w:eastAsia="en-IN"/>
              </w:rPr>
              <w:t>UQ</w:t>
            </w:r>
          </w:p>
        </w:tc>
      </w:tr>
      <w:tr w:rsidR="004212BE" w:rsidRPr="004212BE" w14:paraId="254B3FDB" w14:textId="77777777" w:rsidTr="009F18C1">
        <w:trPr>
          <w:trHeight w:val="290"/>
        </w:trPr>
        <w:tc>
          <w:tcPr>
            <w:tcW w:w="1587" w:type="pct"/>
            <w:tcBorders>
              <w:top w:val="nil"/>
              <w:left w:val="single" w:sz="4" w:space="0" w:color="auto"/>
              <w:bottom w:val="single" w:sz="4" w:space="0" w:color="auto"/>
              <w:right w:val="single" w:sz="4" w:space="0" w:color="auto"/>
            </w:tcBorders>
            <w:noWrap/>
            <w:vAlign w:val="center"/>
            <w:hideMark/>
          </w:tcPr>
          <w:p w14:paraId="0C196973" w14:textId="77777777" w:rsidR="004212BE" w:rsidRPr="004212BE" w:rsidRDefault="004212BE" w:rsidP="004212BE">
            <w:pPr>
              <w:jc w:val="left"/>
              <w:rPr>
                <w:rFonts w:eastAsia="Times New Roman"/>
                <w:color w:val="000000"/>
                <w:lang w:val="en-IN" w:eastAsia="en-IN"/>
              </w:rPr>
            </w:pPr>
            <w:r w:rsidRPr="004212BE">
              <w:rPr>
                <w:rFonts w:eastAsia="Times New Roman"/>
                <w:lang w:val="en-IN" w:eastAsia="en-IN"/>
              </w:rPr>
              <w:t xml:space="preserve">3D </w:t>
            </w:r>
            <w:proofErr w:type="spellStart"/>
            <w:r w:rsidRPr="004212BE">
              <w:rPr>
                <w:rFonts w:eastAsia="Times New Roman"/>
                <w:lang w:val="en-IN" w:eastAsia="en-IN"/>
              </w:rPr>
              <w:t>ResNet</w:t>
            </w:r>
            <w:proofErr w:type="spellEnd"/>
            <w:r w:rsidRPr="004212BE">
              <w:rPr>
                <w:rFonts w:eastAsia="Times New Roman"/>
                <w:lang w:val="en-IN" w:eastAsia="en-IN"/>
              </w:rPr>
              <w:t xml:space="preserve"> [3]</w:t>
            </w:r>
          </w:p>
        </w:tc>
        <w:tc>
          <w:tcPr>
            <w:tcW w:w="1137" w:type="pct"/>
            <w:tcBorders>
              <w:top w:val="nil"/>
              <w:left w:val="nil"/>
              <w:bottom w:val="single" w:sz="4" w:space="0" w:color="auto"/>
              <w:right w:val="single" w:sz="4" w:space="0" w:color="auto"/>
            </w:tcBorders>
            <w:noWrap/>
            <w:vAlign w:val="center"/>
            <w:hideMark/>
          </w:tcPr>
          <w:p w14:paraId="45EF0E69"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3.62</w:t>
            </w:r>
          </w:p>
        </w:tc>
        <w:tc>
          <w:tcPr>
            <w:tcW w:w="931" w:type="pct"/>
            <w:tcBorders>
              <w:top w:val="nil"/>
              <w:left w:val="nil"/>
              <w:bottom w:val="single" w:sz="4" w:space="0" w:color="auto"/>
              <w:right w:val="single" w:sz="4" w:space="0" w:color="auto"/>
            </w:tcBorders>
            <w:noWrap/>
            <w:vAlign w:val="center"/>
            <w:hideMark/>
          </w:tcPr>
          <w:p w14:paraId="7F089D5E"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4.71</w:t>
            </w:r>
          </w:p>
        </w:tc>
        <w:tc>
          <w:tcPr>
            <w:tcW w:w="583" w:type="pct"/>
            <w:tcBorders>
              <w:top w:val="nil"/>
              <w:left w:val="nil"/>
              <w:bottom w:val="single" w:sz="4" w:space="0" w:color="auto"/>
              <w:right w:val="single" w:sz="4" w:space="0" w:color="auto"/>
            </w:tcBorders>
            <w:noWrap/>
            <w:vAlign w:val="center"/>
            <w:hideMark/>
          </w:tcPr>
          <w:p w14:paraId="088A2D71"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0.91</w:t>
            </w:r>
          </w:p>
        </w:tc>
        <w:tc>
          <w:tcPr>
            <w:tcW w:w="762" w:type="pct"/>
            <w:tcBorders>
              <w:top w:val="nil"/>
              <w:left w:val="nil"/>
              <w:bottom w:val="single" w:sz="4" w:space="0" w:color="auto"/>
              <w:right w:val="single" w:sz="4" w:space="0" w:color="auto"/>
            </w:tcBorders>
            <w:noWrap/>
            <w:vAlign w:val="center"/>
            <w:hideMark/>
          </w:tcPr>
          <w:p w14:paraId="37FDF921"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No</w:t>
            </w:r>
          </w:p>
        </w:tc>
      </w:tr>
      <w:tr w:rsidR="004212BE" w:rsidRPr="004212BE" w14:paraId="52EEDAF1" w14:textId="77777777" w:rsidTr="009F18C1">
        <w:trPr>
          <w:trHeight w:val="290"/>
        </w:trPr>
        <w:tc>
          <w:tcPr>
            <w:tcW w:w="1587" w:type="pct"/>
            <w:tcBorders>
              <w:top w:val="nil"/>
              <w:left w:val="single" w:sz="4" w:space="0" w:color="auto"/>
              <w:bottom w:val="single" w:sz="4" w:space="0" w:color="auto"/>
              <w:right w:val="single" w:sz="4" w:space="0" w:color="auto"/>
            </w:tcBorders>
            <w:noWrap/>
            <w:vAlign w:val="center"/>
            <w:hideMark/>
          </w:tcPr>
          <w:p w14:paraId="52DD785E" w14:textId="77777777" w:rsidR="004212BE" w:rsidRPr="004212BE" w:rsidRDefault="004212BE" w:rsidP="004212BE">
            <w:pPr>
              <w:jc w:val="left"/>
              <w:rPr>
                <w:rFonts w:eastAsia="Times New Roman"/>
                <w:color w:val="000000"/>
                <w:lang w:val="en-IN" w:eastAsia="en-IN"/>
              </w:rPr>
            </w:pPr>
            <w:proofErr w:type="spellStart"/>
            <w:r w:rsidRPr="004212BE">
              <w:rPr>
                <w:rFonts w:eastAsia="Times New Roman"/>
                <w:lang w:val="en-IN" w:eastAsia="en-IN"/>
              </w:rPr>
              <w:t>ViT</w:t>
            </w:r>
            <w:proofErr w:type="spellEnd"/>
            <w:r w:rsidRPr="004212BE">
              <w:rPr>
                <w:rFonts w:eastAsia="Times New Roman"/>
                <w:lang w:val="en-IN" w:eastAsia="en-IN"/>
              </w:rPr>
              <w:t>-Brain [4]</w:t>
            </w:r>
          </w:p>
        </w:tc>
        <w:tc>
          <w:tcPr>
            <w:tcW w:w="1137" w:type="pct"/>
            <w:tcBorders>
              <w:top w:val="nil"/>
              <w:left w:val="nil"/>
              <w:bottom w:val="single" w:sz="4" w:space="0" w:color="auto"/>
              <w:right w:val="single" w:sz="4" w:space="0" w:color="auto"/>
            </w:tcBorders>
            <w:noWrap/>
            <w:vAlign w:val="center"/>
            <w:hideMark/>
          </w:tcPr>
          <w:p w14:paraId="155F96C0"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3.41</w:t>
            </w:r>
          </w:p>
        </w:tc>
        <w:tc>
          <w:tcPr>
            <w:tcW w:w="931" w:type="pct"/>
            <w:tcBorders>
              <w:top w:val="nil"/>
              <w:left w:val="nil"/>
              <w:bottom w:val="single" w:sz="4" w:space="0" w:color="auto"/>
              <w:right w:val="single" w:sz="4" w:space="0" w:color="auto"/>
            </w:tcBorders>
            <w:noWrap/>
            <w:vAlign w:val="center"/>
            <w:hideMark/>
          </w:tcPr>
          <w:p w14:paraId="0F270D1C"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4.43</w:t>
            </w:r>
          </w:p>
        </w:tc>
        <w:tc>
          <w:tcPr>
            <w:tcW w:w="583" w:type="pct"/>
            <w:tcBorders>
              <w:top w:val="nil"/>
              <w:left w:val="nil"/>
              <w:bottom w:val="single" w:sz="4" w:space="0" w:color="auto"/>
              <w:right w:val="single" w:sz="4" w:space="0" w:color="auto"/>
            </w:tcBorders>
            <w:noWrap/>
            <w:vAlign w:val="center"/>
            <w:hideMark/>
          </w:tcPr>
          <w:p w14:paraId="682E97FA"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0.93</w:t>
            </w:r>
          </w:p>
        </w:tc>
        <w:tc>
          <w:tcPr>
            <w:tcW w:w="762" w:type="pct"/>
            <w:tcBorders>
              <w:top w:val="nil"/>
              <w:left w:val="nil"/>
              <w:bottom w:val="single" w:sz="4" w:space="0" w:color="auto"/>
              <w:right w:val="single" w:sz="4" w:space="0" w:color="auto"/>
            </w:tcBorders>
            <w:noWrap/>
            <w:vAlign w:val="center"/>
            <w:hideMark/>
          </w:tcPr>
          <w:p w14:paraId="5E89437C"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No</w:t>
            </w:r>
          </w:p>
        </w:tc>
      </w:tr>
      <w:tr w:rsidR="004212BE" w:rsidRPr="004212BE" w14:paraId="12A2B6D2" w14:textId="77777777" w:rsidTr="009F18C1">
        <w:trPr>
          <w:trHeight w:val="290"/>
        </w:trPr>
        <w:tc>
          <w:tcPr>
            <w:tcW w:w="1587" w:type="pct"/>
            <w:tcBorders>
              <w:top w:val="nil"/>
              <w:left w:val="single" w:sz="4" w:space="0" w:color="auto"/>
              <w:bottom w:val="single" w:sz="4" w:space="0" w:color="auto"/>
              <w:right w:val="single" w:sz="4" w:space="0" w:color="auto"/>
            </w:tcBorders>
            <w:noWrap/>
            <w:vAlign w:val="center"/>
            <w:hideMark/>
          </w:tcPr>
          <w:p w14:paraId="305222CC" w14:textId="77777777" w:rsidR="004212BE" w:rsidRPr="004212BE" w:rsidRDefault="004212BE" w:rsidP="004212BE">
            <w:pPr>
              <w:jc w:val="left"/>
              <w:rPr>
                <w:rFonts w:eastAsia="Times New Roman"/>
                <w:color w:val="000000"/>
                <w:lang w:val="en-IN" w:eastAsia="en-IN"/>
              </w:rPr>
            </w:pPr>
            <w:proofErr w:type="spellStart"/>
            <w:r w:rsidRPr="004212BE">
              <w:rPr>
                <w:rFonts w:eastAsia="Times New Roman"/>
                <w:lang w:val="en-IN" w:eastAsia="en-IN"/>
              </w:rPr>
              <w:t>BrainAGE</w:t>
            </w:r>
            <w:proofErr w:type="spellEnd"/>
            <w:r w:rsidRPr="004212BE">
              <w:rPr>
                <w:rFonts w:eastAsia="Times New Roman"/>
                <w:lang w:val="en-IN" w:eastAsia="en-IN"/>
              </w:rPr>
              <w:t>+ [5]</w:t>
            </w:r>
          </w:p>
        </w:tc>
        <w:tc>
          <w:tcPr>
            <w:tcW w:w="1137" w:type="pct"/>
            <w:tcBorders>
              <w:top w:val="nil"/>
              <w:left w:val="nil"/>
              <w:bottom w:val="single" w:sz="4" w:space="0" w:color="auto"/>
              <w:right w:val="single" w:sz="4" w:space="0" w:color="auto"/>
            </w:tcBorders>
            <w:noWrap/>
            <w:vAlign w:val="center"/>
            <w:hideMark/>
          </w:tcPr>
          <w:p w14:paraId="5A0DBE61"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3.29</w:t>
            </w:r>
          </w:p>
        </w:tc>
        <w:tc>
          <w:tcPr>
            <w:tcW w:w="931" w:type="pct"/>
            <w:tcBorders>
              <w:top w:val="nil"/>
              <w:left w:val="nil"/>
              <w:bottom w:val="single" w:sz="4" w:space="0" w:color="auto"/>
              <w:right w:val="single" w:sz="4" w:space="0" w:color="auto"/>
            </w:tcBorders>
            <w:noWrap/>
            <w:vAlign w:val="center"/>
            <w:hideMark/>
          </w:tcPr>
          <w:p w14:paraId="5C4D7A02"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4.28</w:t>
            </w:r>
          </w:p>
        </w:tc>
        <w:tc>
          <w:tcPr>
            <w:tcW w:w="583" w:type="pct"/>
            <w:tcBorders>
              <w:top w:val="nil"/>
              <w:left w:val="nil"/>
              <w:bottom w:val="single" w:sz="4" w:space="0" w:color="auto"/>
              <w:right w:val="single" w:sz="4" w:space="0" w:color="auto"/>
            </w:tcBorders>
            <w:noWrap/>
            <w:vAlign w:val="center"/>
            <w:hideMark/>
          </w:tcPr>
          <w:p w14:paraId="234E98B6"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0.93</w:t>
            </w:r>
          </w:p>
        </w:tc>
        <w:tc>
          <w:tcPr>
            <w:tcW w:w="762" w:type="pct"/>
            <w:tcBorders>
              <w:top w:val="nil"/>
              <w:left w:val="nil"/>
              <w:bottom w:val="single" w:sz="4" w:space="0" w:color="auto"/>
              <w:right w:val="single" w:sz="4" w:space="0" w:color="auto"/>
            </w:tcBorders>
            <w:noWrap/>
            <w:vAlign w:val="center"/>
            <w:hideMark/>
          </w:tcPr>
          <w:p w14:paraId="19454CDF"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No</w:t>
            </w:r>
          </w:p>
        </w:tc>
      </w:tr>
      <w:tr w:rsidR="004212BE" w:rsidRPr="004212BE" w14:paraId="253506E3" w14:textId="77777777" w:rsidTr="009F18C1">
        <w:trPr>
          <w:trHeight w:val="290"/>
        </w:trPr>
        <w:tc>
          <w:tcPr>
            <w:tcW w:w="1587" w:type="pct"/>
            <w:tcBorders>
              <w:top w:val="nil"/>
              <w:left w:val="single" w:sz="4" w:space="0" w:color="auto"/>
              <w:bottom w:val="single" w:sz="4" w:space="0" w:color="auto"/>
              <w:right w:val="single" w:sz="4" w:space="0" w:color="auto"/>
            </w:tcBorders>
            <w:noWrap/>
            <w:vAlign w:val="center"/>
            <w:hideMark/>
          </w:tcPr>
          <w:p w14:paraId="074C456C" w14:textId="77777777" w:rsidR="004212BE" w:rsidRPr="004212BE" w:rsidRDefault="004212BE" w:rsidP="004212BE">
            <w:pPr>
              <w:jc w:val="left"/>
              <w:rPr>
                <w:rFonts w:eastAsia="Times New Roman"/>
                <w:color w:val="000000"/>
                <w:lang w:val="en-IN" w:eastAsia="en-IN"/>
              </w:rPr>
            </w:pPr>
            <w:r w:rsidRPr="004212BE">
              <w:rPr>
                <w:rFonts w:eastAsia="Times New Roman"/>
                <w:lang w:val="en-IN" w:eastAsia="en-IN"/>
              </w:rPr>
              <w:t>MSGNN [7]</w:t>
            </w:r>
          </w:p>
        </w:tc>
        <w:tc>
          <w:tcPr>
            <w:tcW w:w="1137" w:type="pct"/>
            <w:tcBorders>
              <w:top w:val="nil"/>
              <w:left w:val="nil"/>
              <w:bottom w:val="single" w:sz="4" w:space="0" w:color="auto"/>
              <w:right w:val="single" w:sz="4" w:space="0" w:color="auto"/>
            </w:tcBorders>
            <w:noWrap/>
            <w:vAlign w:val="center"/>
            <w:hideMark/>
          </w:tcPr>
          <w:p w14:paraId="140FFD61"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3.18</w:t>
            </w:r>
          </w:p>
        </w:tc>
        <w:tc>
          <w:tcPr>
            <w:tcW w:w="931" w:type="pct"/>
            <w:tcBorders>
              <w:top w:val="nil"/>
              <w:left w:val="nil"/>
              <w:bottom w:val="single" w:sz="4" w:space="0" w:color="auto"/>
              <w:right w:val="single" w:sz="4" w:space="0" w:color="auto"/>
            </w:tcBorders>
            <w:noWrap/>
            <w:vAlign w:val="center"/>
            <w:hideMark/>
          </w:tcPr>
          <w:p w14:paraId="44782E1B"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4.11</w:t>
            </w:r>
          </w:p>
        </w:tc>
        <w:tc>
          <w:tcPr>
            <w:tcW w:w="583" w:type="pct"/>
            <w:tcBorders>
              <w:top w:val="nil"/>
              <w:left w:val="nil"/>
              <w:bottom w:val="single" w:sz="4" w:space="0" w:color="auto"/>
              <w:right w:val="single" w:sz="4" w:space="0" w:color="auto"/>
            </w:tcBorders>
            <w:noWrap/>
            <w:vAlign w:val="center"/>
            <w:hideMark/>
          </w:tcPr>
          <w:p w14:paraId="518DA0AB"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0.94</w:t>
            </w:r>
          </w:p>
        </w:tc>
        <w:tc>
          <w:tcPr>
            <w:tcW w:w="762" w:type="pct"/>
            <w:tcBorders>
              <w:top w:val="nil"/>
              <w:left w:val="nil"/>
              <w:bottom w:val="single" w:sz="4" w:space="0" w:color="auto"/>
              <w:right w:val="single" w:sz="4" w:space="0" w:color="auto"/>
            </w:tcBorders>
            <w:noWrap/>
            <w:vAlign w:val="center"/>
            <w:hideMark/>
          </w:tcPr>
          <w:p w14:paraId="41599850"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No</w:t>
            </w:r>
          </w:p>
        </w:tc>
      </w:tr>
      <w:tr w:rsidR="004212BE" w:rsidRPr="004212BE" w14:paraId="510C7CAF" w14:textId="77777777" w:rsidTr="009F18C1">
        <w:trPr>
          <w:trHeight w:val="290"/>
        </w:trPr>
        <w:tc>
          <w:tcPr>
            <w:tcW w:w="1587" w:type="pct"/>
            <w:tcBorders>
              <w:top w:val="nil"/>
              <w:left w:val="single" w:sz="4" w:space="0" w:color="auto"/>
              <w:bottom w:val="single" w:sz="4" w:space="0" w:color="auto"/>
              <w:right w:val="single" w:sz="4" w:space="0" w:color="auto"/>
            </w:tcBorders>
            <w:noWrap/>
            <w:vAlign w:val="center"/>
            <w:hideMark/>
          </w:tcPr>
          <w:p w14:paraId="7E55F36D" w14:textId="77777777" w:rsidR="004212BE" w:rsidRPr="004212BE" w:rsidRDefault="004212BE" w:rsidP="004212BE">
            <w:pPr>
              <w:jc w:val="left"/>
              <w:rPr>
                <w:rFonts w:eastAsia="Times New Roman"/>
                <w:color w:val="000000"/>
                <w:lang w:val="en-IN" w:eastAsia="en-IN"/>
              </w:rPr>
            </w:pPr>
            <w:proofErr w:type="spellStart"/>
            <w:r w:rsidRPr="004212BE">
              <w:rPr>
                <w:rFonts w:eastAsia="Times New Roman"/>
                <w:lang w:val="en-IN" w:eastAsia="en-IN"/>
              </w:rPr>
              <w:t>BayesGAT</w:t>
            </w:r>
            <w:proofErr w:type="spellEnd"/>
            <w:r w:rsidRPr="004212BE">
              <w:rPr>
                <w:rFonts w:eastAsia="Times New Roman"/>
                <w:lang w:val="en-IN" w:eastAsia="en-IN"/>
              </w:rPr>
              <w:t xml:space="preserve"> [8]</w:t>
            </w:r>
          </w:p>
        </w:tc>
        <w:tc>
          <w:tcPr>
            <w:tcW w:w="1137" w:type="pct"/>
            <w:tcBorders>
              <w:top w:val="nil"/>
              <w:left w:val="nil"/>
              <w:bottom w:val="single" w:sz="4" w:space="0" w:color="auto"/>
              <w:right w:val="single" w:sz="4" w:space="0" w:color="auto"/>
            </w:tcBorders>
            <w:noWrap/>
            <w:vAlign w:val="center"/>
            <w:hideMark/>
          </w:tcPr>
          <w:p w14:paraId="426888F2"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3.35</w:t>
            </w:r>
          </w:p>
        </w:tc>
        <w:tc>
          <w:tcPr>
            <w:tcW w:w="931" w:type="pct"/>
            <w:tcBorders>
              <w:top w:val="nil"/>
              <w:left w:val="nil"/>
              <w:bottom w:val="single" w:sz="4" w:space="0" w:color="auto"/>
              <w:right w:val="single" w:sz="4" w:space="0" w:color="auto"/>
            </w:tcBorders>
            <w:noWrap/>
            <w:vAlign w:val="center"/>
            <w:hideMark/>
          </w:tcPr>
          <w:p w14:paraId="3F5A7891"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4.32</w:t>
            </w:r>
          </w:p>
        </w:tc>
        <w:tc>
          <w:tcPr>
            <w:tcW w:w="583" w:type="pct"/>
            <w:tcBorders>
              <w:top w:val="nil"/>
              <w:left w:val="nil"/>
              <w:bottom w:val="single" w:sz="4" w:space="0" w:color="auto"/>
              <w:right w:val="single" w:sz="4" w:space="0" w:color="auto"/>
            </w:tcBorders>
            <w:noWrap/>
            <w:vAlign w:val="center"/>
            <w:hideMark/>
          </w:tcPr>
          <w:p w14:paraId="0CD0258D"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0.92</w:t>
            </w:r>
          </w:p>
        </w:tc>
        <w:tc>
          <w:tcPr>
            <w:tcW w:w="762" w:type="pct"/>
            <w:tcBorders>
              <w:top w:val="nil"/>
              <w:left w:val="nil"/>
              <w:bottom w:val="single" w:sz="4" w:space="0" w:color="auto"/>
              <w:right w:val="single" w:sz="4" w:space="0" w:color="auto"/>
            </w:tcBorders>
            <w:noWrap/>
            <w:vAlign w:val="center"/>
            <w:hideMark/>
          </w:tcPr>
          <w:p w14:paraId="283D41A7"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MC-D</w:t>
            </w:r>
          </w:p>
        </w:tc>
      </w:tr>
      <w:tr w:rsidR="004212BE" w:rsidRPr="004212BE" w14:paraId="3EAAA83E" w14:textId="77777777" w:rsidTr="009F18C1">
        <w:trPr>
          <w:trHeight w:val="290"/>
        </w:trPr>
        <w:tc>
          <w:tcPr>
            <w:tcW w:w="1587" w:type="pct"/>
            <w:tcBorders>
              <w:top w:val="nil"/>
              <w:left w:val="single" w:sz="4" w:space="0" w:color="auto"/>
              <w:bottom w:val="single" w:sz="4" w:space="0" w:color="auto"/>
              <w:right w:val="single" w:sz="4" w:space="0" w:color="auto"/>
            </w:tcBorders>
            <w:noWrap/>
            <w:vAlign w:val="center"/>
            <w:hideMark/>
          </w:tcPr>
          <w:p w14:paraId="21910985" w14:textId="77777777" w:rsidR="00DC103C" w:rsidRDefault="00DC103C" w:rsidP="004212BE">
            <w:pPr>
              <w:jc w:val="left"/>
              <w:rPr>
                <w:rFonts w:eastAsia="Times New Roman"/>
                <w:lang w:val="en-IN" w:eastAsia="en-IN"/>
              </w:rPr>
            </w:pPr>
            <w:r>
              <w:rPr>
                <w:rFonts w:eastAsia="Times New Roman"/>
                <w:lang w:val="en-IN" w:eastAsia="en-IN"/>
              </w:rPr>
              <w:t>GAT-BU</w:t>
            </w:r>
          </w:p>
          <w:p w14:paraId="67181752" w14:textId="51BED8D3" w:rsidR="004212BE" w:rsidRPr="004212BE" w:rsidRDefault="00DC103C" w:rsidP="004212BE">
            <w:pPr>
              <w:jc w:val="left"/>
              <w:rPr>
                <w:rFonts w:eastAsia="Times New Roman"/>
                <w:color w:val="000000"/>
                <w:lang w:val="en-IN" w:eastAsia="en-IN"/>
              </w:rPr>
            </w:pPr>
            <w:r>
              <w:rPr>
                <w:rFonts w:eastAsia="Times New Roman"/>
                <w:lang w:val="en-IN" w:eastAsia="en-IN"/>
              </w:rPr>
              <w:t xml:space="preserve"> (Proposed)</w:t>
            </w:r>
          </w:p>
        </w:tc>
        <w:tc>
          <w:tcPr>
            <w:tcW w:w="1137" w:type="pct"/>
            <w:tcBorders>
              <w:top w:val="nil"/>
              <w:left w:val="nil"/>
              <w:bottom w:val="single" w:sz="4" w:space="0" w:color="auto"/>
              <w:right w:val="single" w:sz="4" w:space="0" w:color="auto"/>
            </w:tcBorders>
            <w:noWrap/>
            <w:vAlign w:val="center"/>
            <w:hideMark/>
          </w:tcPr>
          <w:p w14:paraId="22438526"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3.09</w:t>
            </w:r>
          </w:p>
        </w:tc>
        <w:tc>
          <w:tcPr>
            <w:tcW w:w="931" w:type="pct"/>
            <w:tcBorders>
              <w:top w:val="nil"/>
              <w:left w:val="nil"/>
              <w:bottom w:val="single" w:sz="4" w:space="0" w:color="auto"/>
              <w:right w:val="single" w:sz="4" w:space="0" w:color="auto"/>
            </w:tcBorders>
            <w:noWrap/>
            <w:vAlign w:val="center"/>
            <w:hideMark/>
          </w:tcPr>
          <w:p w14:paraId="1357CCE9"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4.01</w:t>
            </w:r>
          </w:p>
        </w:tc>
        <w:tc>
          <w:tcPr>
            <w:tcW w:w="583" w:type="pct"/>
            <w:tcBorders>
              <w:top w:val="nil"/>
              <w:left w:val="nil"/>
              <w:bottom w:val="single" w:sz="4" w:space="0" w:color="auto"/>
              <w:right w:val="single" w:sz="4" w:space="0" w:color="auto"/>
            </w:tcBorders>
            <w:noWrap/>
            <w:vAlign w:val="center"/>
            <w:hideMark/>
          </w:tcPr>
          <w:p w14:paraId="2A5CD2C6"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0.95</w:t>
            </w:r>
          </w:p>
        </w:tc>
        <w:tc>
          <w:tcPr>
            <w:tcW w:w="762" w:type="pct"/>
            <w:tcBorders>
              <w:top w:val="nil"/>
              <w:left w:val="nil"/>
              <w:bottom w:val="single" w:sz="4" w:space="0" w:color="auto"/>
              <w:right w:val="single" w:sz="4" w:space="0" w:color="auto"/>
            </w:tcBorders>
            <w:noWrap/>
            <w:vAlign w:val="center"/>
            <w:hideMark/>
          </w:tcPr>
          <w:p w14:paraId="460EBE63" w14:textId="77777777" w:rsidR="004212BE" w:rsidRPr="004212BE" w:rsidRDefault="004212BE" w:rsidP="004212BE">
            <w:pPr>
              <w:rPr>
                <w:rFonts w:eastAsia="Times New Roman"/>
                <w:color w:val="000000"/>
                <w:lang w:val="en-IN" w:eastAsia="en-IN"/>
              </w:rPr>
            </w:pPr>
            <w:r w:rsidRPr="004212BE">
              <w:rPr>
                <w:rFonts w:eastAsia="Times New Roman"/>
                <w:lang w:val="en-IN" w:eastAsia="en-IN"/>
              </w:rPr>
              <w:t>Full†</w:t>
            </w:r>
          </w:p>
        </w:tc>
      </w:tr>
    </w:tbl>
    <w:p w14:paraId="0A25541E" w14:textId="10E3D104" w:rsidR="001D616F" w:rsidRDefault="001D616F" w:rsidP="001D616F">
      <w:pPr>
        <w:spacing w:after="80"/>
        <w:jc w:val="both"/>
        <w:rPr>
          <w:i/>
          <w:iCs/>
          <w:sz w:val="16"/>
          <w:szCs w:val="16"/>
        </w:rPr>
      </w:pPr>
      <w:r w:rsidRPr="00D06A6D">
        <w:rPr>
          <w:i/>
          <w:iCs/>
          <w:sz w:val="16"/>
          <w:szCs w:val="16"/>
        </w:rPr>
        <w:t>MAE and RMSE in years. UQ: uncertainty quantification strategy.</w:t>
      </w:r>
    </w:p>
    <w:p w14:paraId="5AC42E63" w14:textId="77777777" w:rsidR="00A67701" w:rsidRDefault="00A67701" w:rsidP="00A67701">
      <w:pPr>
        <w:pStyle w:val="BodyText"/>
      </w:pPr>
      <w:r w:rsidRPr="00D06A6D">
        <w:t xml:space="preserve">Table I reports age prediction performance for all models on the OASIS-3 held-out test set. GAT-BU achieves MAE=3.09±0.11 years, R²=0.95, and RMSE=4.01 years, establishing a new state-of-the-art for brain age estimation on this benchmark. The improvement over the 3D </w:t>
      </w:r>
      <w:proofErr w:type="spellStart"/>
      <w:r w:rsidRPr="00D06A6D">
        <w:t>ResNet</w:t>
      </w:r>
      <w:proofErr w:type="spellEnd"/>
      <w:r w:rsidRPr="00D06A6D">
        <w:t xml:space="preserve"> baseline (MAE=3.62 years) is 14.6% relative, confirming that explicit white-matter connectivity </w:t>
      </w:r>
      <w:proofErr w:type="spellStart"/>
      <w:r w:rsidRPr="00D06A6D">
        <w:t>modeling</w:t>
      </w:r>
      <w:proofErr w:type="spellEnd"/>
      <w:r w:rsidRPr="00D06A6D">
        <w:t xml:space="preserve"> captures aging-related information inaccessible to voxel-based convolutional architectures operating on the same T1 structural MRI. Against the Vision Transformer baseline (MAE=3.41 years), GAT-BU reduces error by 9.4%, demonstrating that global patch-level self-attention cannot fully substitute for the biologically grounded graph representation of inter-regional white-matter connectivity. Compared to </w:t>
      </w:r>
      <w:proofErr w:type="spellStart"/>
      <w:r w:rsidRPr="00D06A6D">
        <w:t>BrainAGE</w:t>
      </w:r>
      <w:proofErr w:type="spellEnd"/>
      <w:r w:rsidRPr="00D06A6D">
        <w:t xml:space="preserve">+ (MAE=3.29 years), GAT-BU achieves a 6.1% relative improvement, and compared to MSGNN — the strongest GNN baseline (MAE=3.18 years)  GAT-BU reduces MAE by 2.8% while additionally providing fully calibrated uncertainty estimation. </w:t>
      </w:r>
      <w:proofErr w:type="spellStart"/>
      <w:r w:rsidRPr="00D06A6D">
        <w:t>BayesGAT</w:t>
      </w:r>
      <w:proofErr w:type="spellEnd"/>
      <w:r w:rsidRPr="00D06A6D">
        <w:t xml:space="preserve"> (MAE=3.35 years) performs worse than MSGNN, suggesting that the MC-dropout regularization of the single-strategy Bayesian head imposes a small accuracy cost that is recovered in the GAT-BU deep ensemble approach. On ADNI, GAT-BU achieves MAE=3.62±0.15 years and R²=0.91.</w:t>
      </w:r>
    </w:p>
    <w:p w14:paraId="653FFBE5" w14:textId="77777777" w:rsidR="004D76F1" w:rsidRPr="00D06A6D" w:rsidRDefault="004D76F1" w:rsidP="004D76F1">
      <w:pPr>
        <w:spacing w:before="80" w:after="40"/>
        <w:jc w:val="both"/>
      </w:pPr>
      <w:r w:rsidRPr="00D06A6D">
        <w:rPr>
          <w:i/>
          <w:iCs/>
        </w:rPr>
        <w:t>B. Uncertainty Calibration</w:t>
      </w:r>
    </w:p>
    <w:p w14:paraId="62AF6FFC" w14:textId="77777777" w:rsidR="004D76F1" w:rsidRDefault="004D76F1" w:rsidP="0022332E">
      <w:pPr>
        <w:pStyle w:val="BodyText"/>
      </w:pPr>
      <w:r w:rsidRPr="00D06A6D">
        <w:t xml:space="preserve">Table II reports calibration performance on the OASIS-3 test set. Deep ensembles (M=5) achieve the best overall calibration: ECE=0.038, empirical 95% coverage=94.8%, and sharpness=2.71 years, closely matching the nominal </w:t>
      </w:r>
      <w:r w:rsidRPr="00D06A6D">
        <w:lastRenderedPageBreak/>
        <w:t>95% confidence level while maintaining tight predictive intervals. MC dropout achieves ECE=0.043 and 93.7% empirical coverage, exhibiting the known slight under-coverage tendency of MC dropout in regression settings — consistent with findings from González Zelaya [9] across multiple medical imaging tasks. The Gaussian NLL head trained in isolation (deterministic single model, no MC or ensemble) achieves ECE=0.051, confirming that aleatoric uncertainty modeling alone is insufficient for well-calibrated predictions; combining it with ensemble epistemic diversity is necessary to approach nominal calibration. The sharpness of 2.71 years for deep ensembles indicates tight predictive intervals that are simultaneously well-calibrated — a desirable combination for clinical deployment.</w:t>
      </w:r>
    </w:p>
    <w:p w14:paraId="049D036D" w14:textId="77777777" w:rsidR="004D76F1" w:rsidRPr="004D76F1" w:rsidRDefault="004D76F1" w:rsidP="004D76F1">
      <w:pPr>
        <w:spacing w:before="80" w:after="40"/>
        <w:rPr>
          <w:sz w:val="16"/>
          <w:szCs w:val="16"/>
        </w:rPr>
      </w:pPr>
      <w:r w:rsidRPr="004D76F1">
        <w:rPr>
          <w:sz w:val="16"/>
          <w:szCs w:val="16"/>
        </w:rPr>
        <w:t xml:space="preserve">TABLE II </w:t>
      </w:r>
      <w:r w:rsidRPr="004D76F1">
        <w:rPr>
          <w:i/>
          <w:iCs/>
          <w:sz w:val="16"/>
          <w:szCs w:val="16"/>
        </w:rPr>
        <w:t>Uncertainty Calibration Metrics — OASIS-3 Test Set</w:t>
      </w:r>
    </w:p>
    <w:tbl>
      <w:tblPr>
        <w:tblW w:w="5000" w:type="pct"/>
        <w:tblLook w:val="04A0" w:firstRow="1" w:lastRow="0" w:firstColumn="1" w:lastColumn="0" w:noHBand="0" w:noVBand="1"/>
      </w:tblPr>
      <w:tblGrid>
        <w:gridCol w:w="1616"/>
        <w:gridCol w:w="755"/>
        <w:gridCol w:w="1095"/>
        <w:gridCol w:w="1224"/>
      </w:tblGrid>
      <w:tr w:rsidR="004D76F1" w:rsidRPr="004D76F1" w14:paraId="5DC973D6" w14:textId="77777777" w:rsidTr="004D76F1">
        <w:trPr>
          <w:trHeight w:val="260"/>
        </w:trPr>
        <w:tc>
          <w:tcPr>
            <w:tcW w:w="1522" w:type="pct"/>
            <w:tcBorders>
              <w:top w:val="single" w:sz="4" w:space="0" w:color="auto"/>
              <w:left w:val="single" w:sz="4" w:space="0" w:color="auto"/>
              <w:bottom w:val="single" w:sz="4" w:space="0" w:color="auto"/>
              <w:right w:val="single" w:sz="4" w:space="0" w:color="auto"/>
            </w:tcBorders>
            <w:noWrap/>
            <w:vAlign w:val="center"/>
            <w:hideMark/>
          </w:tcPr>
          <w:p w14:paraId="50A9B848" w14:textId="77777777" w:rsidR="004D76F1" w:rsidRPr="004D76F1" w:rsidRDefault="004D76F1" w:rsidP="004D76F1">
            <w:pPr>
              <w:rPr>
                <w:rFonts w:eastAsia="Times New Roman"/>
                <w:b/>
                <w:bCs/>
                <w:color w:val="000000"/>
                <w:lang w:val="en-IN" w:eastAsia="en-IN"/>
              </w:rPr>
            </w:pPr>
            <w:r w:rsidRPr="004D76F1">
              <w:rPr>
                <w:rFonts w:eastAsia="Times New Roman"/>
                <w:b/>
                <w:bCs/>
                <w:lang w:val="en-IN" w:eastAsia="en-IN"/>
              </w:rPr>
              <w:t>UQ Strategy</w:t>
            </w:r>
          </w:p>
        </w:tc>
        <w:tc>
          <w:tcPr>
            <w:tcW w:w="918" w:type="pct"/>
            <w:tcBorders>
              <w:top w:val="single" w:sz="4" w:space="0" w:color="auto"/>
              <w:left w:val="nil"/>
              <w:bottom w:val="single" w:sz="4" w:space="0" w:color="auto"/>
              <w:right w:val="single" w:sz="4" w:space="0" w:color="auto"/>
            </w:tcBorders>
            <w:noWrap/>
            <w:vAlign w:val="center"/>
            <w:hideMark/>
          </w:tcPr>
          <w:p w14:paraId="1A0F7D92" w14:textId="77777777" w:rsidR="004D76F1" w:rsidRPr="004D76F1" w:rsidRDefault="004D76F1" w:rsidP="004D76F1">
            <w:pPr>
              <w:rPr>
                <w:rFonts w:eastAsia="Times New Roman"/>
                <w:b/>
                <w:bCs/>
                <w:color w:val="000000"/>
                <w:lang w:val="en-IN" w:eastAsia="en-IN"/>
              </w:rPr>
            </w:pPr>
            <w:r w:rsidRPr="004D76F1">
              <w:rPr>
                <w:rFonts w:eastAsia="Times New Roman"/>
                <w:b/>
                <w:bCs/>
                <w:lang w:val="en-IN" w:eastAsia="en-IN"/>
              </w:rPr>
              <w:t>ECE↓</w:t>
            </w:r>
          </w:p>
        </w:tc>
        <w:tc>
          <w:tcPr>
            <w:tcW w:w="1142" w:type="pct"/>
            <w:tcBorders>
              <w:top w:val="single" w:sz="4" w:space="0" w:color="auto"/>
              <w:left w:val="nil"/>
              <w:bottom w:val="single" w:sz="4" w:space="0" w:color="auto"/>
              <w:right w:val="single" w:sz="4" w:space="0" w:color="auto"/>
            </w:tcBorders>
            <w:noWrap/>
            <w:vAlign w:val="center"/>
            <w:hideMark/>
          </w:tcPr>
          <w:p w14:paraId="5F511497" w14:textId="77777777" w:rsidR="004D76F1" w:rsidRPr="004D76F1" w:rsidRDefault="004D76F1" w:rsidP="004D76F1">
            <w:pPr>
              <w:rPr>
                <w:rFonts w:eastAsia="Times New Roman"/>
                <w:b/>
                <w:bCs/>
                <w:color w:val="000000"/>
                <w:lang w:val="en-IN" w:eastAsia="en-IN"/>
              </w:rPr>
            </w:pPr>
            <w:r w:rsidRPr="004D76F1">
              <w:rPr>
                <w:rFonts w:eastAsia="Times New Roman"/>
                <w:b/>
                <w:bCs/>
                <w:lang w:val="en-IN" w:eastAsia="en-IN"/>
              </w:rPr>
              <w:t>Sharpness</w:t>
            </w:r>
          </w:p>
        </w:tc>
        <w:tc>
          <w:tcPr>
            <w:tcW w:w="1418" w:type="pct"/>
            <w:tcBorders>
              <w:top w:val="single" w:sz="4" w:space="0" w:color="auto"/>
              <w:left w:val="nil"/>
              <w:bottom w:val="single" w:sz="4" w:space="0" w:color="auto"/>
              <w:right w:val="single" w:sz="4" w:space="0" w:color="auto"/>
            </w:tcBorders>
            <w:noWrap/>
            <w:vAlign w:val="center"/>
            <w:hideMark/>
          </w:tcPr>
          <w:p w14:paraId="448FDACB" w14:textId="77777777" w:rsidR="004D76F1" w:rsidRPr="004D76F1" w:rsidRDefault="004D76F1" w:rsidP="004D76F1">
            <w:pPr>
              <w:rPr>
                <w:rFonts w:eastAsia="Times New Roman"/>
                <w:b/>
                <w:bCs/>
                <w:color w:val="000000"/>
                <w:lang w:val="en-IN" w:eastAsia="en-IN"/>
              </w:rPr>
            </w:pPr>
            <w:r w:rsidRPr="004D76F1">
              <w:rPr>
                <w:rFonts w:eastAsia="Times New Roman"/>
                <w:b/>
                <w:bCs/>
                <w:lang w:val="en-IN" w:eastAsia="en-IN"/>
              </w:rPr>
              <w:t>Cov@95%</w:t>
            </w:r>
          </w:p>
        </w:tc>
      </w:tr>
      <w:tr w:rsidR="004D76F1" w:rsidRPr="004D76F1" w14:paraId="5EACC18C" w14:textId="77777777" w:rsidTr="004D76F1">
        <w:trPr>
          <w:trHeight w:val="260"/>
        </w:trPr>
        <w:tc>
          <w:tcPr>
            <w:tcW w:w="1522" w:type="pct"/>
            <w:tcBorders>
              <w:top w:val="nil"/>
              <w:left w:val="single" w:sz="4" w:space="0" w:color="auto"/>
              <w:bottom w:val="single" w:sz="4" w:space="0" w:color="auto"/>
              <w:right w:val="single" w:sz="4" w:space="0" w:color="auto"/>
            </w:tcBorders>
            <w:noWrap/>
            <w:vAlign w:val="center"/>
            <w:hideMark/>
          </w:tcPr>
          <w:p w14:paraId="146DCDA2" w14:textId="77777777" w:rsidR="004D76F1" w:rsidRPr="004D76F1" w:rsidRDefault="004D76F1" w:rsidP="004D76F1">
            <w:pPr>
              <w:jc w:val="left"/>
              <w:rPr>
                <w:rFonts w:eastAsia="Times New Roman"/>
                <w:color w:val="000000"/>
                <w:lang w:val="en-IN" w:eastAsia="en-IN"/>
              </w:rPr>
            </w:pPr>
            <w:r w:rsidRPr="004D76F1">
              <w:rPr>
                <w:rFonts w:eastAsia="Times New Roman"/>
                <w:lang w:val="en-IN" w:eastAsia="en-IN"/>
              </w:rPr>
              <w:t>MC Dropout</w:t>
            </w:r>
          </w:p>
        </w:tc>
        <w:tc>
          <w:tcPr>
            <w:tcW w:w="918" w:type="pct"/>
            <w:tcBorders>
              <w:top w:val="nil"/>
              <w:left w:val="nil"/>
              <w:bottom w:val="single" w:sz="4" w:space="0" w:color="auto"/>
              <w:right w:val="single" w:sz="4" w:space="0" w:color="auto"/>
            </w:tcBorders>
            <w:noWrap/>
            <w:vAlign w:val="center"/>
            <w:hideMark/>
          </w:tcPr>
          <w:p w14:paraId="5376811D"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0.043</w:t>
            </w:r>
          </w:p>
        </w:tc>
        <w:tc>
          <w:tcPr>
            <w:tcW w:w="1142" w:type="pct"/>
            <w:tcBorders>
              <w:top w:val="nil"/>
              <w:left w:val="nil"/>
              <w:bottom w:val="single" w:sz="4" w:space="0" w:color="auto"/>
              <w:right w:val="single" w:sz="4" w:space="0" w:color="auto"/>
            </w:tcBorders>
            <w:noWrap/>
            <w:vAlign w:val="center"/>
            <w:hideMark/>
          </w:tcPr>
          <w:p w14:paraId="04441765"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2.87 yr</w:t>
            </w:r>
          </w:p>
        </w:tc>
        <w:tc>
          <w:tcPr>
            <w:tcW w:w="1418" w:type="pct"/>
            <w:tcBorders>
              <w:top w:val="nil"/>
              <w:left w:val="nil"/>
              <w:bottom w:val="single" w:sz="4" w:space="0" w:color="auto"/>
              <w:right w:val="single" w:sz="4" w:space="0" w:color="auto"/>
            </w:tcBorders>
            <w:noWrap/>
            <w:vAlign w:val="center"/>
            <w:hideMark/>
          </w:tcPr>
          <w:p w14:paraId="434239B6"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93.70%</w:t>
            </w:r>
          </w:p>
        </w:tc>
      </w:tr>
      <w:tr w:rsidR="004D76F1" w:rsidRPr="004D76F1" w14:paraId="23D1570E" w14:textId="77777777" w:rsidTr="004D76F1">
        <w:trPr>
          <w:trHeight w:val="260"/>
        </w:trPr>
        <w:tc>
          <w:tcPr>
            <w:tcW w:w="1522" w:type="pct"/>
            <w:tcBorders>
              <w:top w:val="nil"/>
              <w:left w:val="single" w:sz="4" w:space="0" w:color="auto"/>
              <w:bottom w:val="single" w:sz="4" w:space="0" w:color="auto"/>
              <w:right w:val="single" w:sz="4" w:space="0" w:color="auto"/>
            </w:tcBorders>
            <w:noWrap/>
            <w:vAlign w:val="center"/>
            <w:hideMark/>
          </w:tcPr>
          <w:p w14:paraId="248A0E2C" w14:textId="77777777" w:rsidR="004D76F1" w:rsidRPr="004D76F1" w:rsidRDefault="004D76F1" w:rsidP="004D76F1">
            <w:pPr>
              <w:jc w:val="left"/>
              <w:rPr>
                <w:rFonts w:eastAsia="Times New Roman"/>
                <w:color w:val="000000"/>
                <w:lang w:val="en-IN" w:eastAsia="en-IN"/>
              </w:rPr>
            </w:pPr>
            <w:r w:rsidRPr="004D76F1">
              <w:rPr>
                <w:rFonts w:eastAsia="Times New Roman"/>
                <w:lang w:val="en-IN" w:eastAsia="en-IN"/>
              </w:rPr>
              <w:t>Deep Ensemble</w:t>
            </w:r>
          </w:p>
        </w:tc>
        <w:tc>
          <w:tcPr>
            <w:tcW w:w="918" w:type="pct"/>
            <w:tcBorders>
              <w:top w:val="nil"/>
              <w:left w:val="nil"/>
              <w:bottom w:val="single" w:sz="4" w:space="0" w:color="auto"/>
              <w:right w:val="single" w:sz="4" w:space="0" w:color="auto"/>
            </w:tcBorders>
            <w:noWrap/>
            <w:vAlign w:val="center"/>
            <w:hideMark/>
          </w:tcPr>
          <w:p w14:paraId="5F4E808E"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0.038</w:t>
            </w:r>
          </w:p>
        </w:tc>
        <w:tc>
          <w:tcPr>
            <w:tcW w:w="1142" w:type="pct"/>
            <w:tcBorders>
              <w:top w:val="nil"/>
              <w:left w:val="nil"/>
              <w:bottom w:val="single" w:sz="4" w:space="0" w:color="auto"/>
              <w:right w:val="single" w:sz="4" w:space="0" w:color="auto"/>
            </w:tcBorders>
            <w:noWrap/>
            <w:vAlign w:val="center"/>
            <w:hideMark/>
          </w:tcPr>
          <w:p w14:paraId="61A6A7DE"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2.71 yr</w:t>
            </w:r>
          </w:p>
        </w:tc>
        <w:tc>
          <w:tcPr>
            <w:tcW w:w="1418" w:type="pct"/>
            <w:tcBorders>
              <w:top w:val="nil"/>
              <w:left w:val="nil"/>
              <w:bottom w:val="single" w:sz="4" w:space="0" w:color="auto"/>
              <w:right w:val="single" w:sz="4" w:space="0" w:color="auto"/>
            </w:tcBorders>
            <w:noWrap/>
            <w:vAlign w:val="center"/>
            <w:hideMark/>
          </w:tcPr>
          <w:p w14:paraId="5182D926"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94.80%</w:t>
            </w:r>
          </w:p>
        </w:tc>
      </w:tr>
      <w:tr w:rsidR="004D76F1" w:rsidRPr="004D76F1" w14:paraId="2B3025BC" w14:textId="77777777" w:rsidTr="004D76F1">
        <w:trPr>
          <w:trHeight w:val="260"/>
        </w:trPr>
        <w:tc>
          <w:tcPr>
            <w:tcW w:w="1522" w:type="pct"/>
            <w:tcBorders>
              <w:top w:val="nil"/>
              <w:left w:val="single" w:sz="4" w:space="0" w:color="auto"/>
              <w:bottom w:val="single" w:sz="4" w:space="0" w:color="auto"/>
              <w:right w:val="single" w:sz="4" w:space="0" w:color="auto"/>
            </w:tcBorders>
            <w:noWrap/>
            <w:vAlign w:val="center"/>
            <w:hideMark/>
          </w:tcPr>
          <w:p w14:paraId="31057C2B" w14:textId="77777777" w:rsidR="004D76F1" w:rsidRPr="004D76F1" w:rsidRDefault="004D76F1" w:rsidP="004D76F1">
            <w:pPr>
              <w:jc w:val="left"/>
              <w:rPr>
                <w:rFonts w:eastAsia="Times New Roman"/>
                <w:color w:val="000000"/>
                <w:lang w:val="en-IN" w:eastAsia="en-IN"/>
              </w:rPr>
            </w:pPr>
            <w:r w:rsidRPr="004D76F1">
              <w:rPr>
                <w:rFonts w:eastAsia="Times New Roman"/>
                <w:lang w:val="en-IN" w:eastAsia="en-IN"/>
              </w:rPr>
              <w:t>Gauss NLL Head</w:t>
            </w:r>
          </w:p>
        </w:tc>
        <w:tc>
          <w:tcPr>
            <w:tcW w:w="918" w:type="pct"/>
            <w:tcBorders>
              <w:top w:val="nil"/>
              <w:left w:val="nil"/>
              <w:bottom w:val="single" w:sz="4" w:space="0" w:color="auto"/>
              <w:right w:val="single" w:sz="4" w:space="0" w:color="auto"/>
            </w:tcBorders>
            <w:noWrap/>
            <w:vAlign w:val="center"/>
            <w:hideMark/>
          </w:tcPr>
          <w:p w14:paraId="3A794D6C"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0.051</w:t>
            </w:r>
          </w:p>
        </w:tc>
        <w:tc>
          <w:tcPr>
            <w:tcW w:w="1142" w:type="pct"/>
            <w:tcBorders>
              <w:top w:val="nil"/>
              <w:left w:val="nil"/>
              <w:bottom w:val="single" w:sz="4" w:space="0" w:color="auto"/>
              <w:right w:val="single" w:sz="4" w:space="0" w:color="auto"/>
            </w:tcBorders>
            <w:noWrap/>
            <w:vAlign w:val="center"/>
            <w:hideMark/>
          </w:tcPr>
          <w:p w14:paraId="5A9BECDE"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3.02 yr</w:t>
            </w:r>
          </w:p>
        </w:tc>
        <w:tc>
          <w:tcPr>
            <w:tcW w:w="1418" w:type="pct"/>
            <w:tcBorders>
              <w:top w:val="nil"/>
              <w:left w:val="nil"/>
              <w:bottom w:val="single" w:sz="4" w:space="0" w:color="auto"/>
              <w:right w:val="single" w:sz="4" w:space="0" w:color="auto"/>
            </w:tcBorders>
            <w:noWrap/>
            <w:vAlign w:val="center"/>
            <w:hideMark/>
          </w:tcPr>
          <w:p w14:paraId="2ADAE92D" w14:textId="77777777" w:rsidR="004D76F1" w:rsidRPr="004D76F1" w:rsidRDefault="004D76F1" w:rsidP="004D76F1">
            <w:pPr>
              <w:rPr>
                <w:rFonts w:eastAsia="Times New Roman"/>
                <w:color w:val="000000"/>
                <w:lang w:val="en-IN" w:eastAsia="en-IN"/>
              </w:rPr>
            </w:pPr>
            <w:r w:rsidRPr="004D76F1">
              <w:rPr>
                <w:rFonts w:eastAsia="Times New Roman"/>
                <w:lang w:val="en-IN" w:eastAsia="en-IN"/>
              </w:rPr>
              <w:t>92.10%</w:t>
            </w:r>
          </w:p>
        </w:tc>
      </w:tr>
    </w:tbl>
    <w:p w14:paraId="2BD2DEDE" w14:textId="77777777" w:rsidR="004D76F1" w:rsidRPr="00D06A6D" w:rsidRDefault="004D76F1" w:rsidP="004D76F1">
      <w:pPr>
        <w:spacing w:after="80"/>
        <w:jc w:val="both"/>
      </w:pPr>
      <w:r w:rsidRPr="00D06A6D">
        <w:rPr>
          <w:i/>
          <w:iCs/>
          <w:sz w:val="16"/>
          <w:szCs w:val="16"/>
        </w:rPr>
        <w:t>ECE: Expected Calibration Error. Sharpness: mean predicted σ (lower = more confident).</w:t>
      </w:r>
    </w:p>
    <w:p w14:paraId="662924F6" w14:textId="77777777" w:rsidR="004D76F1" w:rsidRPr="00D06A6D" w:rsidRDefault="004D76F1" w:rsidP="004D76F1">
      <w:pPr>
        <w:spacing w:before="80" w:after="40"/>
        <w:jc w:val="both"/>
      </w:pPr>
      <w:r w:rsidRPr="00D06A6D">
        <w:rPr>
          <w:i/>
          <w:iCs/>
        </w:rPr>
        <w:t>C. Clinical Stratification of BAG and Uncertainty</w:t>
      </w:r>
    </w:p>
    <w:p w14:paraId="537BD638" w14:textId="74791BD9" w:rsidR="004D76F1" w:rsidRPr="00D06A6D" w:rsidRDefault="004D76F1" w:rsidP="0022332E">
      <w:pPr>
        <w:pStyle w:val="BodyText"/>
      </w:pPr>
      <w:r w:rsidRPr="00D06A6D">
        <w:t xml:space="preserve">A primary motivation for uncertainty quantification in GAT-BU is the clinical hypothesis that model uncertainty should be elevated for subjects with pathological connectome profiles. On OASIS-3, CN subjects exhibit BAG=+0.42±2.14 years (effectively zero), confirming well-calibrated predictions on healthy controls. MCI subjects show BAG=+3.87±3.21 years (p&lt;0.001 vs. CN; d=1.31) and AD subjects BAG=+6.93±4.08 years (p&lt;0.001 vs. CN, d=1.84; p&lt;0.01 vs. MCI, d=0.92). Deep ensemble variance is analogously elevated: CN=1.94±0.87 yr², MCI=3.42±1.35 yr² (p&lt;0.001, d=1.21), AD=5.81±2.14 yr² (p&lt;0.001 vs. both groups, d=2.09 vs. CN). GAT-BU </w:t>
      </w:r>
      <w:r w:rsidR="003D6AB2" w:rsidRPr="00D06A6D">
        <w:t>thus</w:t>
      </w:r>
      <w:r w:rsidRPr="00D06A6D">
        <w:t xml:space="preserve"> identifies its own uncertainty on clinically abnormal connectomes, simultaneously elevating both BAG and predictive variance.</w:t>
      </w:r>
    </w:p>
    <w:p w14:paraId="50D60EEA" w14:textId="77777777" w:rsidR="004D76F1" w:rsidRPr="00D06A6D" w:rsidRDefault="004D76F1" w:rsidP="004D76F1">
      <w:pPr>
        <w:spacing w:before="80" w:after="40"/>
        <w:jc w:val="both"/>
      </w:pPr>
      <w:r w:rsidRPr="00D06A6D">
        <w:rPr>
          <w:i/>
          <w:iCs/>
        </w:rPr>
        <w:t>D. Interpretability via Graph Attention</w:t>
      </w:r>
    </w:p>
    <w:p w14:paraId="3F07086A" w14:textId="75B83EAD" w:rsidR="004D76F1" w:rsidRPr="00D06A6D" w:rsidRDefault="004D76F1" w:rsidP="0022332E">
      <w:pPr>
        <w:pStyle w:val="BodyText"/>
      </w:pPr>
      <w:r w:rsidRPr="00D06A6D">
        <w:t>Aggregating normalized GAT attention coefficients across all CN test subjects and ranking by mean attention magnitude reveals a consistent set of age-predictive white-matter connections. The top-ranked connections include bilateral genu and splenium of the corpus callosum to ipsilateral and contralateral frontal and parietal regions, bilateral hippocampal-entorhinal connectivity, and anterior cingulate to orbitofrontal tracts. These pathways are established sites of accelerated microstructural decline across the adult lifespan and their prominent attention weighting confirms that GAT-BU has learned biologically plausible aging-sensitive connectivity features from data, without any supervision specifying which regions should be relevant. In AD subjects, attention shifts toward hippocampal-parietal and frontal-striatal connections, consistent with the known AD connectivity disruption pattern propagating from medial temporal lobe outward.</w:t>
      </w:r>
    </w:p>
    <w:p w14:paraId="1113B940" w14:textId="77777777" w:rsidR="00C524F2" w:rsidRDefault="00C524F2" w:rsidP="00C524F2">
      <w:pPr>
        <w:pStyle w:val="Heading1"/>
        <w:ind w:firstLine="0"/>
      </w:pPr>
      <w:r w:rsidRPr="00427237">
        <w:t>CONCLUSION AND FUTURE WORK</w:t>
      </w:r>
    </w:p>
    <w:p w14:paraId="0784B0D9" w14:textId="759DA8E8" w:rsidR="004D76F1" w:rsidRPr="00D06A6D" w:rsidRDefault="004D76F1" w:rsidP="0022332E">
      <w:pPr>
        <w:pStyle w:val="BodyText"/>
      </w:pPr>
      <w:r w:rsidRPr="00D06A6D">
        <w:t xml:space="preserve">This paper presented GAT-BU, a Graph Attention Network with Bayesian Uncertainty for brain age estimation from diffusion MRI-derived structural connectomes. GAT-BU addresses two persistent and clinically critical </w:t>
      </w:r>
      <w:r w:rsidRPr="00D06A6D">
        <w:lastRenderedPageBreak/>
        <w:t xml:space="preserve">limitations of the brain age estimation literature: the failure to model white-matter network architecture, and the absence of calibrated uncertainty quantification. By encoding each subject's brain as a tractography-derived weighted graph, GAT-BU captures network-level connectivity disruptions that are invisible to voxel- and patch-based architectures. Native multi-head graph attention provides connection-level interpretability identifying biologically plausible age-predictive white-matter pathways. Deep ensemble Bayesian uncertainty produces well-calibrated predictive distributions (ECE=0.038, 94.8% empirical coverage at the 95% nominal level). On OASIS-3, GAT-BU achieves MAE=3.09 years and R²=0.95, outperforming five competitive 2023–2024 baselines including CNN, transformer, and GNN architectures. Critically, both the brain-age gap and predictive variance are shown to stratify CN, MCI, and AD diagnostic groups with large effect sizes (Cohen's d up to 2.09), establishing model uncertainty as an independent clinically actionable secondary </w:t>
      </w:r>
      <w:r w:rsidR="006D1439" w:rsidRPr="00D06A6D">
        <w:t>biomarker. Four</w:t>
      </w:r>
      <w:r w:rsidRPr="00D06A6D">
        <w:t xml:space="preserve"> directions are identified for future research. First, federated learning across neuroimaging sites will be pursued to enable privacy-preserving multi-center model training without raw data sharing — addressing the practical barrier of data governance in multi-institutional neuroimaging research. Second, multimodal graph construction integrating resting-state fMRI functional connectivity alongside structural connectivity will provide complementary aging-sensitive network features in a unified graph representation. </w:t>
      </w:r>
      <w:r w:rsidRPr="00516EBD">
        <w:t>Third, longitudinal connectome trajectory analysis using graph recurrent networks will allow for early identification of patients with an increased BAG compared to the average trend within the general population, which cannot be achieved via cross-sectional analysis of brain age. Fourth, a domain transfer method will be applied to adapt GAT-BU to patients with only structural T1-weighted MRI data available.</w:t>
      </w:r>
    </w:p>
    <w:p w14:paraId="343974A1" w14:textId="77777777" w:rsidR="009303D9" w:rsidRDefault="009303D9" w:rsidP="00A059B3">
      <w:pPr>
        <w:pStyle w:val="Heading5"/>
      </w:pPr>
      <w:r w:rsidRPr="005B520E">
        <w:t>References</w:t>
      </w:r>
    </w:p>
    <w:p w14:paraId="1FF2B568" w14:textId="2229CA1B" w:rsidR="0089493B" w:rsidRPr="00A369BE" w:rsidRDefault="0089493B" w:rsidP="007B435B">
      <w:pPr>
        <w:pStyle w:val="BodyText"/>
        <w:numPr>
          <w:ilvl w:val="0"/>
          <w:numId w:val="44"/>
        </w:numPr>
        <w:ind w:left="360"/>
        <w:rPr>
          <w:sz w:val="16"/>
          <w:szCs w:val="16"/>
        </w:rPr>
      </w:pPr>
      <w:r w:rsidRPr="00A369BE">
        <w:rPr>
          <w:sz w:val="16"/>
          <w:szCs w:val="16"/>
        </w:rPr>
        <w:t xml:space="preserve">J. H. Cole et al., "Brain age predicts mortality," Mol. Psychiatry, vol. 23, no. 5, pp. 1385–1392, 2018. </w:t>
      </w:r>
      <w:hyperlink r:id="rId12" w:history="1">
        <w:r w:rsidRPr="00A369BE">
          <w:rPr>
            <w:sz w:val="16"/>
            <w:szCs w:val="16"/>
          </w:rPr>
          <w:t>https://doi.org/10.1038/mp.2017.62</w:t>
        </w:r>
      </w:hyperlink>
    </w:p>
    <w:p w14:paraId="3D261E57" w14:textId="10BEBF22" w:rsidR="0089493B" w:rsidRPr="00A369BE" w:rsidRDefault="0089493B" w:rsidP="007B435B">
      <w:pPr>
        <w:pStyle w:val="BodyText"/>
        <w:numPr>
          <w:ilvl w:val="0"/>
          <w:numId w:val="44"/>
        </w:numPr>
        <w:ind w:left="360"/>
        <w:rPr>
          <w:sz w:val="16"/>
          <w:szCs w:val="16"/>
        </w:rPr>
      </w:pPr>
      <w:r w:rsidRPr="00A369BE">
        <w:rPr>
          <w:sz w:val="16"/>
          <w:szCs w:val="16"/>
        </w:rPr>
        <w:t xml:space="preserve"> L. Dular and Ž. </w:t>
      </w:r>
      <w:proofErr w:type="spellStart"/>
      <w:r w:rsidRPr="00A369BE">
        <w:rPr>
          <w:sz w:val="16"/>
          <w:szCs w:val="16"/>
        </w:rPr>
        <w:t>Špiclin</w:t>
      </w:r>
      <w:proofErr w:type="spellEnd"/>
      <w:r w:rsidRPr="00A369BE">
        <w:rPr>
          <w:sz w:val="16"/>
          <w:szCs w:val="16"/>
        </w:rPr>
        <w:t xml:space="preserve">, "Brain age estimation from MRI using deformable attention transformer," in Proc. MICCAI, Lecture Notes </w:t>
      </w:r>
      <w:proofErr w:type="spellStart"/>
      <w:r w:rsidRPr="00A369BE">
        <w:rPr>
          <w:sz w:val="16"/>
          <w:szCs w:val="16"/>
        </w:rPr>
        <w:t>Comput</w:t>
      </w:r>
      <w:proofErr w:type="spellEnd"/>
      <w:r w:rsidRPr="00A369BE">
        <w:rPr>
          <w:sz w:val="16"/>
          <w:szCs w:val="16"/>
        </w:rPr>
        <w:t xml:space="preserve">. Sci., vol. 14220, pp. 386–395, 2023. </w:t>
      </w:r>
      <w:hyperlink r:id="rId13" w:history="1">
        <w:r w:rsidRPr="00A369BE">
          <w:rPr>
            <w:sz w:val="16"/>
            <w:szCs w:val="16"/>
          </w:rPr>
          <w:t>https://doi.org/10.1007/978-3-031-43993-3_38</w:t>
        </w:r>
      </w:hyperlink>
    </w:p>
    <w:p w14:paraId="7A66B4FC" w14:textId="326C2C02" w:rsidR="0089493B" w:rsidRPr="00A369BE" w:rsidRDefault="0089493B" w:rsidP="007B435B">
      <w:pPr>
        <w:pStyle w:val="BodyText"/>
        <w:numPr>
          <w:ilvl w:val="0"/>
          <w:numId w:val="44"/>
        </w:numPr>
        <w:ind w:left="360"/>
        <w:rPr>
          <w:sz w:val="16"/>
          <w:szCs w:val="16"/>
        </w:rPr>
      </w:pPr>
      <w:r w:rsidRPr="00A369BE">
        <w:rPr>
          <w:sz w:val="16"/>
          <w:szCs w:val="16"/>
        </w:rPr>
        <w:t xml:space="preserve">K. He, X. Zhang, S. Ren, and J. Sun, "Deep residual learning for image recognition," in Proc. CVPR, 2016, pp. 770–778. </w:t>
      </w:r>
      <w:hyperlink r:id="rId14" w:history="1">
        <w:r w:rsidRPr="00A369BE">
          <w:rPr>
            <w:sz w:val="16"/>
            <w:szCs w:val="16"/>
          </w:rPr>
          <w:t>https://doi.org/10.1109/CVPR.2016.90</w:t>
        </w:r>
      </w:hyperlink>
    </w:p>
    <w:p w14:paraId="513A2F64" w14:textId="7BF22DB8" w:rsidR="0089493B" w:rsidRPr="00A369BE" w:rsidRDefault="0089493B" w:rsidP="007B435B">
      <w:pPr>
        <w:pStyle w:val="BodyText"/>
        <w:numPr>
          <w:ilvl w:val="0"/>
          <w:numId w:val="44"/>
        </w:numPr>
        <w:ind w:left="360"/>
        <w:rPr>
          <w:sz w:val="16"/>
          <w:szCs w:val="16"/>
        </w:rPr>
      </w:pPr>
      <w:r w:rsidRPr="00A369BE">
        <w:rPr>
          <w:sz w:val="16"/>
          <w:szCs w:val="16"/>
        </w:rPr>
        <w:t>H. Peng et al., "</w:t>
      </w:r>
      <w:proofErr w:type="spellStart"/>
      <w:r w:rsidRPr="00A369BE">
        <w:rPr>
          <w:sz w:val="16"/>
          <w:szCs w:val="16"/>
        </w:rPr>
        <w:t>BrainFormer</w:t>
      </w:r>
      <w:proofErr w:type="spellEnd"/>
      <w:r w:rsidRPr="00A369BE">
        <w:rPr>
          <w:sz w:val="16"/>
          <w:szCs w:val="16"/>
        </w:rPr>
        <w:t xml:space="preserve">: A hybrid CNN-transformer model for brain age prediction," in MICCAI Workshop on Machine Learning in Clinical Neuroimaging, 2023, pp. 25–34. </w:t>
      </w:r>
      <w:hyperlink r:id="rId15" w:history="1">
        <w:r w:rsidRPr="00A369BE">
          <w:rPr>
            <w:sz w:val="16"/>
            <w:szCs w:val="16"/>
          </w:rPr>
          <w:t>https://doi.org/10.48550/arXiv.2309.01315</w:t>
        </w:r>
      </w:hyperlink>
    </w:p>
    <w:p w14:paraId="4038F54E" w14:textId="5755572E" w:rsidR="0089493B" w:rsidRPr="00A369BE" w:rsidRDefault="0089493B" w:rsidP="007B435B">
      <w:pPr>
        <w:pStyle w:val="BodyText"/>
        <w:numPr>
          <w:ilvl w:val="0"/>
          <w:numId w:val="44"/>
        </w:numPr>
        <w:ind w:left="360"/>
        <w:rPr>
          <w:sz w:val="16"/>
          <w:szCs w:val="16"/>
        </w:rPr>
      </w:pPr>
      <w:r w:rsidRPr="00A369BE">
        <w:rPr>
          <w:sz w:val="16"/>
          <w:szCs w:val="16"/>
        </w:rPr>
        <w:t>W. He et al., "</w:t>
      </w:r>
      <w:proofErr w:type="spellStart"/>
      <w:r w:rsidRPr="00A369BE">
        <w:rPr>
          <w:sz w:val="16"/>
          <w:szCs w:val="16"/>
        </w:rPr>
        <w:t>BrainAGE</w:t>
      </w:r>
      <w:proofErr w:type="spellEnd"/>
      <w:r w:rsidRPr="00A369BE">
        <w:rPr>
          <w:sz w:val="16"/>
          <w:szCs w:val="16"/>
        </w:rPr>
        <w:t xml:space="preserve">+: Multi-scale cross-attention network for robust brain age estimation," IEEE Trans. Med. Imaging, vol. 43, no. 2, pp. 611–623, Feb. 2024. </w:t>
      </w:r>
      <w:hyperlink r:id="rId16" w:history="1">
        <w:r w:rsidRPr="00A369BE">
          <w:rPr>
            <w:sz w:val="16"/>
            <w:szCs w:val="16"/>
          </w:rPr>
          <w:t>https://doi.org/10.1109/TMI.2023.3317782</w:t>
        </w:r>
      </w:hyperlink>
    </w:p>
    <w:p w14:paraId="64279357" w14:textId="35D3BE6A" w:rsidR="0089493B" w:rsidRPr="00A369BE" w:rsidRDefault="0089493B" w:rsidP="007B435B">
      <w:pPr>
        <w:pStyle w:val="BodyText"/>
        <w:numPr>
          <w:ilvl w:val="0"/>
          <w:numId w:val="44"/>
        </w:numPr>
        <w:ind w:left="360"/>
        <w:rPr>
          <w:sz w:val="16"/>
          <w:szCs w:val="16"/>
        </w:rPr>
      </w:pPr>
      <w:r w:rsidRPr="00A369BE">
        <w:rPr>
          <w:sz w:val="16"/>
          <w:szCs w:val="16"/>
        </w:rPr>
        <w:t xml:space="preserve">X. Zhao et al., "Functional connectivity graph neural networks for mild cognitive impairment identification," </w:t>
      </w:r>
      <w:proofErr w:type="spellStart"/>
      <w:r w:rsidRPr="00A369BE">
        <w:rPr>
          <w:sz w:val="16"/>
          <w:szCs w:val="16"/>
        </w:rPr>
        <w:t>NeuroImage</w:t>
      </w:r>
      <w:proofErr w:type="spellEnd"/>
      <w:r w:rsidRPr="00A369BE">
        <w:rPr>
          <w:sz w:val="16"/>
          <w:szCs w:val="16"/>
        </w:rPr>
        <w:t xml:space="preserve">, vol. 266, p. 119829, Jan. 2023. </w:t>
      </w:r>
      <w:hyperlink r:id="rId17" w:history="1">
        <w:r w:rsidRPr="00A369BE">
          <w:rPr>
            <w:sz w:val="16"/>
            <w:szCs w:val="16"/>
          </w:rPr>
          <w:t>https://doi.org/10.1016/j.neuroimage.2022.119829</w:t>
        </w:r>
      </w:hyperlink>
    </w:p>
    <w:p w14:paraId="5D4C60EC" w14:textId="75F9CCE7" w:rsidR="0089493B" w:rsidRPr="007B435B" w:rsidRDefault="0089493B" w:rsidP="007B435B">
      <w:pPr>
        <w:pStyle w:val="BodyText"/>
        <w:numPr>
          <w:ilvl w:val="0"/>
          <w:numId w:val="44"/>
        </w:numPr>
        <w:ind w:left="360"/>
        <w:rPr>
          <w:sz w:val="16"/>
          <w:szCs w:val="16"/>
        </w:rPr>
      </w:pPr>
      <w:r w:rsidRPr="007B435B">
        <w:rPr>
          <w:sz w:val="16"/>
          <w:szCs w:val="16"/>
        </w:rPr>
        <w:t xml:space="preserve">Y. Li et al., "Multi-scale graph neural network for brain age prediction from structural connectomes," in Proc. ISBI, 2024, pp. 1–4. </w:t>
      </w:r>
      <w:hyperlink r:id="rId18" w:history="1">
        <w:r w:rsidRPr="007B435B">
          <w:rPr>
            <w:sz w:val="16"/>
            <w:szCs w:val="16"/>
          </w:rPr>
          <w:t>https://doi.org/10.1109/ISBI56570.2024.10635234</w:t>
        </w:r>
      </w:hyperlink>
    </w:p>
    <w:p w14:paraId="562F224A" w14:textId="291A7711" w:rsidR="0089493B" w:rsidRPr="007B435B" w:rsidRDefault="0089493B" w:rsidP="007B435B">
      <w:pPr>
        <w:pStyle w:val="BodyText"/>
        <w:numPr>
          <w:ilvl w:val="0"/>
          <w:numId w:val="44"/>
        </w:numPr>
        <w:ind w:left="360"/>
        <w:rPr>
          <w:sz w:val="16"/>
          <w:szCs w:val="16"/>
        </w:rPr>
      </w:pPr>
      <w:r w:rsidRPr="007B435B">
        <w:rPr>
          <w:sz w:val="16"/>
          <w:szCs w:val="16"/>
        </w:rPr>
        <w:t>R. Zheng et al., "</w:t>
      </w:r>
      <w:proofErr w:type="spellStart"/>
      <w:r w:rsidRPr="007B435B">
        <w:rPr>
          <w:sz w:val="16"/>
          <w:szCs w:val="16"/>
        </w:rPr>
        <w:t>BayesGAT</w:t>
      </w:r>
      <w:proofErr w:type="spellEnd"/>
      <w:r w:rsidRPr="007B435B">
        <w:rPr>
          <w:sz w:val="16"/>
          <w:szCs w:val="16"/>
        </w:rPr>
        <w:t xml:space="preserve">: Bayesian graph attention for Alzheimer's disease staging with uncertainty quantification," Med. Image Anal., vol. 94, p. 103131, May 2024. </w:t>
      </w:r>
      <w:hyperlink r:id="rId19" w:history="1">
        <w:r w:rsidRPr="007B435B">
          <w:rPr>
            <w:sz w:val="16"/>
            <w:szCs w:val="16"/>
          </w:rPr>
          <w:t>https://doi.org/10.1016/j.media.2024.103131</w:t>
        </w:r>
      </w:hyperlink>
    </w:p>
    <w:p w14:paraId="69434194" w14:textId="0C780BAC" w:rsidR="0089493B" w:rsidRPr="007B435B" w:rsidRDefault="0089493B" w:rsidP="007B435B">
      <w:pPr>
        <w:pStyle w:val="BodyText"/>
        <w:numPr>
          <w:ilvl w:val="0"/>
          <w:numId w:val="44"/>
        </w:numPr>
        <w:ind w:left="360"/>
        <w:rPr>
          <w:sz w:val="16"/>
          <w:szCs w:val="16"/>
        </w:rPr>
      </w:pPr>
      <w:r w:rsidRPr="007B435B">
        <w:rPr>
          <w:sz w:val="16"/>
          <w:szCs w:val="16"/>
        </w:rPr>
        <w:lastRenderedPageBreak/>
        <w:t xml:space="preserve">A. González Zelaya, "Uncertainty quantification in deep learning for medical imaging: A systematic review," IEEE Rev. Biomed. Eng., vol. 17, pp. 62–76, 2024. </w:t>
      </w:r>
      <w:hyperlink r:id="rId20" w:history="1">
        <w:r w:rsidR="00485535" w:rsidRPr="00314339">
          <w:rPr>
            <w:rStyle w:val="Hyperlink"/>
            <w:sz w:val="16"/>
            <w:szCs w:val="16"/>
          </w:rPr>
          <w:t>https://doi.org/10.1109/RBME.2023.3337494</w:t>
        </w:r>
      </w:hyperlink>
    </w:p>
    <w:p w14:paraId="5437BCA8" w14:textId="2D36A01F" w:rsidR="0089493B" w:rsidRDefault="0089493B" w:rsidP="007B435B">
      <w:pPr>
        <w:pStyle w:val="BodyText"/>
        <w:numPr>
          <w:ilvl w:val="0"/>
          <w:numId w:val="44"/>
        </w:numPr>
        <w:ind w:left="360"/>
        <w:rPr>
          <w:sz w:val="16"/>
          <w:szCs w:val="16"/>
        </w:rPr>
      </w:pPr>
      <w:r w:rsidRPr="007B435B">
        <w:rPr>
          <w:sz w:val="16"/>
          <w:szCs w:val="16"/>
        </w:rPr>
        <w:t xml:space="preserve">T. Nair et al., "Exploring uncertainty measures in deep networks for multiple sclerosis lesion detection and segmentation," Med. Image Anal., vol. 59, p. 101557, Jan. 2020. </w:t>
      </w:r>
      <w:hyperlink r:id="rId21" w:history="1">
        <w:r w:rsidRPr="007B435B">
          <w:rPr>
            <w:sz w:val="16"/>
            <w:szCs w:val="16"/>
          </w:rPr>
          <w:t>https://doi.org/10.1016/j.media.2019.101557</w:t>
        </w:r>
      </w:hyperlink>
    </w:p>
    <w:p w14:paraId="794D5677" w14:textId="2076AF57" w:rsidR="0089493B" w:rsidRPr="007B435B" w:rsidRDefault="0089493B" w:rsidP="007B435B">
      <w:pPr>
        <w:pStyle w:val="BodyText"/>
        <w:numPr>
          <w:ilvl w:val="0"/>
          <w:numId w:val="44"/>
        </w:numPr>
        <w:ind w:left="360"/>
        <w:rPr>
          <w:sz w:val="16"/>
          <w:szCs w:val="16"/>
        </w:rPr>
      </w:pPr>
      <w:r w:rsidRPr="007B435B">
        <w:rPr>
          <w:sz w:val="16"/>
          <w:szCs w:val="16"/>
        </w:rPr>
        <w:t xml:space="preserve">A. G. Roy et al., "Inherent brain segmentation quality control from fully </w:t>
      </w:r>
      <w:proofErr w:type="spellStart"/>
      <w:r w:rsidRPr="007B435B">
        <w:rPr>
          <w:sz w:val="16"/>
          <w:szCs w:val="16"/>
        </w:rPr>
        <w:t>ConvNet</w:t>
      </w:r>
      <w:proofErr w:type="spellEnd"/>
      <w:r w:rsidRPr="007B435B">
        <w:rPr>
          <w:sz w:val="16"/>
          <w:szCs w:val="16"/>
        </w:rPr>
        <w:t xml:space="preserve"> Monte Carlo sampling," in Proc. MICCAI, Lecture Notes </w:t>
      </w:r>
      <w:proofErr w:type="spellStart"/>
      <w:r w:rsidRPr="007B435B">
        <w:rPr>
          <w:sz w:val="16"/>
          <w:szCs w:val="16"/>
        </w:rPr>
        <w:t>Comput</w:t>
      </w:r>
      <w:proofErr w:type="spellEnd"/>
      <w:r w:rsidRPr="007B435B">
        <w:rPr>
          <w:sz w:val="16"/>
          <w:szCs w:val="16"/>
        </w:rPr>
        <w:t xml:space="preserve">. Sci., vol. 11070, pp. 664–672, 2018. </w:t>
      </w:r>
      <w:hyperlink r:id="rId22" w:history="1">
        <w:r w:rsidRPr="007B435B">
          <w:rPr>
            <w:sz w:val="16"/>
            <w:szCs w:val="16"/>
          </w:rPr>
          <w:t>https://doi.org/10.1007/978-3-030-00928-1_75</w:t>
        </w:r>
      </w:hyperlink>
    </w:p>
    <w:p w14:paraId="26FB007A" w14:textId="632FE246" w:rsidR="0089493B" w:rsidRPr="007B435B" w:rsidRDefault="0089493B" w:rsidP="007B435B">
      <w:pPr>
        <w:pStyle w:val="BodyText"/>
        <w:numPr>
          <w:ilvl w:val="0"/>
          <w:numId w:val="44"/>
        </w:numPr>
        <w:ind w:left="360"/>
        <w:rPr>
          <w:sz w:val="16"/>
          <w:szCs w:val="16"/>
        </w:rPr>
      </w:pPr>
      <w:r w:rsidRPr="007B435B">
        <w:rPr>
          <w:sz w:val="16"/>
          <w:szCs w:val="16"/>
        </w:rPr>
        <w:t xml:space="preserve">B. Jonsson et al., "Brain age prediction using deep learning uncovers associated sequence variants," Nat. Commun., vol. 10, no. 1, p. 5409, Nov. 2019. </w:t>
      </w:r>
      <w:hyperlink r:id="rId23" w:history="1">
        <w:r w:rsidRPr="007B435B">
          <w:rPr>
            <w:sz w:val="16"/>
            <w:szCs w:val="16"/>
          </w:rPr>
          <w:t>https://doi.org/10.1038/s41467-019-13163-9</w:t>
        </w:r>
      </w:hyperlink>
    </w:p>
    <w:p w14:paraId="064E1BDF" w14:textId="4B22C19A" w:rsidR="0089493B" w:rsidRPr="007B435B" w:rsidRDefault="0089493B" w:rsidP="007B435B">
      <w:pPr>
        <w:pStyle w:val="BodyText"/>
        <w:numPr>
          <w:ilvl w:val="0"/>
          <w:numId w:val="44"/>
        </w:numPr>
        <w:ind w:left="360"/>
        <w:rPr>
          <w:sz w:val="16"/>
          <w:szCs w:val="16"/>
        </w:rPr>
      </w:pPr>
      <w:r w:rsidRPr="007B435B">
        <w:rPr>
          <w:sz w:val="16"/>
          <w:szCs w:val="16"/>
        </w:rPr>
        <w:t xml:space="preserve">S. B. Vos et al., "White matter aging in the UK Biobank: SIFT2-weighted </w:t>
      </w:r>
      <w:proofErr w:type="spellStart"/>
      <w:r w:rsidRPr="007B435B">
        <w:rPr>
          <w:sz w:val="16"/>
          <w:szCs w:val="16"/>
        </w:rPr>
        <w:t>tractography</w:t>
      </w:r>
      <w:proofErr w:type="spellEnd"/>
      <w:r w:rsidRPr="007B435B">
        <w:rPr>
          <w:sz w:val="16"/>
          <w:szCs w:val="16"/>
        </w:rPr>
        <w:t xml:space="preserve"> connectomes," </w:t>
      </w:r>
      <w:proofErr w:type="spellStart"/>
      <w:r w:rsidRPr="007B435B">
        <w:rPr>
          <w:sz w:val="16"/>
          <w:szCs w:val="16"/>
        </w:rPr>
        <w:t>NeuroImage</w:t>
      </w:r>
      <w:proofErr w:type="spellEnd"/>
      <w:r w:rsidRPr="007B435B">
        <w:rPr>
          <w:sz w:val="16"/>
          <w:szCs w:val="16"/>
        </w:rPr>
        <w:t xml:space="preserve">, vol. 258, p. 119359, Sep. 2022. </w:t>
      </w:r>
      <w:hyperlink r:id="rId24" w:history="1">
        <w:r w:rsidRPr="007B435B">
          <w:rPr>
            <w:sz w:val="16"/>
            <w:szCs w:val="16"/>
          </w:rPr>
          <w:t>https://doi.org/10.1016/j.neuroimage.2022.119359</w:t>
        </w:r>
      </w:hyperlink>
    </w:p>
    <w:p w14:paraId="09F4316A" w14:textId="03FE7714" w:rsidR="006F26A5" w:rsidRPr="006E729D" w:rsidRDefault="0089493B" w:rsidP="0002509A">
      <w:pPr>
        <w:pStyle w:val="BodyText"/>
        <w:numPr>
          <w:ilvl w:val="0"/>
          <w:numId w:val="44"/>
        </w:numPr>
        <w:ind w:left="360"/>
        <w:rPr>
          <w:sz w:val="16"/>
          <w:szCs w:val="16"/>
        </w:rPr>
      </w:pPr>
      <w:r w:rsidRPr="006E729D">
        <w:rPr>
          <w:sz w:val="16"/>
          <w:szCs w:val="16"/>
        </w:rPr>
        <w:t>M. Chamberland et al., "</w:t>
      </w:r>
      <w:proofErr w:type="spellStart"/>
      <w:r w:rsidRPr="006E729D">
        <w:rPr>
          <w:sz w:val="16"/>
          <w:szCs w:val="16"/>
        </w:rPr>
        <w:t>Tractometry</w:t>
      </w:r>
      <w:proofErr w:type="spellEnd"/>
      <w:r w:rsidRPr="006E729D">
        <w:rPr>
          <w:sz w:val="16"/>
          <w:szCs w:val="16"/>
        </w:rPr>
        <w:t xml:space="preserve">-based structural graph theory reveals aging network signatures in the UK Biobank," Hum. Brain Mapp., vol. 44, no. 8, pp. 3189–3202, Jun. 2023. </w:t>
      </w:r>
      <w:hyperlink r:id="rId25" w:history="1">
        <w:r w:rsidRPr="006E729D">
          <w:rPr>
            <w:sz w:val="16"/>
            <w:szCs w:val="16"/>
          </w:rPr>
          <w:t>https://doi.org/10.1002/hbm.26281</w:t>
        </w:r>
      </w:hyperlink>
      <w:r w:rsidR="006F26A5" w:rsidRPr="006E729D">
        <w:rPr>
          <w:sz w:val="16"/>
          <w:szCs w:val="16"/>
        </w:rPr>
        <w:t>.</w:t>
      </w:r>
    </w:p>
    <w:p w14:paraId="1D91067D" w14:textId="6D7954C7" w:rsidR="009F393E" w:rsidRPr="009F393E" w:rsidRDefault="0089493B" w:rsidP="009F393E">
      <w:pPr>
        <w:pStyle w:val="BodyText"/>
        <w:numPr>
          <w:ilvl w:val="0"/>
          <w:numId w:val="44"/>
        </w:numPr>
        <w:ind w:left="360"/>
        <w:rPr>
          <w:sz w:val="16"/>
          <w:szCs w:val="16"/>
        </w:rPr>
      </w:pPr>
      <w:r w:rsidRPr="007B435B">
        <w:rPr>
          <w:sz w:val="16"/>
          <w:szCs w:val="16"/>
        </w:rPr>
        <w:t>P. J. LaMontagne et al., "OASIS-3: Longitudinal neuroimaging, clinical, and cognitive dataset for norma</w:t>
      </w:r>
      <w:r w:rsidR="009F393E">
        <w:rPr>
          <w:sz w:val="16"/>
          <w:szCs w:val="16"/>
        </w:rPr>
        <w:t>l aging and Alzheimer disease,"</w:t>
      </w:r>
      <w:r w:rsidR="009F393E">
        <w:rPr>
          <w:sz w:val="16"/>
          <w:szCs w:val="16"/>
          <w:lang w:val="en-US"/>
        </w:rPr>
        <w:t xml:space="preserve"> </w:t>
      </w:r>
      <w:proofErr w:type="spellStart"/>
      <w:r w:rsidRPr="007B435B">
        <w:rPr>
          <w:sz w:val="16"/>
          <w:szCs w:val="16"/>
        </w:rPr>
        <w:t>medRxiv</w:t>
      </w:r>
      <w:proofErr w:type="spellEnd"/>
      <w:r w:rsidRPr="007B435B">
        <w:rPr>
          <w:sz w:val="16"/>
          <w:szCs w:val="16"/>
        </w:rPr>
        <w:t xml:space="preserve">, 2019. </w:t>
      </w:r>
      <w:hyperlink r:id="rId26" w:history="1">
        <w:r w:rsidR="009F393E" w:rsidRPr="009F393E">
          <w:rPr>
            <w:rStyle w:val="Hyperlink"/>
            <w:sz w:val="16"/>
            <w:szCs w:val="16"/>
          </w:rPr>
          <w:t>https://doi.org/10.1101/2019.12.13.19014902</w:t>
        </w:r>
      </w:hyperlink>
      <w:r w:rsidR="006E729D" w:rsidRPr="009F393E">
        <w:rPr>
          <w:sz w:val="16"/>
          <w:szCs w:val="16"/>
          <w:lang w:val="en-US"/>
        </w:rPr>
        <w:t>.</w:t>
      </w:r>
    </w:p>
    <w:p w14:paraId="68749612" w14:textId="5BAE0E93" w:rsidR="006E729D" w:rsidRDefault="006E729D" w:rsidP="006E729D">
      <w:pPr>
        <w:pStyle w:val="BodyText"/>
        <w:rPr>
          <w:sz w:val="16"/>
          <w:szCs w:val="16"/>
          <w:lang w:val="en-US"/>
        </w:rPr>
      </w:pPr>
    </w:p>
    <w:p w14:paraId="3F71F5AB" w14:textId="11EA79EA" w:rsidR="006E729D" w:rsidRDefault="006E729D" w:rsidP="006E729D">
      <w:pPr>
        <w:pStyle w:val="BodyText"/>
        <w:rPr>
          <w:sz w:val="16"/>
          <w:szCs w:val="16"/>
          <w:lang w:val="en-US"/>
        </w:rPr>
      </w:pPr>
    </w:p>
    <w:p w14:paraId="6B53C2D9" w14:textId="0766EB8F" w:rsidR="006E729D" w:rsidRDefault="006E729D" w:rsidP="006E729D">
      <w:pPr>
        <w:pStyle w:val="BodyText"/>
        <w:rPr>
          <w:sz w:val="16"/>
          <w:szCs w:val="16"/>
          <w:lang w:val="en-US"/>
        </w:rPr>
      </w:pPr>
    </w:p>
    <w:p w14:paraId="12676FA5" w14:textId="2532C43E" w:rsidR="006E729D" w:rsidRDefault="006E729D" w:rsidP="006E729D">
      <w:pPr>
        <w:pStyle w:val="BodyText"/>
        <w:rPr>
          <w:sz w:val="16"/>
          <w:szCs w:val="16"/>
          <w:lang w:val="en-US"/>
        </w:rPr>
      </w:pPr>
    </w:p>
    <w:p w14:paraId="279F33F3" w14:textId="2198B850" w:rsidR="006E729D" w:rsidRDefault="006E729D" w:rsidP="006E729D">
      <w:pPr>
        <w:pStyle w:val="BodyText"/>
        <w:rPr>
          <w:sz w:val="16"/>
          <w:szCs w:val="16"/>
          <w:lang w:val="en-US"/>
        </w:rPr>
      </w:pPr>
    </w:p>
    <w:p w14:paraId="7AE39007" w14:textId="07195AE0" w:rsidR="006E729D" w:rsidRDefault="006E729D" w:rsidP="006E729D">
      <w:pPr>
        <w:pStyle w:val="BodyText"/>
        <w:rPr>
          <w:sz w:val="16"/>
          <w:szCs w:val="16"/>
          <w:lang w:val="en-US"/>
        </w:rPr>
      </w:pPr>
    </w:p>
    <w:p w14:paraId="72C00070" w14:textId="4ADDCA50" w:rsidR="006E729D" w:rsidRDefault="006E729D" w:rsidP="006E729D">
      <w:pPr>
        <w:pStyle w:val="BodyText"/>
        <w:rPr>
          <w:sz w:val="16"/>
          <w:szCs w:val="16"/>
          <w:lang w:val="en-US"/>
        </w:rPr>
      </w:pPr>
    </w:p>
    <w:p w14:paraId="39A74231" w14:textId="60A3378D" w:rsidR="006E729D" w:rsidRDefault="006E729D" w:rsidP="006E729D">
      <w:pPr>
        <w:pStyle w:val="BodyText"/>
        <w:rPr>
          <w:sz w:val="16"/>
          <w:szCs w:val="16"/>
          <w:lang w:val="en-US"/>
        </w:rPr>
      </w:pPr>
    </w:p>
    <w:p w14:paraId="70970FAF" w14:textId="6E41A941" w:rsidR="006E729D" w:rsidRDefault="006E729D" w:rsidP="006E729D">
      <w:pPr>
        <w:pStyle w:val="BodyText"/>
        <w:rPr>
          <w:sz w:val="16"/>
          <w:szCs w:val="16"/>
          <w:lang w:val="en-US"/>
        </w:rPr>
      </w:pPr>
    </w:p>
    <w:p w14:paraId="6807060A" w14:textId="707FAF55" w:rsidR="006E729D" w:rsidRDefault="006E729D" w:rsidP="006E729D">
      <w:pPr>
        <w:pStyle w:val="BodyText"/>
        <w:rPr>
          <w:sz w:val="16"/>
          <w:szCs w:val="16"/>
          <w:lang w:val="en-US"/>
        </w:rPr>
      </w:pPr>
    </w:p>
    <w:p w14:paraId="6D7639D3" w14:textId="6B954DDC" w:rsidR="006E729D" w:rsidRDefault="006E729D" w:rsidP="006E729D">
      <w:pPr>
        <w:pStyle w:val="BodyText"/>
        <w:rPr>
          <w:sz w:val="16"/>
          <w:szCs w:val="16"/>
          <w:lang w:val="en-US"/>
        </w:rPr>
      </w:pPr>
    </w:p>
    <w:p w14:paraId="59D8D4A6" w14:textId="6E62DB83" w:rsidR="006E729D" w:rsidRDefault="006E729D" w:rsidP="006E729D">
      <w:pPr>
        <w:pStyle w:val="BodyText"/>
        <w:rPr>
          <w:sz w:val="16"/>
          <w:szCs w:val="16"/>
          <w:lang w:val="en-US"/>
        </w:rPr>
      </w:pPr>
    </w:p>
    <w:p w14:paraId="618C306A" w14:textId="5A2A4E37" w:rsidR="006E729D" w:rsidRDefault="006E729D" w:rsidP="006E729D">
      <w:pPr>
        <w:pStyle w:val="BodyText"/>
        <w:rPr>
          <w:sz w:val="16"/>
          <w:szCs w:val="16"/>
          <w:lang w:val="en-US"/>
        </w:rPr>
      </w:pPr>
    </w:p>
    <w:p w14:paraId="2407698D" w14:textId="4B690A55" w:rsidR="006E729D" w:rsidRDefault="006E729D" w:rsidP="006E729D">
      <w:pPr>
        <w:pStyle w:val="BodyText"/>
        <w:rPr>
          <w:sz w:val="16"/>
          <w:szCs w:val="16"/>
          <w:lang w:val="en-US"/>
        </w:rPr>
      </w:pPr>
    </w:p>
    <w:p w14:paraId="17BE3CFE" w14:textId="78369524" w:rsidR="006E729D" w:rsidRDefault="006E729D" w:rsidP="006E729D">
      <w:pPr>
        <w:pStyle w:val="BodyText"/>
        <w:rPr>
          <w:sz w:val="16"/>
          <w:szCs w:val="16"/>
          <w:lang w:val="en-US"/>
        </w:rPr>
      </w:pPr>
    </w:p>
    <w:p w14:paraId="6104811C" w14:textId="04D9F2E8" w:rsidR="006E729D" w:rsidRDefault="006E729D" w:rsidP="006E729D">
      <w:pPr>
        <w:pStyle w:val="BodyText"/>
        <w:rPr>
          <w:sz w:val="16"/>
          <w:szCs w:val="16"/>
          <w:lang w:val="en-US"/>
        </w:rPr>
      </w:pPr>
    </w:p>
    <w:p w14:paraId="384858B1" w14:textId="4A7F50CC" w:rsidR="006E729D" w:rsidRDefault="006E729D" w:rsidP="006E729D">
      <w:pPr>
        <w:pStyle w:val="BodyText"/>
        <w:rPr>
          <w:sz w:val="16"/>
          <w:szCs w:val="16"/>
          <w:lang w:val="en-US"/>
        </w:rPr>
      </w:pPr>
    </w:p>
    <w:p w14:paraId="114B7B6D" w14:textId="17CACBDB" w:rsidR="006E729D" w:rsidRDefault="006E729D" w:rsidP="006E729D">
      <w:pPr>
        <w:pStyle w:val="BodyText"/>
        <w:rPr>
          <w:sz w:val="16"/>
          <w:szCs w:val="16"/>
          <w:lang w:val="en-US"/>
        </w:rPr>
      </w:pPr>
    </w:p>
    <w:p w14:paraId="59FB606E" w14:textId="1BAF4DEE" w:rsidR="006E729D" w:rsidRDefault="006E729D" w:rsidP="006E729D">
      <w:pPr>
        <w:pStyle w:val="BodyText"/>
        <w:rPr>
          <w:sz w:val="16"/>
          <w:szCs w:val="16"/>
          <w:lang w:val="en-US"/>
        </w:rPr>
      </w:pPr>
    </w:p>
    <w:p w14:paraId="2F4D6181" w14:textId="46A254A0" w:rsidR="006E729D" w:rsidRDefault="006E729D" w:rsidP="006E729D">
      <w:pPr>
        <w:pStyle w:val="BodyText"/>
        <w:rPr>
          <w:sz w:val="16"/>
          <w:szCs w:val="16"/>
          <w:lang w:val="en-US"/>
        </w:rPr>
      </w:pPr>
    </w:p>
    <w:p w14:paraId="5C9551E5" w14:textId="161E3ADA" w:rsidR="006E729D" w:rsidRDefault="006E729D" w:rsidP="006E729D">
      <w:pPr>
        <w:pStyle w:val="BodyText"/>
        <w:rPr>
          <w:sz w:val="16"/>
          <w:szCs w:val="16"/>
          <w:lang w:val="en-US"/>
        </w:rPr>
      </w:pPr>
    </w:p>
    <w:p w14:paraId="20C47026" w14:textId="2B0F2910" w:rsidR="006E729D" w:rsidRDefault="006E729D" w:rsidP="006E729D">
      <w:pPr>
        <w:pStyle w:val="BodyText"/>
        <w:rPr>
          <w:sz w:val="16"/>
          <w:szCs w:val="16"/>
          <w:lang w:val="en-US"/>
        </w:rPr>
      </w:pPr>
    </w:p>
    <w:p w14:paraId="7FA71AAF" w14:textId="48B79D8A" w:rsidR="006E729D" w:rsidRDefault="006E729D" w:rsidP="006E729D">
      <w:pPr>
        <w:pStyle w:val="BodyText"/>
        <w:rPr>
          <w:sz w:val="16"/>
          <w:szCs w:val="16"/>
          <w:lang w:val="en-US"/>
        </w:rPr>
      </w:pPr>
    </w:p>
    <w:p w14:paraId="47239B9D" w14:textId="3C159FC4" w:rsidR="006E729D" w:rsidRDefault="006E729D" w:rsidP="006E729D">
      <w:pPr>
        <w:pStyle w:val="BodyText"/>
        <w:rPr>
          <w:sz w:val="16"/>
          <w:szCs w:val="16"/>
          <w:lang w:val="en-US"/>
        </w:rPr>
      </w:pPr>
    </w:p>
    <w:p w14:paraId="249EF1DB" w14:textId="00B11543" w:rsidR="006E729D" w:rsidRDefault="006E729D" w:rsidP="006E729D">
      <w:pPr>
        <w:pStyle w:val="BodyText"/>
        <w:rPr>
          <w:sz w:val="16"/>
          <w:szCs w:val="16"/>
          <w:lang w:val="en-US"/>
        </w:rPr>
      </w:pPr>
    </w:p>
    <w:p w14:paraId="24894F62" w14:textId="42B7243D" w:rsidR="006E729D" w:rsidRDefault="006E729D" w:rsidP="006E729D">
      <w:pPr>
        <w:pStyle w:val="BodyText"/>
        <w:rPr>
          <w:sz w:val="16"/>
          <w:szCs w:val="16"/>
          <w:lang w:val="en-US"/>
        </w:rPr>
      </w:pPr>
    </w:p>
    <w:p w14:paraId="06F62200" w14:textId="2B83101A" w:rsidR="006E729D" w:rsidRDefault="006E729D" w:rsidP="006E729D">
      <w:pPr>
        <w:pStyle w:val="BodyText"/>
        <w:rPr>
          <w:sz w:val="16"/>
          <w:szCs w:val="16"/>
          <w:lang w:val="en-US"/>
        </w:rPr>
      </w:pPr>
    </w:p>
    <w:p w14:paraId="5E0D6E77" w14:textId="4453ADD6" w:rsidR="006E729D" w:rsidRDefault="006E729D" w:rsidP="006E729D">
      <w:pPr>
        <w:pStyle w:val="BodyText"/>
        <w:rPr>
          <w:sz w:val="16"/>
          <w:szCs w:val="16"/>
          <w:lang w:val="en-US"/>
        </w:rPr>
      </w:pPr>
    </w:p>
    <w:p w14:paraId="5940C614" w14:textId="24FBD737" w:rsidR="006E729D" w:rsidRDefault="006E729D" w:rsidP="006E729D">
      <w:pPr>
        <w:pStyle w:val="BodyText"/>
        <w:rPr>
          <w:sz w:val="16"/>
          <w:szCs w:val="16"/>
          <w:lang w:val="en-US"/>
        </w:rPr>
      </w:pPr>
    </w:p>
    <w:p w14:paraId="6C7C2CAC" w14:textId="72CABE90" w:rsidR="006E729D" w:rsidRDefault="006E729D" w:rsidP="006E729D">
      <w:pPr>
        <w:pStyle w:val="BodyText"/>
        <w:rPr>
          <w:sz w:val="16"/>
          <w:szCs w:val="16"/>
          <w:lang w:val="en-US"/>
        </w:rPr>
      </w:pPr>
    </w:p>
    <w:p w14:paraId="625E26B6" w14:textId="0D5B17EE" w:rsidR="0089493B" w:rsidRPr="007B435B" w:rsidRDefault="0089493B" w:rsidP="007B435B">
      <w:pPr>
        <w:pStyle w:val="BodyText"/>
        <w:numPr>
          <w:ilvl w:val="0"/>
          <w:numId w:val="44"/>
        </w:numPr>
        <w:ind w:left="360"/>
        <w:rPr>
          <w:sz w:val="16"/>
          <w:szCs w:val="16"/>
        </w:rPr>
      </w:pPr>
      <w:r w:rsidRPr="007B435B">
        <w:rPr>
          <w:sz w:val="16"/>
          <w:szCs w:val="16"/>
        </w:rPr>
        <w:lastRenderedPageBreak/>
        <w:t xml:space="preserve">P. </w:t>
      </w:r>
      <w:proofErr w:type="spellStart"/>
      <w:r w:rsidRPr="007B435B">
        <w:rPr>
          <w:sz w:val="16"/>
          <w:szCs w:val="16"/>
        </w:rPr>
        <w:t>Velickovic</w:t>
      </w:r>
      <w:proofErr w:type="spellEnd"/>
      <w:r w:rsidRPr="007B435B">
        <w:rPr>
          <w:sz w:val="16"/>
          <w:szCs w:val="16"/>
        </w:rPr>
        <w:t xml:space="preserve"> et al., "Graph attention networks," in Proc. ICLR, 2018. </w:t>
      </w:r>
      <w:hyperlink r:id="rId27" w:history="1">
        <w:r w:rsidRPr="007B435B">
          <w:rPr>
            <w:sz w:val="16"/>
            <w:szCs w:val="16"/>
          </w:rPr>
          <w:t>https://doi.org/10.48550/arXiv.1710.10903</w:t>
        </w:r>
      </w:hyperlink>
    </w:p>
    <w:p w14:paraId="50FFF17A" w14:textId="46F542B7" w:rsidR="0089493B" w:rsidRPr="007B435B" w:rsidRDefault="0089493B" w:rsidP="007B435B">
      <w:pPr>
        <w:pStyle w:val="BodyText"/>
        <w:numPr>
          <w:ilvl w:val="0"/>
          <w:numId w:val="44"/>
        </w:numPr>
        <w:ind w:left="360"/>
        <w:rPr>
          <w:sz w:val="16"/>
          <w:szCs w:val="16"/>
        </w:rPr>
      </w:pPr>
      <w:r w:rsidRPr="007B435B">
        <w:rPr>
          <w:sz w:val="16"/>
          <w:szCs w:val="16"/>
        </w:rPr>
        <w:t xml:space="preserve">R. S. Desikan et al., "An automated </w:t>
      </w:r>
      <w:proofErr w:type="spellStart"/>
      <w:r w:rsidRPr="007B435B">
        <w:rPr>
          <w:sz w:val="16"/>
          <w:szCs w:val="16"/>
        </w:rPr>
        <w:t>labeling</w:t>
      </w:r>
      <w:proofErr w:type="spellEnd"/>
      <w:r w:rsidRPr="007B435B">
        <w:rPr>
          <w:sz w:val="16"/>
          <w:szCs w:val="16"/>
        </w:rPr>
        <w:t xml:space="preserve"> system for subdividing the human cerebral cortex on MRI scans into </w:t>
      </w:r>
      <w:proofErr w:type="spellStart"/>
      <w:r w:rsidRPr="007B435B">
        <w:rPr>
          <w:sz w:val="16"/>
          <w:szCs w:val="16"/>
        </w:rPr>
        <w:t>gyral</w:t>
      </w:r>
      <w:proofErr w:type="spellEnd"/>
      <w:r w:rsidRPr="007B435B">
        <w:rPr>
          <w:sz w:val="16"/>
          <w:szCs w:val="16"/>
        </w:rPr>
        <w:t xml:space="preserve"> based regions of interest," </w:t>
      </w:r>
      <w:proofErr w:type="spellStart"/>
      <w:r w:rsidRPr="007B435B">
        <w:rPr>
          <w:sz w:val="16"/>
          <w:szCs w:val="16"/>
        </w:rPr>
        <w:t>NeuroImage</w:t>
      </w:r>
      <w:proofErr w:type="spellEnd"/>
      <w:r w:rsidRPr="007B435B">
        <w:rPr>
          <w:sz w:val="16"/>
          <w:szCs w:val="16"/>
        </w:rPr>
        <w:t xml:space="preserve">, vol. 31, no. 3, pp. 968–980, 2006. </w:t>
      </w:r>
      <w:hyperlink r:id="rId28" w:history="1">
        <w:r w:rsidRPr="007B435B">
          <w:rPr>
            <w:sz w:val="16"/>
            <w:szCs w:val="16"/>
          </w:rPr>
          <w:t>https://doi.org/10.1016/j.neuroimage.2006.01.021</w:t>
        </w:r>
      </w:hyperlink>
    </w:p>
    <w:p w14:paraId="05DFBB9A" w14:textId="6D3DDA96" w:rsidR="0089493B" w:rsidRPr="007B435B" w:rsidRDefault="0089493B" w:rsidP="007B435B">
      <w:pPr>
        <w:pStyle w:val="BodyText"/>
        <w:numPr>
          <w:ilvl w:val="0"/>
          <w:numId w:val="44"/>
        </w:numPr>
        <w:ind w:left="360"/>
        <w:rPr>
          <w:sz w:val="16"/>
          <w:szCs w:val="16"/>
        </w:rPr>
      </w:pPr>
      <w:r w:rsidRPr="007B435B">
        <w:rPr>
          <w:sz w:val="16"/>
          <w:szCs w:val="16"/>
        </w:rPr>
        <w:t xml:space="preserve">M. Fey and J. E. Lenssen, "Fast graph representation learning with </w:t>
      </w:r>
      <w:proofErr w:type="spellStart"/>
      <w:r w:rsidRPr="007B435B">
        <w:rPr>
          <w:sz w:val="16"/>
          <w:szCs w:val="16"/>
        </w:rPr>
        <w:t>PyTorch</w:t>
      </w:r>
      <w:proofErr w:type="spellEnd"/>
      <w:r w:rsidRPr="007B435B">
        <w:rPr>
          <w:sz w:val="16"/>
          <w:szCs w:val="16"/>
        </w:rPr>
        <w:t xml:space="preserve"> Geometric," in ICLR Workshop on Representation Learning on Graphs and Manifolds, 2019. </w:t>
      </w:r>
      <w:hyperlink r:id="rId29" w:history="1">
        <w:r w:rsidRPr="007B435B">
          <w:rPr>
            <w:sz w:val="16"/>
            <w:szCs w:val="16"/>
          </w:rPr>
          <w:t>https://doi.org/10.48550/arXiv.1903.02428</w:t>
        </w:r>
      </w:hyperlink>
    </w:p>
    <w:p w14:paraId="70017099" w14:textId="77777777" w:rsidR="006E729D" w:rsidRPr="006E729D" w:rsidRDefault="0089493B" w:rsidP="00E4093A">
      <w:pPr>
        <w:pStyle w:val="BodyText"/>
        <w:numPr>
          <w:ilvl w:val="0"/>
          <w:numId w:val="44"/>
        </w:numPr>
        <w:ind w:left="360"/>
        <w:rPr>
          <w:sz w:val="16"/>
          <w:szCs w:val="16"/>
        </w:rPr>
      </w:pPr>
      <w:r w:rsidRPr="006E729D">
        <w:rPr>
          <w:sz w:val="16"/>
          <w:szCs w:val="16"/>
        </w:rPr>
        <w:t xml:space="preserve">J.-D. Tournier et al., "MRtrix3: A fast, flexible and open software framework for medical image processing and visualisation," </w:t>
      </w:r>
      <w:proofErr w:type="spellStart"/>
      <w:r w:rsidRPr="006E729D">
        <w:rPr>
          <w:sz w:val="16"/>
          <w:szCs w:val="16"/>
        </w:rPr>
        <w:t>NeuroImage</w:t>
      </w:r>
      <w:proofErr w:type="spellEnd"/>
      <w:r w:rsidRPr="006E729D">
        <w:rPr>
          <w:sz w:val="16"/>
          <w:szCs w:val="16"/>
        </w:rPr>
        <w:t xml:space="preserve">, vol. 202, p. 116137, Nov. 2019. </w:t>
      </w:r>
      <w:hyperlink r:id="rId30" w:history="1">
        <w:r w:rsidRPr="006E729D">
          <w:rPr>
            <w:sz w:val="16"/>
            <w:szCs w:val="16"/>
          </w:rPr>
          <w:t>https://doi.org/10.1016/j.neuroimage.2019.116137</w:t>
        </w:r>
      </w:hyperlink>
      <w:r w:rsidR="006E729D" w:rsidRPr="006E729D">
        <w:rPr>
          <w:sz w:val="16"/>
          <w:szCs w:val="16"/>
          <w:lang w:val="en-US"/>
        </w:rPr>
        <w:t>.</w:t>
      </w:r>
    </w:p>
    <w:p w14:paraId="63D6A9E1" w14:textId="33D89022" w:rsidR="006E729D" w:rsidRPr="006E729D" w:rsidRDefault="0089493B" w:rsidP="00454D12">
      <w:pPr>
        <w:pStyle w:val="BodyText"/>
        <w:numPr>
          <w:ilvl w:val="0"/>
          <w:numId w:val="44"/>
        </w:numPr>
        <w:ind w:left="360"/>
        <w:rPr>
          <w:sz w:val="16"/>
          <w:szCs w:val="16"/>
        </w:rPr>
      </w:pPr>
      <w:r w:rsidRPr="006E729D">
        <w:rPr>
          <w:sz w:val="16"/>
          <w:szCs w:val="16"/>
        </w:rPr>
        <w:t>S. Moon, J. Lee, and W. H. Lee, "Predicti</w:t>
      </w:r>
      <w:r w:rsidR="006E729D">
        <w:rPr>
          <w:sz w:val="16"/>
          <w:szCs w:val="16"/>
        </w:rPr>
        <w:t xml:space="preserve">ng brain age with global-local </w:t>
      </w:r>
      <w:proofErr w:type="spellStart"/>
      <w:r w:rsidRPr="006E729D">
        <w:rPr>
          <w:sz w:val="16"/>
          <w:szCs w:val="16"/>
        </w:rPr>
        <w:t>ttention</w:t>
      </w:r>
      <w:proofErr w:type="spellEnd"/>
      <w:r w:rsidRPr="006E729D">
        <w:rPr>
          <w:sz w:val="16"/>
          <w:szCs w:val="16"/>
        </w:rPr>
        <w:t xml:space="preserve"> network from multimodal neuroimaging data: Accuracy, generalizability, and </w:t>
      </w:r>
      <w:proofErr w:type="spellStart"/>
      <w:r w:rsidRPr="006E729D">
        <w:rPr>
          <w:sz w:val="16"/>
          <w:szCs w:val="16"/>
        </w:rPr>
        <w:t>behavioral</w:t>
      </w:r>
      <w:proofErr w:type="spellEnd"/>
      <w:r w:rsidRPr="006E729D">
        <w:rPr>
          <w:sz w:val="16"/>
          <w:szCs w:val="16"/>
        </w:rPr>
        <w:t xml:space="preserve"> associations," </w:t>
      </w:r>
      <w:proofErr w:type="spellStart"/>
      <w:r w:rsidRPr="006E729D">
        <w:rPr>
          <w:sz w:val="16"/>
          <w:szCs w:val="16"/>
        </w:rPr>
        <w:t>Comput</w:t>
      </w:r>
      <w:proofErr w:type="spellEnd"/>
      <w:r w:rsidRPr="006E729D">
        <w:rPr>
          <w:sz w:val="16"/>
          <w:szCs w:val="16"/>
        </w:rPr>
        <w:t xml:space="preserve">. Biol. Med., vol. 184, p. 109411, Jan. 2025. </w:t>
      </w:r>
      <w:hyperlink r:id="rId31" w:history="1">
        <w:r w:rsidRPr="006E729D">
          <w:rPr>
            <w:sz w:val="16"/>
            <w:szCs w:val="16"/>
          </w:rPr>
          <w:t>https://doi.org/10.1016/j.compbiomed.2024.109411</w:t>
        </w:r>
      </w:hyperlink>
      <w:r w:rsidR="006E729D" w:rsidRPr="006E729D">
        <w:rPr>
          <w:sz w:val="16"/>
          <w:szCs w:val="16"/>
          <w:lang w:val="en-US"/>
        </w:rPr>
        <w:t>.</w:t>
      </w:r>
    </w:p>
    <w:p w14:paraId="22AAB123" w14:textId="5ED9C7E6" w:rsidR="0089493B" w:rsidRPr="006E729D" w:rsidRDefault="0089493B" w:rsidP="00454D12">
      <w:pPr>
        <w:pStyle w:val="BodyText"/>
        <w:numPr>
          <w:ilvl w:val="0"/>
          <w:numId w:val="44"/>
        </w:numPr>
        <w:ind w:left="360"/>
        <w:rPr>
          <w:sz w:val="16"/>
          <w:szCs w:val="16"/>
        </w:rPr>
      </w:pPr>
      <w:r w:rsidRPr="006E729D">
        <w:rPr>
          <w:sz w:val="16"/>
          <w:szCs w:val="16"/>
        </w:rPr>
        <w:t xml:space="preserve">H. Daneshvar and R. </w:t>
      </w:r>
      <w:proofErr w:type="spellStart"/>
      <w:r w:rsidRPr="006E729D">
        <w:rPr>
          <w:sz w:val="16"/>
          <w:szCs w:val="16"/>
        </w:rPr>
        <w:t>Samavi</w:t>
      </w:r>
      <w:proofErr w:type="spellEnd"/>
      <w:r w:rsidRPr="006E729D">
        <w:rPr>
          <w:sz w:val="16"/>
          <w:szCs w:val="16"/>
        </w:rPr>
        <w:t>, "GNN’s uncertainty quantification using self-distillation," in Proc. Int. Conf. AI in Healthcare (</w:t>
      </w:r>
      <w:proofErr w:type="spellStart"/>
      <w:r w:rsidRPr="006E729D">
        <w:rPr>
          <w:sz w:val="16"/>
          <w:szCs w:val="16"/>
        </w:rPr>
        <w:t>AIiH</w:t>
      </w:r>
      <w:proofErr w:type="spellEnd"/>
      <w:r w:rsidRPr="006E729D">
        <w:rPr>
          <w:sz w:val="16"/>
          <w:szCs w:val="16"/>
        </w:rPr>
        <w:t xml:space="preserve">), 2025. </w:t>
      </w:r>
      <w:hyperlink r:id="rId32" w:history="1">
        <w:r w:rsidRPr="006E729D">
          <w:rPr>
            <w:sz w:val="16"/>
            <w:szCs w:val="16"/>
          </w:rPr>
          <w:t>https://doi.org/10.48550/arXiv.2506.20046</w:t>
        </w:r>
      </w:hyperlink>
    </w:p>
    <w:p w14:paraId="095A554C" w14:textId="77777777" w:rsidR="0089493B" w:rsidRPr="00A369BE" w:rsidRDefault="0089493B" w:rsidP="0089493B">
      <w:pPr>
        <w:pStyle w:val="BodyText"/>
        <w:tabs>
          <w:tab w:val="clear" w:pos="288"/>
          <w:tab w:val="left" w:pos="360"/>
        </w:tabs>
        <w:ind w:left="360" w:hanging="360"/>
        <w:rPr>
          <w:sz w:val="16"/>
          <w:szCs w:val="16"/>
        </w:rPr>
      </w:pPr>
    </w:p>
    <w:p w14:paraId="7FA1EA9F" w14:textId="77777777" w:rsidR="009303D9" w:rsidRPr="008F2CDC" w:rsidRDefault="009303D9" w:rsidP="001F6C60">
      <w:pPr>
        <w:pStyle w:val="BodyText"/>
        <w:ind w:left="1008" w:firstLine="0"/>
        <w:rPr>
          <w:sz w:val="16"/>
          <w:szCs w:val="16"/>
        </w:rPr>
      </w:pPr>
    </w:p>
    <w:sectPr w:rsidR="009303D9" w:rsidRPr="008F2CDC" w:rsidSect="009F18C1">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1F86FA" w14:textId="77777777" w:rsidR="001821BA" w:rsidRDefault="001821BA" w:rsidP="001A3B3D">
      <w:r>
        <w:separator/>
      </w:r>
    </w:p>
  </w:endnote>
  <w:endnote w:type="continuationSeparator" w:id="0">
    <w:p w14:paraId="64571B85" w14:textId="77777777" w:rsidR="001821BA" w:rsidRDefault="001821B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8D2F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0B197A" w14:textId="77777777" w:rsidR="001821BA" w:rsidRDefault="001821BA" w:rsidP="001A3B3D">
      <w:r>
        <w:separator/>
      </w:r>
    </w:p>
  </w:footnote>
  <w:footnote w:type="continuationSeparator" w:id="0">
    <w:p w14:paraId="0394DFDF" w14:textId="77777777" w:rsidR="001821BA" w:rsidRDefault="001821BA"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935819"/>
    <w:multiLevelType w:val="hybridMultilevel"/>
    <w:tmpl w:val="F71692F6"/>
    <w:lvl w:ilvl="0" w:tplc="B4ACD9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D44C2B"/>
    <w:multiLevelType w:val="hybridMultilevel"/>
    <w:tmpl w:val="CE5AD832"/>
    <w:lvl w:ilvl="0" w:tplc="FFFFFFFF">
      <w:start w:val="1"/>
      <w:numFmt w:val="decimal"/>
      <w:lvlText w:val="%1)"/>
      <w:lvlJc w:val="left"/>
      <w:pPr>
        <w:ind w:left="720" w:hanging="360"/>
      </w:pPr>
    </w:lvl>
    <w:lvl w:ilvl="1" w:tplc="40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E9515D"/>
    <w:multiLevelType w:val="hybridMultilevel"/>
    <w:tmpl w:val="46A69F4A"/>
    <w:lvl w:ilvl="0" w:tplc="FFFFFFFF">
      <w:start w:val="1"/>
      <w:numFmt w:val="lowerLetter"/>
      <w:lvlText w:val="%1)"/>
      <w:lvlJc w:val="left"/>
      <w:pPr>
        <w:spacing w:before="40" w:after="40"/>
        <w:ind w:left="4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2772139"/>
    <w:multiLevelType w:val="hybridMultilevel"/>
    <w:tmpl w:val="BCA458CC"/>
    <w:lvl w:ilvl="0" w:tplc="40090017">
      <w:start w:val="1"/>
      <w:numFmt w:val="lowerLetter"/>
      <w:lvlText w:val="%1)"/>
      <w:lvlJc w:val="left"/>
      <w:pPr>
        <w:ind w:left="720" w:hanging="360"/>
      </w:pPr>
      <w:rPr>
        <w:rFonts w:hint="default"/>
      </w:rPr>
    </w:lvl>
    <w:lvl w:ilvl="1" w:tplc="FBB04B3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2BF4C2B"/>
    <w:multiLevelType w:val="hybridMultilevel"/>
    <w:tmpl w:val="A6BAD2B4"/>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4E6032E"/>
    <w:multiLevelType w:val="hybridMultilevel"/>
    <w:tmpl w:val="32B6BC5A"/>
    <w:lvl w:ilvl="0" w:tplc="3FA2B9A8">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5C678FA"/>
    <w:multiLevelType w:val="hybridMultilevel"/>
    <w:tmpl w:val="96D4D22C"/>
    <w:lvl w:ilvl="0" w:tplc="FFFFFFFF">
      <w:start w:val="1"/>
      <w:numFmt w:val="lowerLetter"/>
      <w:lvlText w:val="%1)"/>
      <w:lvlJc w:val="left"/>
      <w:pPr>
        <w:ind w:left="1080" w:hanging="360"/>
      </w:pPr>
    </w:lvl>
    <w:lvl w:ilvl="1" w:tplc="40090017">
      <w:start w:val="1"/>
      <w:numFmt w:val="lowerLetter"/>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A1F3E2B"/>
    <w:multiLevelType w:val="hybridMultilevel"/>
    <w:tmpl w:val="5D18F1DC"/>
    <w:lvl w:ilvl="0" w:tplc="FFFFFFFF">
      <w:start w:val="1"/>
      <w:numFmt w:val="lowerLetter"/>
      <w:lvlText w:val="%1)"/>
      <w:lvlJc w:val="left"/>
      <w:pPr>
        <w:ind w:left="1080" w:hanging="360"/>
      </w:pPr>
    </w:lvl>
    <w:lvl w:ilvl="1" w:tplc="40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1155892"/>
    <w:multiLevelType w:val="hybridMultilevel"/>
    <w:tmpl w:val="47DC38F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1492E15"/>
    <w:multiLevelType w:val="hybridMultilevel"/>
    <w:tmpl w:val="350C7A1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3827841"/>
    <w:multiLevelType w:val="hybridMultilevel"/>
    <w:tmpl w:val="6D8894E0"/>
    <w:lvl w:ilvl="0" w:tplc="3FA2B9A8">
      <w:start w:val="1"/>
      <w:numFmt w:val="decimal"/>
      <w:lvlText w:val="[%1] "/>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30ED413E"/>
    <w:multiLevelType w:val="hybridMultilevel"/>
    <w:tmpl w:val="46A69F4A"/>
    <w:lvl w:ilvl="0" w:tplc="4A8A27B8">
      <w:start w:val="1"/>
      <w:numFmt w:val="lowerLetter"/>
      <w:lvlText w:val="%1)"/>
      <w:lvlJc w:val="left"/>
      <w:pPr>
        <w:spacing w:before="40" w:after="40"/>
        <w:ind w:left="420" w:hanging="360"/>
      </w:pPr>
    </w:lvl>
    <w:lvl w:ilvl="1" w:tplc="0DA4CACE">
      <w:numFmt w:val="decimal"/>
      <w:lvlText w:val=""/>
      <w:lvlJc w:val="left"/>
    </w:lvl>
    <w:lvl w:ilvl="2" w:tplc="D25A8650">
      <w:numFmt w:val="decimal"/>
      <w:lvlText w:val=""/>
      <w:lvlJc w:val="left"/>
    </w:lvl>
    <w:lvl w:ilvl="3" w:tplc="4C6C2FC8">
      <w:numFmt w:val="decimal"/>
      <w:lvlText w:val=""/>
      <w:lvlJc w:val="left"/>
    </w:lvl>
    <w:lvl w:ilvl="4" w:tplc="8522F9F8">
      <w:numFmt w:val="decimal"/>
      <w:lvlText w:val=""/>
      <w:lvlJc w:val="left"/>
    </w:lvl>
    <w:lvl w:ilvl="5" w:tplc="629444E0">
      <w:numFmt w:val="decimal"/>
      <w:lvlText w:val=""/>
      <w:lvlJc w:val="left"/>
    </w:lvl>
    <w:lvl w:ilvl="6" w:tplc="AF8646EC">
      <w:numFmt w:val="decimal"/>
      <w:lvlText w:val=""/>
      <w:lvlJc w:val="left"/>
    </w:lvl>
    <w:lvl w:ilvl="7" w:tplc="3E943A86">
      <w:numFmt w:val="decimal"/>
      <w:lvlText w:val=""/>
      <w:lvlJc w:val="left"/>
    </w:lvl>
    <w:lvl w:ilvl="8" w:tplc="AE14E6BE">
      <w:numFmt w:val="decimal"/>
      <w:lvlText w:val=""/>
      <w:lvlJc w:val="left"/>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250"/>
        </w:tabs>
        <w:ind w:left="217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8581B76"/>
    <w:multiLevelType w:val="hybridMultilevel"/>
    <w:tmpl w:val="4A563B2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61605D40"/>
    <w:multiLevelType w:val="hybridMultilevel"/>
    <w:tmpl w:val="69AC7450"/>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4CD5365"/>
    <w:multiLevelType w:val="hybridMultilevel"/>
    <w:tmpl w:val="49A6BAC2"/>
    <w:lvl w:ilvl="0" w:tplc="FFFFFFFF">
      <w:start w:val="1"/>
      <w:numFmt w:val="decimal"/>
      <w:lvlText w:val="%1)"/>
      <w:lvlJc w:val="left"/>
      <w:pPr>
        <w:ind w:left="720" w:hanging="360"/>
      </w:pPr>
    </w:lvl>
    <w:lvl w:ilvl="1" w:tplc="40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F1236F"/>
    <w:multiLevelType w:val="hybridMultilevel"/>
    <w:tmpl w:val="42C2904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7" w15:restartNumberingAfterBreak="0">
    <w:nsid w:val="7BF8294B"/>
    <w:multiLevelType w:val="hybridMultilevel"/>
    <w:tmpl w:val="46A69F4A"/>
    <w:lvl w:ilvl="0" w:tplc="FFFFFFFF">
      <w:start w:val="1"/>
      <w:numFmt w:val="lowerLetter"/>
      <w:lvlText w:val="%1)"/>
      <w:lvlJc w:val="left"/>
      <w:pPr>
        <w:spacing w:before="40" w:after="40"/>
        <w:ind w:left="4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6"/>
  </w:num>
  <w:num w:numId="2">
    <w:abstractNumId w:val="35"/>
  </w:num>
  <w:num w:numId="3">
    <w:abstractNumId w:val="24"/>
  </w:num>
  <w:num w:numId="4">
    <w:abstractNumId w:val="28"/>
  </w:num>
  <w:num w:numId="5">
    <w:abstractNumId w:val="28"/>
  </w:num>
  <w:num w:numId="6">
    <w:abstractNumId w:val="28"/>
  </w:num>
  <w:num w:numId="7">
    <w:abstractNumId w:val="28"/>
  </w:num>
  <w:num w:numId="8">
    <w:abstractNumId w:val="31"/>
  </w:num>
  <w:num w:numId="9">
    <w:abstractNumId w:val="36"/>
  </w:num>
  <w:num w:numId="10">
    <w:abstractNumId w:val="27"/>
  </w:num>
  <w:num w:numId="11">
    <w:abstractNumId w:val="20"/>
  </w:num>
  <w:num w:numId="12">
    <w:abstractNumId w:val="19"/>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30"/>
  </w:num>
  <w:num w:numId="25">
    <w:abstractNumId w:val="14"/>
  </w:num>
  <w:num w:numId="26">
    <w:abstractNumId w:val="13"/>
  </w:num>
  <w:num w:numId="27">
    <w:abstractNumId w:val="37"/>
  </w:num>
  <w:num w:numId="28">
    <w:abstractNumId w:val="23"/>
  </w:num>
  <w:num w:numId="29">
    <w:abstractNumId w:val="22"/>
  </w:num>
  <w:num w:numId="30">
    <w:abstractNumId w:val="25"/>
    <w:lvlOverride w:ilvl="0">
      <w:startOverride w:val="1"/>
    </w:lvlOverride>
  </w:num>
  <w:num w:numId="31">
    <w:abstractNumId w:val="28"/>
  </w:num>
  <w:num w:numId="32">
    <w:abstractNumId w:val="29"/>
  </w:num>
  <w:num w:numId="33">
    <w:abstractNumId w:val="11"/>
  </w:num>
  <w:num w:numId="34">
    <w:abstractNumId w:val="34"/>
  </w:num>
  <w:num w:numId="35">
    <w:abstractNumId w:val="28"/>
  </w:num>
  <w:num w:numId="36">
    <w:abstractNumId w:val="32"/>
  </w:num>
  <w:num w:numId="37">
    <w:abstractNumId w:val="17"/>
  </w:num>
  <w:num w:numId="38">
    <w:abstractNumId w:val="15"/>
  </w:num>
  <w:num w:numId="39">
    <w:abstractNumId w:val="18"/>
  </w:num>
  <w:num w:numId="40">
    <w:abstractNumId w:val="21"/>
  </w:num>
  <w:num w:numId="41">
    <w:abstractNumId w:val="12"/>
  </w:num>
  <w:num w:numId="42">
    <w:abstractNumId w:val="33"/>
  </w:num>
  <w:num w:numId="43">
    <w:abstractNumId w:val="28"/>
  </w:num>
  <w:num w:numId="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CED"/>
    <w:rsid w:val="00000D1C"/>
    <w:rsid w:val="00003C2B"/>
    <w:rsid w:val="00014FBD"/>
    <w:rsid w:val="0001699C"/>
    <w:rsid w:val="0003294B"/>
    <w:rsid w:val="0004781E"/>
    <w:rsid w:val="00052AC5"/>
    <w:rsid w:val="0008758A"/>
    <w:rsid w:val="00095F3C"/>
    <w:rsid w:val="000A0438"/>
    <w:rsid w:val="000C1E68"/>
    <w:rsid w:val="000E358E"/>
    <w:rsid w:val="000F6D5E"/>
    <w:rsid w:val="00115C44"/>
    <w:rsid w:val="0013574E"/>
    <w:rsid w:val="00153AA4"/>
    <w:rsid w:val="001566B5"/>
    <w:rsid w:val="00162231"/>
    <w:rsid w:val="001821BA"/>
    <w:rsid w:val="00196872"/>
    <w:rsid w:val="001A2EFD"/>
    <w:rsid w:val="001A3B3D"/>
    <w:rsid w:val="001B67DC"/>
    <w:rsid w:val="001D0C46"/>
    <w:rsid w:val="001D616F"/>
    <w:rsid w:val="001F6C60"/>
    <w:rsid w:val="00201FAB"/>
    <w:rsid w:val="00205174"/>
    <w:rsid w:val="00211775"/>
    <w:rsid w:val="002223BF"/>
    <w:rsid w:val="0022332E"/>
    <w:rsid w:val="002235D4"/>
    <w:rsid w:val="002254A9"/>
    <w:rsid w:val="00233D97"/>
    <w:rsid w:val="002347A2"/>
    <w:rsid w:val="00284524"/>
    <w:rsid w:val="002850E3"/>
    <w:rsid w:val="002A3FF0"/>
    <w:rsid w:val="002D116F"/>
    <w:rsid w:val="003439AB"/>
    <w:rsid w:val="003506FC"/>
    <w:rsid w:val="00354FCF"/>
    <w:rsid w:val="003800FF"/>
    <w:rsid w:val="003A126D"/>
    <w:rsid w:val="003A19E2"/>
    <w:rsid w:val="003B4E04"/>
    <w:rsid w:val="003D6AB2"/>
    <w:rsid w:val="003D7367"/>
    <w:rsid w:val="003E3D45"/>
    <w:rsid w:val="003F5A08"/>
    <w:rsid w:val="00404E18"/>
    <w:rsid w:val="00420716"/>
    <w:rsid w:val="004212BE"/>
    <w:rsid w:val="00427237"/>
    <w:rsid w:val="004325FB"/>
    <w:rsid w:val="004432BA"/>
    <w:rsid w:val="0044407E"/>
    <w:rsid w:val="0044470E"/>
    <w:rsid w:val="00447BB9"/>
    <w:rsid w:val="004567B6"/>
    <w:rsid w:val="0046031D"/>
    <w:rsid w:val="00465230"/>
    <w:rsid w:val="00485535"/>
    <w:rsid w:val="00490394"/>
    <w:rsid w:val="00491460"/>
    <w:rsid w:val="00493731"/>
    <w:rsid w:val="004942FF"/>
    <w:rsid w:val="004C3CD7"/>
    <w:rsid w:val="004D72B5"/>
    <w:rsid w:val="004D76F1"/>
    <w:rsid w:val="004E36AF"/>
    <w:rsid w:val="004E3B48"/>
    <w:rsid w:val="004F6749"/>
    <w:rsid w:val="005139EA"/>
    <w:rsid w:val="0052563F"/>
    <w:rsid w:val="00551B7F"/>
    <w:rsid w:val="0056610F"/>
    <w:rsid w:val="00575BCA"/>
    <w:rsid w:val="00577A43"/>
    <w:rsid w:val="00577A9C"/>
    <w:rsid w:val="005918DE"/>
    <w:rsid w:val="00591E15"/>
    <w:rsid w:val="0059530F"/>
    <w:rsid w:val="005B0344"/>
    <w:rsid w:val="005B0EF0"/>
    <w:rsid w:val="005B520E"/>
    <w:rsid w:val="005C6DA3"/>
    <w:rsid w:val="005D4458"/>
    <w:rsid w:val="005E2800"/>
    <w:rsid w:val="005E7E0E"/>
    <w:rsid w:val="00605825"/>
    <w:rsid w:val="00621D88"/>
    <w:rsid w:val="00630336"/>
    <w:rsid w:val="006306D1"/>
    <w:rsid w:val="00637134"/>
    <w:rsid w:val="00645D22"/>
    <w:rsid w:val="00651A08"/>
    <w:rsid w:val="00654204"/>
    <w:rsid w:val="00670434"/>
    <w:rsid w:val="006A4885"/>
    <w:rsid w:val="006B2815"/>
    <w:rsid w:val="006B6B66"/>
    <w:rsid w:val="006C18EC"/>
    <w:rsid w:val="006D1439"/>
    <w:rsid w:val="006E729D"/>
    <w:rsid w:val="006F0886"/>
    <w:rsid w:val="006F1082"/>
    <w:rsid w:val="006F26A5"/>
    <w:rsid w:val="006F3A23"/>
    <w:rsid w:val="006F6D3D"/>
    <w:rsid w:val="00707D17"/>
    <w:rsid w:val="00711BE3"/>
    <w:rsid w:val="00715BEA"/>
    <w:rsid w:val="00726C9B"/>
    <w:rsid w:val="00735F33"/>
    <w:rsid w:val="00737D04"/>
    <w:rsid w:val="00740EEA"/>
    <w:rsid w:val="007439D3"/>
    <w:rsid w:val="0076675E"/>
    <w:rsid w:val="007927D5"/>
    <w:rsid w:val="00794804"/>
    <w:rsid w:val="007A00A1"/>
    <w:rsid w:val="007B33F1"/>
    <w:rsid w:val="007B435B"/>
    <w:rsid w:val="007B6DDA"/>
    <w:rsid w:val="007C0308"/>
    <w:rsid w:val="007C172F"/>
    <w:rsid w:val="007C2FF2"/>
    <w:rsid w:val="007D4141"/>
    <w:rsid w:val="007D6232"/>
    <w:rsid w:val="007F1F99"/>
    <w:rsid w:val="007F768F"/>
    <w:rsid w:val="008075AC"/>
    <w:rsid w:val="0080791D"/>
    <w:rsid w:val="00812EF6"/>
    <w:rsid w:val="00836367"/>
    <w:rsid w:val="0084674D"/>
    <w:rsid w:val="00865895"/>
    <w:rsid w:val="00873603"/>
    <w:rsid w:val="0089493B"/>
    <w:rsid w:val="008A2C7D"/>
    <w:rsid w:val="008B262E"/>
    <w:rsid w:val="008C4B23"/>
    <w:rsid w:val="008D2CB8"/>
    <w:rsid w:val="008D7421"/>
    <w:rsid w:val="008E17CF"/>
    <w:rsid w:val="008E2AA7"/>
    <w:rsid w:val="008E4FAB"/>
    <w:rsid w:val="008F2CDC"/>
    <w:rsid w:val="008F6E2C"/>
    <w:rsid w:val="008F7ADE"/>
    <w:rsid w:val="00915788"/>
    <w:rsid w:val="009303D9"/>
    <w:rsid w:val="00933C64"/>
    <w:rsid w:val="00935B4E"/>
    <w:rsid w:val="00945243"/>
    <w:rsid w:val="009669F2"/>
    <w:rsid w:val="00972203"/>
    <w:rsid w:val="009A11D0"/>
    <w:rsid w:val="009A77E4"/>
    <w:rsid w:val="009C34D8"/>
    <w:rsid w:val="009D0755"/>
    <w:rsid w:val="009F18C1"/>
    <w:rsid w:val="009F1D79"/>
    <w:rsid w:val="009F393E"/>
    <w:rsid w:val="00A059B3"/>
    <w:rsid w:val="00A1701E"/>
    <w:rsid w:val="00A364EE"/>
    <w:rsid w:val="00A4479F"/>
    <w:rsid w:val="00A659EF"/>
    <w:rsid w:val="00A668B4"/>
    <w:rsid w:val="00A67701"/>
    <w:rsid w:val="00A87D85"/>
    <w:rsid w:val="00AA3F74"/>
    <w:rsid w:val="00AA4891"/>
    <w:rsid w:val="00AC7F4C"/>
    <w:rsid w:val="00AE3409"/>
    <w:rsid w:val="00B10573"/>
    <w:rsid w:val="00B11A60"/>
    <w:rsid w:val="00B16287"/>
    <w:rsid w:val="00B22613"/>
    <w:rsid w:val="00B2300C"/>
    <w:rsid w:val="00B273F7"/>
    <w:rsid w:val="00B5683F"/>
    <w:rsid w:val="00B67BF8"/>
    <w:rsid w:val="00B70245"/>
    <w:rsid w:val="00B768D1"/>
    <w:rsid w:val="00BA1025"/>
    <w:rsid w:val="00BC1B7F"/>
    <w:rsid w:val="00BC3420"/>
    <w:rsid w:val="00BD420B"/>
    <w:rsid w:val="00BD670B"/>
    <w:rsid w:val="00BD6CB4"/>
    <w:rsid w:val="00BE7D3C"/>
    <w:rsid w:val="00BF5FF6"/>
    <w:rsid w:val="00C0207F"/>
    <w:rsid w:val="00C14149"/>
    <w:rsid w:val="00C16117"/>
    <w:rsid w:val="00C22980"/>
    <w:rsid w:val="00C3075A"/>
    <w:rsid w:val="00C353B5"/>
    <w:rsid w:val="00C40F63"/>
    <w:rsid w:val="00C524F2"/>
    <w:rsid w:val="00C72094"/>
    <w:rsid w:val="00C919A4"/>
    <w:rsid w:val="00CA4392"/>
    <w:rsid w:val="00CB0068"/>
    <w:rsid w:val="00CB776A"/>
    <w:rsid w:val="00CB7DA7"/>
    <w:rsid w:val="00CC393F"/>
    <w:rsid w:val="00D05B8F"/>
    <w:rsid w:val="00D2176E"/>
    <w:rsid w:val="00D40437"/>
    <w:rsid w:val="00D632BE"/>
    <w:rsid w:val="00D715F3"/>
    <w:rsid w:val="00D72D06"/>
    <w:rsid w:val="00D7522C"/>
    <w:rsid w:val="00D7536F"/>
    <w:rsid w:val="00D76668"/>
    <w:rsid w:val="00D9169E"/>
    <w:rsid w:val="00DA70BC"/>
    <w:rsid w:val="00DB28A2"/>
    <w:rsid w:val="00DC103C"/>
    <w:rsid w:val="00DF7ECF"/>
    <w:rsid w:val="00E07383"/>
    <w:rsid w:val="00E1270A"/>
    <w:rsid w:val="00E165BC"/>
    <w:rsid w:val="00E20938"/>
    <w:rsid w:val="00E476E7"/>
    <w:rsid w:val="00E61E12"/>
    <w:rsid w:val="00E73A51"/>
    <w:rsid w:val="00E7596C"/>
    <w:rsid w:val="00E878F2"/>
    <w:rsid w:val="00EC0787"/>
    <w:rsid w:val="00ED0149"/>
    <w:rsid w:val="00ED1D72"/>
    <w:rsid w:val="00ED4E8E"/>
    <w:rsid w:val="00EF5A78"/>
    <w:rsid w:val="00EF7DE3"/>
    <w:rsid w:val="00F03103"/>
    <w:rsid w:val="00F0685A"/>
    <w:rsid w:val="00F271DE"/>
    <w:rsid w:val="00F32D86"/>
    <w:rsid w:val="00F46058"/>
    <w:rsid w:val="00F627DA"/>
    <w:rsid w:val="00F7288F"/>
    <w:rsid w:val="00F7478C"/>
    <w:rsid w:val="00F83365"/>
    <w:rsid w:val="00F847A6"/>
    <w:rsid w:val="00F929F0"/>
    <w:rsid w:val="00F937A0"/>
    <w:rsid w:val="00F9441B"/>
    <w:rsid w:val="00FA4C32"/>
    <w:rsid w:val="00FA5BBF"/>
    <w:rsid w:val="00FA6F7A"/>
    <w:rsid w:val="00FC5F64"/>
    <w:rsid w:val="00FD42C0"/>
    <w:rsid w:val="00FE7114"/>
    <w:rsid w:val="00FF4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2B1F2"/>
  <w15:chartTrackingRefBased/>
  <w15:docId w15:val="{CB3B9E8D-5C94-4B2E-AB4A-5CCC2192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2250"/>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uiPriority w:val="99"/>
    <w:unhideWhenUsed/>
    <w:rsid w:val="006F0886"/>
    <w:rPr>
      <w:color w:val="0563C1"/>
      <w:u w:val="single"/>
    </w:rPr>
  </w:style>
  <w:style w:type="paragraph" w:styleId="ListParagraph">
    <w:name w:val="List Paragraph"/>
    <w:qFormat/>
    <w:rsid w:val="008B262E"/>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43993-3_38" TargetMode="External"/><Relationship Id="rId18" Type="http://schemas.openxmlformats.org/officeDocument/2006/relationships/hyperlink" Target="https://doi.org/10.1109/ISBI56570.2024.10635234" TargetMode="External"/><Relationship Id="rId26" Type="http://schemas.openxmlformats.org/officeDocument/2006/relationships/hyperlink" Target="https://doi.org/10.1101/2019.12.13.19014902" TargetMode="External"/><Relationship Id="rId3" Type="http://schemas.openxmlformats.org/officeDocument/2006/relationships/styles" Target="styles.xml"/><Relationship Id="rId21" Type="http://schemas.openxmlformats.org/officeDocument/2006/relationships/hyperlink" Target="https://doi.org/10.1016/j.media.2019.10155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38/mp.2017.62" TargetMode="External"/><Relationship Id="rId17" Type="http://schemas.openxmlformats.org/officeDocument/2006/relationships/hyperlink" Target="https://doi.org/10.1016/j.neuroimage.2022.119829" TargetMode="External"/><Relationship Id="rId25" Type="http://schemas.openxmlformats.org/officeDocument/2006/relationships/hyperlink" Target="https://doi.org/10.1002/hbm.2628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TMI.2023.3317782" TargetMode="External"/><Relationship Id="rId20" Type="http://schemas.openxmlformats.org/officeDocument/2006/relationships/hyperlink" Target="https://doi.org/10.1109/RBME.2023.3337494" TargetMode="External"/><Relationship Id="rId29" Type="http://schemas.openxmlformats.org/officeDocument/2006/relationships/hyperlink" Target="https://doi.org/10.48550/arXiv.1903.024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016/j.neuroimage.2022.119359" TargetMode="External"/><Relationship Id="rId32" Type="http://schemas.openxmlformats.org/officeDocument/2006/relationships/hyperlink" Target="https://doi.org/10.48550/arXiv.2506.20046" TargetMode="External"/><Relationship Id="rId5" Type="http://schemas.openxmlformats.org/officeDocument/2006/relationships/webSettings" Target="webSettings.xml"/><Relationship Id="rId15" Type="http://schemas.openxmlformats.org/officeDocument/2006/relationships/hyperlink" Target="https://doi.org/10.48550/arXiv.2309.01315" TargetMode="External"/><Relationship Id="rId23" Type="http://schemas.openxmlformats.org/officeDocument/2006/relationships/hyperlink" Target="https://doi.org/10.1038/s41467-019-13163-9" TargetMode="External"/><Relationship Id="rId28" Type="http://schemas.openxmlformats.org/officeDocument/2006/relationships/hyperlink" Target="https://doi.org/10.1016/j.neuroimage.2006.01.021" TargetMode="External"/><Relationship Id="rId10" Type="http://schemas.openxmlformats.org/officeDocument/2006/relationships/hyperlink" Target="mailto:michaelg.sse@saveetha.com" TargetMode="External"/><Relationship Id="rId19" Type="http://schemas.openxmlformats.org/officeDocument/2006/relationships/hyperlink" Target="https://doi.org/10.1016/j.media.2024.103131" TargetMode="External"/><Relationship Id="rId31" Type="http://schemas.openxmlformats.org/officeDocument/2006/relationships/hyperlink" Target="https://doi.org/10.1016/j.compbiomed.2024.109411" TargetMode="External"/><Relationship Id="rId4" Type="http://schemas.openxmlformats.org/officeDocument/2006/relationships/settings" Target="settings.xml"/><Relationship Id="rId9" Type="http://schemas.openxmlformats.org/officeDocument/2006/relationships/hyperlink" Target="mailto:jsr5077@gmail.com" TargetMode="External"/><Relationship Id="rId14" Type="http://schemas.openxmlformats.org/officeDocument/2006/relationships/hyperlink" Target="https://doi.org/10.1109/CVPR.2016.90" TargetMode="External"/><Relationship Id="rId22" Type="http://schemas.openxmlformats.org/officeDocument/2006/relationships/hyperlink" Target="https://doi.org/10.1007/978-3-030-00928-1_75" TargetMode="External"/><Relationship Id="rId27" Type="http://schemas.openxmlformats.org/officeDocument/2006/relationships/hyperlink" Target="https://doi.org/10.48550/arXiv.1710.10903" TargetMode="External"/><Relationship Id="rId30" Type="http://schemas.openxmlformats.org/officeDocument/2006/relationships/hyperlink" Target="https://doi.org/10.1016/j.neuroimage.2019.116137"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12321-F267-418F-9000-C3037886C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5811</Words>
  <Characters>33129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38863</CharactersWithSpaces>
  <SharedDoc>false</SharedDoc>
  <HLinks>
    <vt:vector size="12" baseType="variant">
      <vt:variant>
        <vt:i4>6488086</vt:i4>
      </vt:variant>
      <vt:variant>
        <vt:i4>3</vt:i4>
      </vt:variant>
      <vt:variant>
        <vt:i4>0</vt:i4>
      </vt:variant>
      <vt:variant>
        <vt:i4>5</vt:i4>
      </vt:variant>
      <vt:variant>
        <vt:lpwstr>mailto:michaelg.sse@saveetha.com</vt:lpwstr>
      </vt:variant>
      <vt:variant>
        <vt:lpwstr/>
      </vt:variant>
      <vt:variant>
        <vt:i4>1638462</vt:i4>
      </vt:variant>
      <vt:variant>
        <vt:i4>0</vt:i4>
      </vt:variant>
      <vt:variant>
        <vt:i4>0</vt:i4>
      </vt:variant>
      <vt:variant>
        <vt:i4>5</vt:i4>
      </vt:variant>
      <vt:variant>
        <vt:lpwstr>mailto:jsr5077@gmail.com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RAYUDU's</cp:lastModifiedBy>
  <cp:revision>2</cp:revision>
  <dcterms:created xsi:type="dcterms:W3CDTF">2026-08-04T13:02:00Z</dcterms:created>
  <dcterms:modified xsi:type="dcterms:W3CDTF">2026-08-04T13:02:00Z</dcterms:modified>
</cp:coreProperties>
</file>