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72" w:rsidRDefault="00DE7472" w:rsidP="00DE7472">
      <w:bookmarkStart w:id="0" w:name="_Toc446920523"/>
    </w:p>
    <w:p w:rsidR="00DE7472" w:rsidRDefault="00DE7472" w:rsidP="00DE7472"/>
    <w:p w:rsidR="00DE7472" w:rsidRDefault="00DE7472" w:rsidP="00DE7472"/>
    <w:p w:rsidR="00DE7472" w:rsidRDefault="00DE7472" w:rsidP="00DE7472"/>
    <w:p w:rsidR="00DE7472" w:rsidRPr="00DE7472" w:rsidRDefault="00DE7472" w:rsidP="00DE7472">
      <w:pPr>
        <w:jc w:val="right"/>
        <w:rPr>
          <w:rFonts w:cs="Arial"/>
          <w:sz w:val="40"/>
          <w:szCs w:val="40"/>
        </w:rPr>
      </w:pPr>
      <w:r w:rsidRPr="00DE7472">
        <w:rPr>
          <w:rFonts w:cs="Arial"/>
          <w:sz w:val="40"/>
          <w:szCs w:val="40"/>
        </w:rPr>
        <w:t>PROCEDIMIENTO GENERAL DE EVALUACION DE PROVEEDORES</w:t>
      </w:r>
    </w:p>
    <w:p w:rsidR="00DE7472" w:rsidRDefault="00DE7472" w:rsidP="00DE7472">
      <w:pPr>
        <w:jc w:val="right"/>
        <w:rPr>
          <w:rFonts w:cs="Arial"/>
        </w:rPr>
      </w:pPr>
      <w:r w:rsidRPr="00DE7472">
        <w:rPr>
          <w:rFonts w:eastAsia="Gotham Light" w:cs="Arial"/>
          <w:b/>
        </w:rPr>
        <w:t>Objetivo:</w:t>
      </w:r>
      <w:r>
        <w:rPr>
          <w:rFonts w:eastAsia="Gotham Light" w:cs="Arial"/>
          <w:b/>
        </w:rPr>
        <w:t xml:space="preserve"> </w:t>
      </w:r>
      <w:r>
        <w:rPr>
          <w:rFonts w:eastAsia="Gotham Light" w:cs="Arial"/>
        </w:rPr>
        <w:t>Normalizar</w:t>
      </w:r>
      <w:r w:rsidRPr="00DE7472">
        <w:rPr>
          <w:rFonts w:eastAsia="Gotham Light" w:cs="Arial"/>
        </w:rPr>
        <w:t xml:space="preserve"> Criterios, Procedimiento y Ficha Tipo para la Evaluación de Proveedores</w:t>
      </w:r>
      <w:r w:rsidRPr="00DE7472">
        <w:rPr>
          <w:rFonts w:cs="Arial"/>
        </w:rPr>
        <w:t xml:space="preserve"> </w:t>
      </w:r>
    </w:p>
    <w:p w:rsidR="00DE7472" w:rsidRPr="00DE7472" w:rsidRDefault="00DE7472" w:rsidP="00DE7472">
      <w:pPr>
        <w:spacing w:after="160" w:line="259" w:lineRule="auto"/>
        <w:ind w:left="1080"/>
        <w:contextualSpacing/>
        <w:jc w:val="right"/>
        <w:rPr>
          <w:rFonts w:cs="Arial"/>
        </w:rPr>
      </w:pPr>
      <w:r w:rsidRPr="00DE7472">
        <w:rPr>
          <w:rFonts w:eastAsia="Calibri" w:cs="Arial"/>
          <w:sz w:val="20"/>
          <w:szCs w:val="20"/>
        </w:rPr>
        <w:t xml:space="preserve"> </w:t>
      </w: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812184"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8B6E16" w:rsidRPr="009042BE" w:rsidRDefault="008B6E16" w:rsidP="008B6E16">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DE7472" w:rsidRDefault="00DE7472" w:rsidP="00B36A87">
      <w:pPr>
        <w:rPr>
          <w:b/>
        </w:rPr>
      </w:pPr>
      <w:r>
        <w:rPr>
          <w:b/>
        </w:rPr>
        <w:lastRenderedPageBreak/>
        <w:t>Generalidades</w:t>
      </w:r>
    </w:p>
    <w:p w:rsidR="00DE7472" w:rsidRDefault="00DE7472" w:rsidP="00DE7472">
      <w:pPr>
        <w:spacing w:after="0"/>
        <w:rPr>
          <w:sz w:val="20"/>
          <w:szCs w:val="20"/>
        </w:rPr>
      </w:pPr>
      <w:r>
        <w:rPr>
          <w:rFonts w:eastAsia="Gotham Light" w:cs="Gotham Light"/>
        </w:rPr>
        <w:t>Este procedimiento procura definir los c</w:t>
      </w:r>
      <w:r w:rsidRPr="00827D0C">
        <w:rPr>
          <w:rFonts w:eastAsia="Gotham Light" w:cs="Gotham Light"/>
        </w:rPr>
        <w:t>riterios</w:t>
      </w:r>
      <w:r>
        <w:rPr>
          <w:rFonts w:eastAsia="Gotham Light" w:cs="Gotham Light"/>
        </w:rPr>
        <w:t xml:space="preserve"> y formato de</w:t>
      </w:r>
      <w:r w:rsidRPr="00827D0C">
        <w:rPr>
          <w:rFonts w:eastAsia="Gotham Light" w:cs="Gotham Light"/>
        </w:rPr>
        <w:t xml:space="preserve">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DE7472" w:rsidRDefault="00DE7472" w:rsidP="00DE7472">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DE7472" w:rsidRDefault="00DE7472"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área de injerencia y supervisión de CTO/CCK;  será especialmente de aplicación a los contactos comerciales, ejecutivos de cuenta o responsables de turno según el caso. </w:t>
      </w:r>
    </w:p>
    <w:p w:rsidR="00B36A87" w:rsidRPr="00FA0029" w:rsidRDefault="00B36A87" w:rsidP="00B36A87">
      <w:r>
        <w:lastRenderedPageBreak/>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p w:rsidR="008B6E16" w:rsidRDefault="008B6E16" w:rsidP="00B36A87">
      <w:pPr>
        <w:rPr>
          <w:sz w:val="20"/>
          <w:szCs w:val="20"/>
        </w:rPr>
      </w:pPr>
    </w:p>
    <w:p w:rsidR="008B6E16" w:rsidRDefault="008B6E16" w:rsidP="00B36A87">
      <w:pPr>
        <w:rPr>
          <w:sz w:val="20"/>
          <w:szCs w:val="20"/>
        </w:rPr>
      </w:pPr>
    </w:p>
    <w:tbl>
      <w:tblPr>
        <w:tblStyle w:val="Tablaconcuadrcula"/>
        <w:tblW w:w="0" w:type="auto"/>
        <w:tblInd w:w="392" w:type="dxa"/>
        <w:tblLook w:val="04A0" w:firstRow="1" w:lastRow="0" w:firstColumn="1" w:lastColumn="0" w:noHBand="0" w:noVBand="1"/>
      </w:tblPr>
      <w:tblGrid>
        <w:gridCol w:w="6336"/>
        <w:gridCol w:w="6421"/>
      </w:tblGrid>
      <w:tr w:rsidR="008B6E16" w:rsidTr="006F6324">
        <w:tc>
          <w:tcPr>
            <w:tcW w:w="6336" w:type="dxa"/>
          </w:tcPr>
          <w:p w:rsidR="008B6E16" w:rsidRPr="00D038E2" w:rsidRDefault="008B6E16" w:rsidP="006F6324">
            <w:pPr>
              <w:jc w:val="both"/>
              <w:rPr>
                <w:sz w:val="12"/>
                <w:szCs w:val="16"/>
                <w:u w:val="single"/>
              </w:rPr>
            </w:pPr>
            <w:bookmarkStart w:id="1" w:name="_Toc446920524"/>
            <w:r w:rsidRPr="00D038E2">
              <w:rPr>
                <w:sz w:val="12"/>
                <w:szCs w:val="16"/>
                <w:u w:val="single"/>
              </w:rPr>
              <w:t>Responsabilidades:</w:t>
            </w:r>
          </w:p>
          <w:p w:rsidR="008B6E16" w:rsidRPr="00D038E2" w:rsidRDefault="008B6E16" w:rsidP="006F6324">
            <w:pPr>
              <w:jc w:val="both"/>
              <w:rPr>
                <w:sz w:val="12"/>
                <w:szCs w:val="16"/>
              </w:rPr>
            </w:pPr>
            <w:r w:rsidRPr="00D038E2">
              <w:rPr>
                <w:sz w:val="12"/>
                <w:szCs w:val="16"/>
              </w:rPr>
              <w:t>1: CTO/Servicios Generales (SG)</w:t>
            </w:r>
          </w:p>
          <w:p w:rsidR="008B6E16" w:rsidRPr="00D038E2" w:rsidRDefault="008B6E16" w:rsidP="006F6324">
            <w:pPr>
              <w:jc w:val="both"/>
              <w:rPr>
                <w:sz w:val="12"/>
                <w:szCs w:val="16"/>
              </w:rPr>
            </w:pPr>
            <w:r w:rsidRPr="00D038E2">
              <w:rPr>
                <w:sz w:val="12"/>
                <w:szCs w:val="16"/>
              </w:rPr>
              <w:t>2: CTO/Planificación y Control</w:t>
            </w:r>
          </w:p>
          <w:p w:rsidR="008B6E16" w:rsidRPr="00D038E2" w:rsidRDefault="008B6E16" w:rsidP="006F6324">
            <w:pPr>
              <w:jc w:val="both"/>
              <w:rPr>
                <w:sz w:val="12"/>
                <w:szCs w:val="16"/>
              </w:rPr>
            </w:pPr>
            <w:r w:rsidRPr="00D038E2">
              <w:rPr>
                <w:sz w:val="12"/>
                <w:szCs w:val="16"/>
              </w:rPr>
              <w:t>3: CTO/Dirección</w:t>
            </w:r>
          </w:p>
          <w:p w:rsidR="008B6E16" w:rsidRPr="00D038E2" w:rsidRDefault="008B6E16" w:rsidP="006F6324">
            <w:pPr>
              <w:jc w:val="both"/>
              <w:rPr>
                <w:sz w:val="12"/>
                <w:szCs w:val="16"/>
              </w:rPr>
            </w:pPr>
            <w:r w:rsidRPr="00D038E2">
              <w:rPr>
                <w:sz w:val="12"/>
                <w:szCs w:val="16"/>
              </w:rPr>
              <w:t>4: CTO/Espacios Físicos (EF)</w:t>
            </w:r>
          </w:p>
          <w:p w:rsidR="008B6E16" w:rsidRPr="00D038E2" w:rsidRDefault="008B6E16" w:rsidP="006F6324">
            <w:pPr>
              <w:jc w:val="both"/>
              <w:rPr>
                <w:sz w:val="12"/>
                <w:szCs w:val="16"/>
              </w:rPr>
            </w:pPr>
            <w:r w:rsidRPr="00D038E2">
              <w:rPr>
                <w:sz w:val="12"/>
                <w:szCs w:val="16"/>
              </w:rPr>
              <w:t>5: CTO/Seguridad</w:t>
            </w:r>
          </w:p>
          <w:p w:rsidR="008B6E16" w:rsidRPr="00D038E2" w:rsidRDefault="008B6E16" w:rsidP="006F6324">
            <w:pPr>
              <w:jc w:val="both"/>
              <w:rPr>
                <w:sz w:val="12"/>
                <w:szCs w:val="16"/>
              </w:rPr>
            </w:pPr>
            <w:r w:rsidRPr="00D038E2">
              <w:rPr>
                <w:sz w:val="12"/>
                <w:szCs w:val="16"/>
              </w:rPr>
              <w:t>6. CTO/Mesa de Ayuda</w:t>
            </w:r>
          </w:p>
          <w:p w:rsidR="008B6E16" w:rsidRPr="00D038E2" w:rsidRDefault="008B6E16" w:rsidP="006F6324">
            <w:pPr>
              <w:jc w:val="both"/>
              <w:rPr>
                <w:sz w:val="12"/>
                <w:szCs w:val="16"/>
              </w:rPr>
            </w:pPr>
            <w:r w:rsidRPr="00D038E2">
              <w:rPr>
                <w:sz w:val="12"/>
                <w:szCs w:val="16"/>
              </w:rPr>
              <w:t>7. CTO/Mantenimiento</w:t>
            </w:r>
          </w:p>
          <w:p w:rsidR="008B6E16" w:rsidRPr="00D038E2" w:rsidRDefault="008B6E16" w:rsidP="006F6324">
            <w:pPr>
              <w:jc w:val="both"/>
              <w:rPr>
                <w:sz w:val="12"/>
                <w:szCs w:val="16"/>
              </w:rPr>
            </w:pPr>
            <w:r w:rsidRPr="00D038E2">
              <w:rPr>
                <w:sz w:val="12"/>
                <w:szCs w:val="16"/>
              </w:rPr>
              <w:t>8. CTO/Higiene y Seguridad de las Personas (</w:t>
            </w:r>
            <w:proofErr w:type="spellStart"/>
            <w:r w:rsidRPr="00D038E2">
              <w:rPr>
                <w:sz w:val="12"/>
                <w:szCs w:val="16"/>
              </w:rPr>
              <w:t>H</w:t>
            </w:r>
            <w:r>
              <w:rPr>
                <w:sz w:val="12"/>
                <w:szCs w:val="16"/>
              </w:rPr>
              <w:t>yS</w:t>
            </w:r>
            <w:proofErr w:type="spellEnd"/>
            <w:r w:rsidRPr="00D038E2">
              <w:rPr>
                <w:sz w:val="12"/>
                <w:szCs w:val="16"/>
              </w:rPr>
              <w:t>)</w:t>
            </w:r>
          </w:p>
          <w:p w:rsidR="008B6E16" w:rsidRPr="00D038E2" w:rsidRDefault="008B6E16" w:rsidP="006F6324">
            <w:pPr>
              <w:jc w:val="both"/>
              <w:rPr>
                <w:sz w:val="12"/>
                <w:szCs w:val="16"/>
              </w:rPr>
            </w:pPr>
            <w:r w:rsidRPr="00D038E2">
              <w:rPr>
                <w:sz w:val="12"/>
                <w:szCs w:val="16"/>
              </w:rPr>
              <w:t xml:space="preserve">9. </w:t>
            </w:r>
            <w:r>
              <w:rPr>
                <w:sz w:val="12"/>
                <w:szCs w:val="16"/>
              </w:rPr>
              <w:t>CTO/</w:t>
            </w:r>
            <w:r w:rsidRPr="00D038E2">
              <w:rPr>
                <w:sz w:val="12"/>
                <w:szCs w:val="16"/>
              </w:rPr>
              <w:t>Logística</w:t>
            </w:r>
          </w:p>
          <w:p w:rsidR="008B6E16" w:rsidRPr="00D038E2" w:rsidRDefault="008B6E16" w:rsidP="006F6324">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8B6E16" w:rsidRDefault="008B6E16" w:rsidP="006F6324">
            <w:pPr>
              <w:jc w:val="both"/>
              <w:rPr>
                <w:sz w:val="16"/>
                <w:szCs w:val="16"/>
                <w:u w:val="single"/>
              </w:rPr>
            </w:pPr>
          </w:p>
          <w:p w:rsidR="008B6E16" w:rsidRDefault="008B6E16" w:rsidP="006F6324">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8B6E16" w:rsidRPr="00376787" w:rsidRDefault="008B6E16" w:rsidP="006F6324">
            <w:pPr>
              <w:jc w:val="both"/>
              <w:rPr>
                <w:sz w:val="16"/>
                <w:szCs w:val="16"/>
              </w:rPr>
            </w:pPr>
          </w:p>
          <w:p w:rsidR="008B6E16" w:rsidRPr="00376787" w:rsidRDefault="008B6E16" w:rsidP="006F6324">
            <w:pPr>
              <w:jc w:val="both"/>
              <w:rPr>
                <w:sz w:val="16"/>
                <w:szCs w:val="16"/>
                <w:u w:val="single"/>
              </w:rPr>
            </w:pPr>
            <w:r w:rsidRPr="00376787">
              <w:rPr>
                <w:sz w:val="16"/>
                <w:szCs w:val="16"/>
                <w:u w:val="single"/>
              </w:rPr>
              <w:t>Normativa de Aplicación</w:t>
            </w:r>
          </w:p>
          <w:p w:rsidR="008B6E16" w:rsidRPr="00376787" w:rsidRDefault="008B6E16" w:rsidP="008B6E16">
            <w:pPr>
              <w:pStyle w:val="Prrafodelista"/>
              <w:numPr>
                <w:ilvl w:val="0"/>
                <w:numId w:val="2"/>
              </w:numPr>
              <w:jc w:val="both"/>
              <w:rPr>
                <w:sz w:val="16"/>
                <w:szCs w:val="16"/>
              </w:rPr>
            </w:pPr>
            <w:r w:rsidRPr="00376787">
              <w:rPr>
                <w:sz w:val="16"/>
                <w:szCs w:val="16"/>
              </w:rPr>
              <w:t>Normativa legal vigente</w:t>
            </w:r>
          </w:p>
          <w:p w:rsidR="008B6E16" w:rsidRDefault="008B6E16" w:rsidP="008B6E16">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8B6E16" w:rsidRPr="00376787" w:rsidRDefault="008B6E16" w:rsidP="008B6E16">
            <w:pPr>
              <w:pStyle w:val="Prrafodelista"/>
              <w:numPr>
                <w:ilvl w:val="0"/>
                <w:numId w:val="2"/>
              </w:numPr>
              <w:jc w:val="both"/>
              <w:rPr>
                <w:sz w:val="16"/>
                <w:szCs w:val="16"/>
              </w:rPr>
            </w:pPr>
            <w:r>
              <w:rPr>
                <w:sz w:val="16"/>
                <w:szCs w:val="16"/>
              </w:rPr>
              <w:t>Otros Procedimientos e Instructivos vinculados.</w:t>
            </w:r>
          </w:p>
          <w:p w:rsidR="008B6E16" w:rsidRPr="00376787" w:rsidRDefault="008B6E16" w:rsidP="006F6324">
            <w:pPr>
              <w:pStyle w:val="Prrafodelista"/>
              <w:jc w:val="both"/>
              <w:rPr>
                <w:sz w:val="16"/>
                <w:szCs w:val="16"/>
              </w:rPr>
            </w:pPr>
          </w:p>
        </w:tc>
      </w:tr>
    </w:tbl>
    <w:p w:rsidR="00B36A87" w:rsidRDefault="00B36A87" w:rsidP="00B36A87">
      <w:pPr>
        <w:pStyle w:val="Ttulo2"/>
      </w:pPr>
      <w:bookmarkStart w:id="2" w:name="_GoBack"/>
      <w:bookmarkEnd w:id="2"/>
      <w:r>
        <w:lastRenderedPageBreak/>
        <w:t>ANEXO I – FICHA DE EVALUACION DE PROVEEDORES (MUESTRA)</w:t>
      </w:r>
      <w:bookmarkEnd w:id="1"/>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B36A87" w:rsidRDefault="00B36A87" w:rsidP="00DE7472">
      <w:pPr>
        <w:spacing w:after="160" w:line="259" w:lineRule="auto"/>
        <w:rPr>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sectPr w:rsidR="00B36A87" w:rsidRPr="00B36A87"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022" w:rsidRDefault="00C50022" w:rsidP="0073448C">
      <w:pPr>
        <w:spacing w:after="0" w:line="240" w:lineRule="auto"/>
      </w:pPr>
      <w:r>
        <w:separator/>
      </w:r>
    </w:p>
  </w:endnote>
  <w:endnote w:type="continuationSeparator" w:id="0">
    <w:p w:rsidR="00C50022" w:rsidRDefault="00C50022"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C50022"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8E6204">
          <w:rPr>
            <w:i/>
            <w:sz w:val="18"/>
            <w:szCs w:val="18"/>
          </w:rPr>
          <w:t>Este es un documento electrónicamente controlado y publicado.  Cualquier impresión o copia dura debe ser verificada o comparada con la versión electrónica antes de su uso.</w:t>
        </w:r>
        <w:r w:rsidR="008E6204">
          <w:t xml:space="preserve"> </w:t>
        </w:r>
      </w:sdtContent>
    </w:sdt>
    <w:r w:rsidR="008E6204">
      <w:rPr>
        <w:rFonts w:asciiTheme="majorHAnsi" w:eastAsiaTheme="majorEastAsia" w:hAnsiTheme="majorHAnsi" w:cstheme="majorBidi"/>
      </w:rPr>
      <w:ptab w:relativeTo="margin" w:alignment="right" w:leader="none"/>
    </w:r>
    <w:r w:rsidR="008E6204">
      <w:rPr>
        <w:rFonts w:asciiTheme="majorHAnsi" w:eastAsiaTheme="majorEastAsia" w:hAnsiTheme="majorHAnsi" w:cstheme="majorBidi"/>
        <w:lang w:val="es-ES"/>
      </w:rPr>
      <w:t xml:space="preserve">Página </w:t>
    </w:r>
    <w:r w:rsidR="008E6204">
      <w:rPr>
        <w:rFonts w:eastAsiaTheme="minorEastAsia"/>
      </w:rPr>
      <w:fldChar w:fldCharType="begin"/>
    </w:r>
    <w:r w:rsidR="008E6204">
      <w:instrText>PAGE   \* MERGEFORMAT</w:instrText>
    </w:r>
    <w:r w:rsidR="008E6204">
      <w:rPr>
        <w:rFonts w:eastAsiaTheme="minorEastAsia"/>
      </w:rPr>
      <w:fldChar w:fldCharType="separate"/>
    </w:r>
    <w:r w:rsidR="008B6E16" w:rsidRPr="008B6E16">
      <w:rPr>
        <w:rFonts w:asciiTheme="majorHAnsi" w:eastAsiaTheme="majorEastAsia" w:hAnsiTheme="majorHAnsi" w:cstheme="majorBidi"/>
        <w:noProof/>
        <w:lang w:val="es-ES"/>
      </w:rPr>
      <w:t>4</w:t>
    </w:r>
    <w:r w:rsidR="008E6204">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022" w:rsidRDefault="00C50022" w:rsidP="0073448C">
      <w:pPr>
        <w:spacing w:after="0" w:line="240" w:lineRule="auto"/>
      </w:pPr>
      <w:r>
        <w:separator/>
      </w:r>
    </w:p>
  </w:footnote>
  <w:footnote w:type="continuationSeparator" w:id="0">
    <w:p w:rsidR="00C50022" w:rsidRDefault="00C50022"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75" w:rsidRDefault="008E6204"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1F75" w:rsidRPr="00571F75" w:rsidRDefault="00571F75" w:rsidP="00571F75">
    <w:pPr>
      <w:jc w:val="right"/>
      <w:rPr>
        <w:rFonts w:cs="Arial"/>
        <w:sz w:val="24"/>
        <w:szCs w:val="24"/>
      </w:rPr>
    </w:pPr>
    <w:r w:rsidRPr="00571F75">
      <w:rPr>
        <w:rFonts w:cs="Arial"/>
        <w:sz w:val="24"/>
        <w:szCs w:val="24"/>
      </w:rPr>
      <w:t>PROCEDIMIENTO GENERAL DE EVALUACION DE PROVEEDORES</w:t>
    </w:r>
  </w:p>
  <w:p w:rsidR="008E6204" w:rsidRDefault="00C50022"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427952"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2B00"/>
    <w:rsid w:val="005048F6"/>
    <w:rsid w:val="00505616"/>
    <w:rsid w:val="0052004D"/>
    <w:rsid w:val="00523231"/>
    <w:rsid w:val="005257EC"/>
    <w:rsid w:val="00526AFD"/>
    <w:rsid w:val="00533B3C"/>
    <w:rsid w:val="005403CD"/>
    <w:rsid w:val="00543584"/>
    <w:rsid w:val="0054628C"/>
    <w:rsid w:val="00554F60"/>
    <w:rsid w:val="00557C7B"/>
    <w:rsid w:val="00564354"/>
    <w:rsid w:val="00571F75"/>
    <w:rsid w:val="00572376"/>
    <w:rsid w:val="0057290F"/>
    <w:rsid w:val="005845E9"/>
    <w:rsid w:val="005A29CA"/>
    <w:rsid w:val="005C627B"/>
    <w:rsid w:val="005E1C1C"/>
    <w:rsid w:val="005E499A"/>
    <w:rsid w:val="005F2D63"/>
    <w:rsid w:val="0061045B"/>
    <w:rsid w:val="00610EB6"/>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E16"/>
    <w:rsid w:val="008B6FCE"/>
    <w:rsid w:val="008C3338"/>
    <w:rsid w:val="008D4912"/>
    <w:rsid w:val="008D77C3"/>
    <w:rsid w:val="008E6204"/>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BF5E49"/>
    <w:rsid w:val="00C034D4"/>
    <w:rsid w:val="00C06E90"/>
    <w:rsid w:val="00C078BA"/>
    <w:rsid w:val="00C157A1"/>
    <w:rsid w:val="00C17368"/>
    <w:rsid w:val="00C204EC"/>
    <w:rsid w:val="00C2124B"/>
    <w:rsid w:val="00C2632E"/>
    <w:rsid w:val="00C26F81"/>
    <w:rsid w:val="00C31321"/>
    <w:rsid w:val="00C4549A"/>
    <w:rsid w:val="00C50022"/>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E7472"/>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66C34"/>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5CEAF-B098-4AB5-B298-317F294D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2016-04-14T18:06:00Z</cp:lastPrinted>
  <dcterms:created xsi:type="dcterms:W3CDTF">2016-04-08T11:43:00Z</dcterms:created>
  <dcterms:modified xsi:type="dcterms:W3CDTF">2016-04-29T12:39:00Z</dcterms:modified>
</cp:coreProperties>
</file>