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2" w:rsidRDefault="008F6082" w:rsidP="008F6082">
      <w:pPr>
        <w:pStyle w:val="Ttulo1"/>
      </w:pPr>
      <w:bookmarkStart w:id="0" w:name="_Toc446920522"/>
    </w:p>
    <w:p w:rsidR="008F6082" w:rsidRPr="008F6082" w:rsidRDefault="008F6082" w:rsidP="008F6082">
      <w:pPr>
        <w:pStyle w:val="Ttulo1"/>
        <w:jc w:val="right"/>
        <w:rPr>
          <w:rFonts w:asciiTheme="minorHAnsi" w:hAnsiTheme="minorHAnsi" w:cs="Arial"/>
          <w:b w:val="0"/>
          <w:color w:val="auto"/>
          <w:sz w:val="40"/>
          <w:szCs w:val="40"/>
        </w:rPr>
      </w:pPr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 xml:space="preserve">PROCEDIMIENTO GENERAL DE SATISFACCION </w:t>
      </w:r>
    </w:p>
    <w:p w:rsidR="008F6082" w:rsidRDefault="008F6082" w:rsidP="008F6082">
      <w:pPr>
        <w:spacing w:line="240" w:lineRule="auto"/>
        <w:jc w:val="right"/>
        <w:rPr>
          <w:b/>
          <w:color w:val="000000"/>
        </w:rPr>
      </w:pPr>
      <w:bookmarkStart w:id="1" w:name="_GoBack"/>
      <w:bookmarkEnd w:id="1"/>
    </w:p>
    <w:p w:rsidR="008F6082" w:rsidRDefault="008F6082" w:rsidP="008F6082">
      <w:pPr>
        <w:spacing w:line="240" w:lineRule="auto"/>
        <w:jc w:val="right"/>
        <w:rPr>
          <w:b/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r w:rsidRPr="009E2E53">
        <w:rPr>
          <w:b/>
          <w:color w:val="000000"/>
        </w:rPr>
        <w:t>Objetivo: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Normalizar la metodología, frecuencia y frecuencia para la medición de la satisfacción 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usuarios y requirentes de servicios bajo el área de injerencia de la CTO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rFonts w:eastAsia="Gotham Light" w:cs="Gotham Light"/>
          <w:b/>
        </w:rPr>
      </w:pPr>
    </w:p>
    <w:p w:rsidR="008F6082" w:rsidRDefault="008F6082" w:rsidP="008F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8F6082" w:rsidRDefault="008F6082" w:rsidP="008F60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8F6082" w:rsidRDefault="008F6082"/>
    <w:p w:rsidR="008F6082" w:rsidRPr="009E2E53" w:rsidRDefault="008F6082" w:rsidP="008F6082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t>Generalidades</w:t>
      </w:r>
      <w:r w:rsidRPr="009E2E53">
        <w:rPr>
          <w:b/>
          <w:color w:val="000000"/>
        </w:rPr>
        <w:t>:</w:t>
      </w:r>
    </w:p>
    <w:p w:rsidR="008F6082" w:rsidRDefault="008F6082" w:rsidP="008F6082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bookmarkEnd w:id="0"/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716D5B" w:rsidP="00B36A87">
      <w:pPr>
        <w:rPr>
          <w:rFonts w:eastAsiaTheme="majorEastAsia" w:cstheme="majorBidi"/>
          <w:b/>
          <w:bCs/>
          <w:color w:val="365F91" w:themeColor="accent1" w:themeShade="BF"/>
        </w:rPr>
      </w:pPr>
    </w:p>
    <w:tbl>
      <w:tblPr>
        <w:tblStyle w:val="Tablaconcuadrcula"/>
        <w:tblW w:w="13149" w:type="dxa"/>
        <w:tblLook w:val="04A0" w:firstRow="1" w:lastRow="0" w:firstColumn="1" w:lastColumn="0" w:noHBand="0" w:noVBand="1"/>
      </w:tblPr>
      <w:tblGrid>
        <w:gridCol w:w="6573"/>
        <w:gridCol w:w="6576"/>
      </w:tblGrid>
      <w:tr w:rsidR="00B36A87" w:rsidTr="00B36A87">
        <w:tc>
          <w:tcPr>
            <w:tcW w:w="6573" w:type="dxa"/>
          </w:tcPr>
          <w:p w:rsidR="00B36A87" w:rsidRPr="00F904C3" w:rsidRDefault="00B36A87" w:rsidP="00B36A87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CTO/Coordinación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36A87" w:rsidRPr="00F904C3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36A87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  <w:p w:rsidR="00B36A87" w:rsidRPr="00AF12BB" w:rsidRDefault="00B36A87" w:rsidP="00B36A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8. CTO/Higiene y Seguridad de las Personas (SH)</w:t>
            </w:r>
          </w:p>
        </w:tc>
        <w:tc>
          <w:tcPr>
            <w:tcW w:w="6576" w:type="dxa"/>
          </w:tcPr>
          <w:p w:rsidR="00B36A87" w:rsidRDefault="00B36A87" w:rsidP="00B36A87">
            <w:pPr>
              <w:rPr>
                <w:sz w:val="16"/>
                <w:szCs w:val="16"/>
                <w:u w:val="single"/>
              </w:rPr>
            </w:pPr>
          </w:p>
          <w:p w:rsidR="00B36A87" w:rsidRDefault="00B36A87" w:rsidP="00B36A87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36A87" w:rsidRPr="00376787" w:rsidRDefault="00B36A87" w:rsidP="00B36A87">
            <w:pPr>
              <w:rPr>
                <w:sz w:val="16"/>
                <w:szCs w:val="16"/>
              </w:rPr>
            </w:pPr>
          </w:p>
          <w:p w:rsidR="00B36A87" w:rsidRPr="00376787" w:rsidRDefault="00B36A87" w:rsidP="00B36A87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36A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(de corresponder)</w:t>
            </w:r>
          </w:p>
          <w:p w:rsidR="00B36A87" w:rsidRPr="00376787" w:rsidRDefault="00B36A87" w:rsidP="00B36A87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todos los PI (Procedimientos Internos) vigentes</w:t>
            </w: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2" w:name="_Toc446920552"/>
      <w:r>
        <w:rPr>
          <w:rFonts w:cstheme="minorHAnsi"/>
          <w:lang w:val="es-ES_tradnl"/>
        </w:rPr>
        <w:t xml:space="preserve">ANEXO I </w:t>
      </w:r>
      <w:r w:rsidR="002849D4">
        <w:rPr>
          <w:rFonts w:cstheme="minorHAnsi"/>
          <w:lang w:val="es-ES_tradnl"/>
        </w:rPr>
        <w:t xml:space="preserve">-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2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3" w:name="h.gjdgxs" w:colFirst="0" w:colLast="0"/>
            <w:bookmarkEnd w:id="3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5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Nbt6q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6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9p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RllTdLTyvIDjpJ6Z3A8p+WousJ1Ozf8ubE6&#10;N8CwzuJSsugpORp3MS9p0juB4/Rn5ftNTet1bueon/+T+Q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Dcm+9p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7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Gr+Qw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8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YiyRQ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IrxiLJ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273" w:rsidRDefault="007E3273" w:rsidP="0073448C">
      <w:pPr>
        <w:spacing w:after="0" w:line="240" w:lineRule="auto"/>
      </w:pPr>
      <w:r>
        <w:separator/>
      </w:r>
    </w:p>
  </w:endnote>
  <w:endnote w:type="continuationSeparator" w:id="0">
    <w:p w:rsidR="007E3273" w:rsidRDefault="007E3273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7E3273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A94ED4" w:rsidRPr="00A94ED4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273" w:rsidRDefault="007E3273" w:rsidP="0073448C">
      <w:pPr>
        <w:spacing w:after="0" w:line="240" w:lineRule="auto"/>
      </w:pPr>
      <w:r>
        <w:separator/>
      </w:r>
    </w:p>
  </w:footnote>
  <w:footnote w:type="continuationSeparator" w:id="0">
    <w:p w:rsidR="007E3273" w:rsidRDefault="007E3273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232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284232" w:rsidRPr="00284232" w:rsidRDefault="00284232" w:rsidP="00284232">
    <w:pPr>
      <w:pStyle w:val="Ttulo1"/>
      <w:spacing w:before="0"/>
      <w:jc w:val="right"/>
      <w:rPr>
        <w:rFonts w:asciiTheme="minorHAnsi" w:hAnsiTheme="minorHAnsi" w:cs="Arial"/>
        <w:b w:val="0"/>
        <w:color w:val="auto"/>
      </w:rPr>
    </w:pPr>
    <w:r w:rsidRPr="00284232">
      <w:rPr>
        <w:rFonts w:asciiTheme="minorHAnsi" w:hAnsiTheme="minorHAnsi" w:cs="Arial"/>
        <w:b w:val="0"/>
        <w:color w:val="auto"/>
      </w:rPr>
      <w:t xml:space="preserve">PROCEDIMIENTO GENERAL DE SATISFACCION </w:t>
    </w:r>
  </w:p>
  <w:p w:rsidR="0057290F" w:rsidRDefault="007E3273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15161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4232"/>
    <w:rsid w:val="002849D4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077B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3273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608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4ED4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1C47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233B2-609E-4CC3-A36D-6AB524FE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2016-04-14T18:07:00Z</cp:lastPrinted>
  <dcterms:created xsi:type="dcterms:W3CDTF">2016-04-08T11:54:00Z</dcterms:created>
  <dcterms:modified xsi:type="dcterms:W3CDTF">2016-04-14T18:07:00Z</dcterms:modified>
</cp:coreProperties>
</file>