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F1" w:rsidRDefault="00A41AF1" w:rsidP="00A41AF1">
      <w:pPr>
        <w:ind w:left="2832"/>
        <w:jc w:val="right"/>
        <w:rPr>
          <w:rFonts w:ascii="Montserrat" w:eastAsia="Montserrat" w:hAnsi="Montserrat" w:cs="Montserrat"/>
          <w:b/>
          <w:sz w:val="40"/>
          <w:szCs w:val="40"/>
        </w:rPr>
      </w:pPr>
    </w:p>
    <w:p w:rsidR="00A41AF1" w:rsidRDefault="00A41AF1" w:rsidP="00A41AF1">
      <w:pPr>
        <w:ind w:left="2832"/>
        <w:jc w:val="right"/>
        <w:rPr>
          <w:rFonts w:ascii="Montserrat" w:eastAsia="Montserrat" w:hAnsi="Montserrat" w:cs="Montserrat"/>
          <w:b/>
          <w:sz w:val="40"/>
          <w:szCs w:val="40"/>
        </w:rPr>
      </w:pPr>
    </w:p>
    <w:p w:rsidR="00A41AF1" w:rsidRPr="00AF1FB5" w:rsidRDefault="00A41AF1" w:rsidP="00AF1FB5">
      <w:pPr>
        <w:jc w:val="right"/>
        <w:rPr>
          <w:rFonts w:eastAsia="Montserrat" w:cs="Arial"/>
          <w:sz w:val="40"/>
          <w:szCs w:val="40"/>
        </w:rPr>
      </w:pPr>
      <w:r w:rsidRPr="00AF1FB5">
        <w:rPr>
          <w:rFonts w:eastAsia="Montserrat" w:cs="Arial"/>
          <w:sz w:val="40"/>
          <w:szCs w:val="40"/>
        </w:rPr>
        <w:t>P</w:t>
      </w:r>
      <w:r w:rsidR="00AF1FB5" w:rsidRPr="00AF1FB5">
        <w:rPr>
          <w:rFonts w:eastAsia="Montserrat" w:cs="Arial"/>
          <w:sz w:val="40"/>
          <w:szCs w:val="40"/>
        </w:rPr>
        <w:t>G</w:t>
      </w:r>
      <w:r w:rsidR="004825CD">
        <w:rPr>
          <w:rFonts w:eastAsia="Montserrat" w:cs="Arial"/>
          <w:sz w:val="40"/>
          <w:szCs w:val="40"/>
        </w:rPr>
        <w:t>-</w:t>
      </w:r>
      <w:r w:rsidR="00AF1FB5" w:rsidRPr="00AF1FB5">
        <w:rPr>
          <w:rFonts w:eastAsia="Montserrat" w:cs="Arial"/>
          <w:sz w:val="40"/>
          <w:szCs w:val="40"/>
        </w:rPr>
        <w:t xml:space="preserve"> </w:t>
      </w:r>
      <w:r w:rsidRPr="00AF1FB5">
        <w:rPr>
          <w:rFonts w:eastAsia="Montserrat" w:cs="Arial"/>
          <w:sz w:val="40"/>
          <w:szCs w:val="40"/>
        </w:rPr>
        <w:t xml:space="preserve">TRATAMIENTO DE </w:t>
      </w:r>
      <w:r w:rsidR="00AF1FB5" w:rsidRPr="00AF1FB5">
        <w:rPr>
          <w:rFonts w:eastAsia="Montserrat" w:cs="Arial"/>
          <w:sz w:val="40"/>
          <w:szCs w:val="40"/>
        </w:rPr>
        <w:t>R</w:t>
      </w:r>
      <w:r w:rsidRPr="00AF1FB5">
        <w:rPr>
          <w:rFonts w:eastAsia="Montserrat" w:cs="Arial"/>
          <w:sz w:val="40"/>
          <w:szCs w:val="40"/>
        </w:rPr>
        <w:t>ESIDUOS</w:t>
      </w:r>
    </w:p>
    <w:p w:rsidR="00A41AF1" w:rsidRDefault="00A41AF1" w:rsidP="00A41AF1">
      <w:pPr>
        <w:ind w:left="2832"/>
        <w:jc w:val="right"/>
        <w:rPr>
          <w:rFonts w:cs="Arial"/>
        </w:rPr>
      </w:pPr>
      <w:r w:rsidRPr="00E94577">
        <w:rPr>
          <w:rFonts w:cs="Arial"/>
          <w:i/>
        </w:rPr>
        <w:t xml:space="preserve"> </w:t>
      </w:r>
      <w:r w:rsidRPr="00AF1FB5">
        <w:rPr>
          <w:rFonts w:cs="Arial"/>
          <w:b/>
          <w:u w:val="single"/>
        </w:rPr>
        <w:t>Objetivo:</w:t>
      </w:r>
      <w:r w:rsidRPr="00AF1FB5">
        <w:rPr>
          <w:rFonts w:cs="Arial"/>
        </w:rPr>
        <w:t xml:space="preserve"> </w:t>
      </w:r>
      <w:r w:rsidRPr="00AF1FB5">
        <w:rPr>
          <w:rFonts w:cs="Arial"/>
          <w:i/>
        </w:rPr>
        <w:t>Pautar el tipo de tratamiento que deberán recibir los residuos</w:t>
      </w:r>
      <w:r w:rsidRPr="00AF1FB5">
        <w:rPr>
          <w:rFonts w:cs="Arial"/>
        </w:rPr>
        <w:t>.</w:t>
      </w:r>
    </w:p>
    <w:p w:rsidR="001F66C9" w:rsidRPr="00AF1FB5" w:rsidRDefault="001F66C9" w:rsidP="00A41AF1">
      <w:pPr>
        <w:ind w:left="2832"/>
        <w:jc w:val="right"/>
        <w:rPr>
          <w:rFonts w:cs="Arial"/>
          <w:i/>
        </w:rPr>
      </w:pPr>
    </w:p>
    <w:p w:rsidR="00A41AF1" w:rsidRDefault="00A41AF1" w:rsidP="00A41AF1">
      <w:pPr>
        <w:spacing w:line="240" w:lineRule="auto"/>
        <w:ind w:left="2832"/>
        <w:jc w:val="right"/>
        <w:rPr>
          <w:rFonts w:ascii="Gotham Light" w:eastAsia="Gotham Light" w:hAnsi="Gotham Light" w:cs="Gotham Light"/>
          <w:sz w:val="24"/>
          <w:szCs w:val="24"/>
        </w:rPr>
      </w:pP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r>
        <w:rPr>
          <w:sz w:val="16"/>
          <w:szCs w:val="16"/>
        </w:rPr>
        <w:t>Realizo Control y Planificación: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Aprobó Dirección C.T.O.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Espacios Físicos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r>
        <w:rPr>
          <w:sz w:val="16"/>
          <w:szCs w:val="16"/>
        </w:rPr>
        <w:t>Seguridad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p>
    <w:p w:rsidR="001F66C9" w:rsidRDefault="001F66C9" w:rsidP="001F66C9">
      <w:pPr>
        <w:pBdr>
          <w:top w:val="single" w:sz="4" w:space="1" w:color="auto"/>
          <w:left w:val="single" w:sz="4" w:space="0" w:color="auto"/>
          <w:bottom w:val="single" w:sz="4" w:space="1" w:color="auto"/>
          <w:right w:val="single" w:sz="4" w:space="4" w:color="auto"/>
        </w:pBdr>
        <w:rPr>
          <w:b/>
          <w:sz w:val="16"/>
          <w:szCs w:val="16"/>
          <w:u w:val="single"/>
        </w:rPr>
      </w:pPr>
      <w:r>
        <w:rPr>
          <w:sz w:val="16"/>
          <w:szCs w:val="16"/>
        </w:rPr>
        <w:t xml:space="preserve">Fecha de Emisión: </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lastRenderedPageBreak/>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cstheme="minorHAnsi"/>
        </w:rPr>
      </w:pPr>
      <w:r w:rsidRPr="000B0441">
        <w:rPr>
          <w:rFonts w:eastAsia="TimesNewRomanPSMT" w:cstheme="minorHAnsi"/>
          <w:lang w:eastAsia="es-AR"/>
        </w:rPr>
        <w:br/>
      </w:r>
      <w:r w:rsidR="00526AFD">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AFD">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Pr="009330EE" w:rsidRDefault="007E57A8" w:rsidP="009330EE">
      <w:pPr>
        <w:rPr>
          <w:rFonts w:cstheme="minorHAnsi"/>
          <w:b/>
          <w:u w:val="single"/>
        </w:rPr>
      </w:pPr>
      <w:r w:rsidRPr="009330EE">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 xml:space="preserve">RESTOS DE ALIMENTOS, YERBA, PAPEL </w:t>
      </w:r>
      <w:r w:rsidRPr="000B0441">
        <w:rPr>
          <w:rFonts w:cstheme="minorHAnsi"/>
        </w:rPr>
        <w:lastRenderedPageBreak/>
        <w:t>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9330EE" w:rsidRDefault="007E57A8" w:rsidP="009330EE">
      <w:pPr>
        <w:jc w:val="both"/>
        <w:rPr>
          <w:rFonts w:cstheme="minorHAnsi"/>
          <w:b/>
          <w:u w:val="single"/>
        </w:rPr>
      </w:pPr>
      <w:r w:rsidRPr="009330EE">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A41AF1" w:rsidRPr="00A41AF1" w:rsidRDefault="00A41AF1" w:rsidP="009330EE">
      <w:pPr>
        <w:jc w:val="both"/>
        <w:rPr>
          <w:rFonts w:cstheme="minorHAnsi"/>
          <w:b/>
          <w:u w:val="single"/>
        </w:rPr>
      </w:pPr>
      <w:r w:rsidRPr="00A41AF1">
        <w:rPr>
          <w:rFonts w:cstheme="minorHAnsi"/>
          <w:b/>
          <w:u w:val="single"/>
        </w:rPr>
        <w:t>Proceso:</w:t>
      </w:r>
    </w:p>
    <w:p w:rsidR="007E57A8" w:rsidRPr="009330EE" w:rsidRDefault="002A2E35" w:rsidP="009330EE">
      <w:pPr>
        <w:jc w:val="both"/>
        <w:rPr>
          <w:rFonts w:cstheme="minorHAnsi"/>
        </w:rPr>
      </w:pPr>
      <w:r w:rsidRPr="009330EE">
        <w:rPr>
          <w:rFonts w:cstheme="minorHAnsi"/>
        </w:rPr>
        <w:t>S</w:t>
      </w:r>
      <w:r w:rsidR="007E57A8" w:rsidRPr="009330EE">
        <w:rPr>
          <w:rFonts w:cstheme="minorHAnsi"/>
        </w:rPr>
        <w:t>alvo disposición diferente de la CTO, el Servicio de Limpieza incluirá también las tareas vinculadas al tratamiento de residuos de la siguiente manera</w:t>
      </w:r>
      <w:r w:rsidRPr="009330EE">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w:t>
      </w:r>
      <w:r w:rsidRPr="000B0441">
        <w:rPr>
          <w:rFonts w:cstheme="minorHAnsi"/>
        </w:rPr>
        <w:lastRenderedPageBreak/>
        <w:t>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332D6" w:rsidRDefault="006332D6" w:rsidP="006332D6">
      <w:pPr>
        <w:pStyle w:val="Prrafodelista"/>
        <w:rPr>
          <w:rFonts w:cstheme="minorHAnsi"/>
        </w:rPr>
      </w:pPr>
    </w:p>
    <w:tbl>
      <w:tblPr>
        <w:tblStyle w:val="Tablaconcuadrcula"/>
        <w:tblW w:w="13149" w:type="dxa"/>
        <w:tblLook w:val="04A0" w:firstRow="1" w:lastRow="0" w:firstColumn="1" w:lastColumn="0" w:noHBand="0" w:noVBand="1"/>
      </w:tblPr>
      <w:tblGrid>
        <w:gridCol w:w="5211"/>
        <w:gridCol w:w="7938"/>
      </w:tblGrid>
      <w:tr w:rsidR="001F66C9" w:rsidTr="00AA7856">
        <w:tc>
          <w:tcPr>
            <w:tcW w:w="5211" w:type="dxa"/>
          </w:tcPr>
          <w:p w:rsidR="001F66C9" w:rsidRPr="00D038E2" w:rsidRDefault="001F66C9" w:rsidP="00AA7856">
            <w:pPr>
              <w:jc w:val="both"/>
              <w:rPr>
                <w:sz w:val="12"/>
                <w:szCs w:val="16"/>
                <w:u w:val="single"/>
              </w:rPr>
            </w:pPr>
            <w:r w:rsidRPr="00D038E2">
              <w:rPr>
                <w:sz w:val="12"/>
                <w:szCs w:val="16"/>
                <w:u w:val="single"/>
              </w:rPr>
              <w:t>Responsabilidades:</w:t>
            </w:r>
          </w:p>
          <w:p w:rsidR="001F66C9" w:rsidRPr="00D038E2" w:rsidRDefault="001F66C9" w:rsidP="00AA7856">
            <w:pPr>
              <w:jc w:val="both"/>
              <w:rPr>
                <w:sz w:val="12"/>
                <w:szCs w:val="16"/>
              </w:rPr>
            </w:pPr>
            <w:r w:rsidRPr="00D038E2">
              <w:rPr>
                <w:sz w:val="12"/>
                <w:szCs w:val="16"/>
              </w:rPr>
              <w:t>1: CTO/Servicios Generales (SG)</w:t>
            </w:r>
          </w:p>
          <w:p w:rsidR="001F66C9" w:rsidRPr="00D038E2" w:rsidRDefault="001F66C9" w:rsidP="00AA7856">
            <w:pPr>
              <w:jc w:val="both"/>
              <w:rPr>
                <w:sz w:val="12"/>
                <w:szCs w:val="16"/>
              </w:rPr>
            </w:pPr>
            <w:r w:rsidRPr="00D038E2">
              <w:rPr>
                <w:sz w:val="12"/>
                <w:szCs w:val="16"/>
              </w:rPr>
              <w:t>2: CTO/Planificación y Control</w:t>
            </w:r>
          </w:p>
          <w:p w:rsidR="001F66C9" w:rsidRPr="00D038E2" w:rsidRDefault="001F66C9" w:rsidP="00AA7856">
            <w:pPr>
              <w:jc w:val="both"/>
              <w:rPr>
                <w:sz w:val="12"/>
                <w:szCs w:val="16"/>
              </w:rPr>
            </w:pPr>
            <w:r w:rsidRPr="00D038E2">
              <w:rPr>
                <w:sz w:val="12"/>
                <w:szCs w:val="16"/>
              </w:rPr>
              <w:t>3: CTO/Dirección</w:t>
            </w:r>
          </w:p>
          <w:p w:rsidR="001F66C9" w:rsidRPr="00D038E2" w:rsidRDefault="001F66C9" w:rsidP="00AA7856">
            <w:pPr>
              <w:jc w:val="both"/>
              <w:rPr>
                <w:sz w:val="12"/>
                <w:szCs w:val="16"/>
              </w:rPr>
            </w:pPr>
            <w:r w:rsidRPr="00D038E2">
              <w:rPr>
                <w:sz w:val="12"/>
                <w:szCs w:val="16"/>
              </w:rPr>
              <w:t>4: CTO/Espacios Físicos (EF)</w:t>
            </w:r>
          </w:p>
          <w:p w:rsidR="001F66C9" w:rsidRPr="00D038E2" w:rsidRDefault="001F66C9" w:rsidP="00AA7856">
            <w:pPr>
              <w:jc w:val="both"/>
              <w:rPr>
                <w:sz w:val="12"/>
                <w:szCs w:val="16"/>
              </w:rPr>
            </w:pPr>
            <w:r w:rsidRPr="00D038E2">
              <w:rPr>
                <w:sz w:val="12"/>
                <w:szCs w:val="16"/>
              </w:rPr>
              <w:t>5: CTO/Seguridad</w:t>
            </w:r>
          </w:p>
          <w:p w:rsidR="001F66C9" w:rsidRPr="00D038E2" w:rsidRDefault="001F66C9" w:rsidP="00AA7856">
            <w:pPr>
              <w:jc w:val="both"/>
              <w:rPr>
                <w:sz w:val="12"/>
                <w:szCs w:val="16"/>
              </w:rPr>
            </w:pPr>
            <w:r w:rsidRPr="00D038E2">
              <w:rPr>
                <w:sz w:val="12"/>
                <w:szCs w:val="16"/>
              </w:rPr>
              <w:t>6. CTO/Mesa de Ayuda</w:t>
            </w:r>
          </w:p>
          <w:p w:rsidR="001F66C9" w:rsidRPr="00D038E2" w:rsidRDefault="001F66C9" w:rsidP="00AA7856">
            <w:pPr>
              <w:jc w:val="both"/>
              <w:rPr>
                <w:sz w:val="12"/>
                <w:szCs w:val="16"/>
              </w:rPr>
            </w:pPr>
            <w:r w:rsidRPr="00D038E2">
              <w:rPr>
                <w:sz w:val="12"/>
                <w:szCs w:val="16"/>
              </w:rPr>
              <w:t>7. CTO/Mantenimiento</w:t>
            </w:r>
          </w:p>
          <w:p w:rsidR="001F66C9" w:rsidRPr="00D038E2" w:rsidRDefault="001F66C9" w:rsidP="00AA7856">
            <w:pPr>
              <w:jc w:val="both"/>
              <w:rPr>
                <w:sz w:val="12"/>
                <w:szCs w:val="16"/>
              </w:rPr>
            </w:pPr>
            <w:r w:rsidRPr="00D038E2">
              <w:rPr>
                <w:sz w:val="12"/>
                <w:szCs w:val="16"/>
              </w:rPr>
              <w:t>8. CTO/Higiene y Seguridad de las Personas (</w:t>
            </w:r>
            <w:proofErr w:type="spellStart"/>
            <w:r w:rsidRPr="00D038E2">
              <w:rPr>
                <w:sz w:val="12"/>
                <w:szCs w:val="16"/>
              </w:rPr>
              <w:t>H</w:t>
            </w:r>
            <w:r>
              <w:rPr>
                <w:sz w:val="12"/>
                <w:szCs w:val="16"/>
              </w:rPr>
              <w:t>yS</w:t>
            </w:r>
            <w:proofErr w:type="spellEnd"/>
            <w:r w:rsidRPr="00D038E2">
              <w:rPr>
                <w:sz w:val="12"/>
                <w:szCs w:val="16"/>
              </w:rPr>
              <w:t>)</w:t>
            </w:r>
          </w:p>
          <w:p w:rsidR="001F66C9" w:rsidRPr="00D038E2" w:rsidRDefault="001F66C9" w:rsidP="00AA7856">
            <w:pPr>
              <w:jc w:val="both"/>
              <w:rPr>
                <w:sz w:val="12"/>
                <w:szCs w:val="16"/>
              </w:rPr>
            </w:pPr>
            <w:r w:rsidRPr="00D038E2">
              <w:rPr>
                <w:sz w:val="12"/>
                <w:szCs w:val="16"/>
              </w:rPr>
              <w:t xml:space="preserve">9. </w:t>
            </w:r>
            <w:r>
              <w:rPr>
                <w:sz w:val="12"/>
                <w:szCs w:val="16"/>
              </w:rPr>
              <w:t>CTO/</w:t>
            </w:r>
            <w:r w:rsidRPr="00D038E2">
              <w:rPr>
                <w:sz w:val="12"/>
                <w:szCs w:val="16"/>
              </w:rPr>
              <w:t>Logística</w:t>
            </w:r>
          </w:p>
          <w:p w:rsidR="001F66C9" w:rsidRPr="00D038E2" w:rsidRDefault="001F66C9" w:rsidP="00AA7856">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7938" w:type="dxa"/>
          </w:tcPr>
          <w:p w:rsidR="001F66C9" w:rsidRDefault="001F66C9" w:rsidP="00AA7856">
            <w:pPr>
              <w:jc w:val="both"/>
              <w:rPr>
                <w:sz w:val="16"/>
                <w:szCs w:val="16"/>
                <w:u w:val="single"/>
              </w:rPr>
            </w:pPr>
          </w:p>
          <w:p w:rsidR="001F66C9" w:rsidRDefault="001F66C9" w:rsidP="00AA7856">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F66C9" w:rsidRPr="00376787" w:rsidRDefault="001F66C9" w:rsidP="00AA7856">
            <w:pPr>
              <w:jc w:val="both"/>
              <w:rPr>
                <w:sz w:val="16"/>
                <w:szCs w:val="16"/>
              </w:rPr>
            </w:pPr>
          </w:p>
          <w:p w:rsidR="001F66C9" w:rsidRPr="00376787" w:rsidRDefault="001F66C9" w:rsidP="00AA7856">
            <w:pPr>
              <w:jc w:val="both"/>
              <w:rPr>
                <w:sz w:val="16"/>
                <w:szCs w:val="16"/>
                <w:u w:val="single"/>
              </w:rPr>
            </w:pPr>
            <w:r w:rsidRPr="00376787">
              <w:rPr>
                <w:sz w:val="16"/>
                <w:szCs w:val="16"/>
                <w:u w:val="single"/>
              </w:rPr>
              <w:t>Normativa de Aplicación</w:t>
            </w:r>
          </w:p>
          <w:p w:rsidR="001F66C9" w:rsidRPr="00376787" w:rsidRDefault="001F66C9" w:rsidP="00AA7856">
            <w:pPr>
              <w:pStyle w:val="Prrafodelista"/>
              <w:numPr>
                <w:ilvl w:val="0"/>
                <w:numId w:val="2"/>
              </w:numPr>
              <w:jc w:val="both"/>
              <w:rPr>
                <w:sz w:val="16"/>
                <w:szCs w:val="16"/>
              </w:rPr>
            </w:pPr>
            <w:r w:rsidRPr="00376787">
              <w:rPr>
                <w:sz w:val="16"/>
                <w:szCs w:val="16"/>
              </w:rPr>
              <w:t>Normativa legal vigente</w:t>
            </w:r>
          </w:p>
          <w:p w:rsidR="001F66C9" w:rsidRDefault="001F66C9" w:rsidP="00AA7856">
            <w:pPr>
              <w:pStyle w:val="Prrafodelista"/>
              <w:numPr>
                <w:ilvl w:val="0"/>
                <w:numId w:val="2"/>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F66C9" w:rsidRPr="00376787" w:rsidRDefault="001F66C9" w:rsidP="00AA7856">
            <w:pPr>
              <w:pStyle w:val="Prrafodelista"/>
              <w:numPr>
                <w:ilvl w:val="0"/>
                <w:numId w:val="2"/>
              </w:numPr>
              <w:jc w:val="both"/>
              <w:rPr>
                <w:sz w:val="16"/>
                <w:szCs w:val="16"/>
              </w:rPr>
            </w:pPr>
            <w:r>
              <w:rPr>
                <w:sz w:val="16"/>
                <w:szCs w:val="16"/>
              </w:rPr>
              <w:t>Otros Procedimientos e Instructivos vinculados.</w:t>
            </w:r>
          </w:p>
          <w:p w:rsidR="001F66C9" w:rsidRPr="00376787" w:rsidRDefault="001F66C9" w:rsidP="00AA7856">
            <w:pPr>
              <w:pStyle w:val="Prrafodelista"/>
              <w:jc w:val="both"/>
              <w:rPr>
                <w:sz w:val="16"/>
                <w:szCs w:val="16"/>
              </w:rPr>
            </w:pPr>
          </w:p>
        </w:tc>
      </w:tr>
    </w:tbl>
    <w:p w:rsidR="007E57A8" w:rsidRPr="001F66C9" w:rsidRDefault="007E57A8" w:rsidP="006332D6">
      <w:pPr>
        <w:pStyle w:val="Prrafodelista"/>
        <w:jc w:val="right"/>
        <w:rPr>
          <w:rFonts w:ascii="Calibri" w:hAnsi="Calibri" w:cs="Arial"/>
        </w:rPr>
      </w:pPr>
    </w:p>
    <w:sectPr w:rsidR="007E57A8" w:rsidRPr="001F66C9" w:rsidSect="002C57D7">
      <w:headerReference w:type="default" r:id="rId12"/>
      <w:foot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B15" w:rsidRDefault="00BC2B15" w:rsidP="0073448C">
      <w:pPr>
        <w:spacing w:after="0" w:line="240" w:lineRule="auto"/>
      </w:pPr>
      <w:r>
        <w:separator/>
      </w:r>
    </w:p>
  </w:endnote>
  <w:endnote w:type="continuationSeparator" w:id="0">
    <w:p w:rsidR="00BC2B15" w:rsidRDefault="00BC2B15"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BC2B15"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4825CD" w:rsidRPr="004825CD">
      <w:rPr>
        <w:rFonts w:asciiTheme="majorHAnsi" w:eastAsiaTheme="majorEastAsia" w:hAnsiTheme="majorHAnsi" w:cstheme="majorBidi"/>
        <w:noProof/>
        <w:lang w:val="es-ES"/>
      </w:rPr>
      <w:t>3</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B15" w:rsidRDefault="00BC2B15" w:rsidP="0073448C">
      <w:pPr>
        <w:spacing w:after="0" w:line="240" w:lineRule="auto"/>
      </w:pPr>
      <w:r>
        <w:separator/>
      </w:r>
    </w:p>
  </w:footnote>
  <w:footnote w:type="continuationSeparator" w:id="0">
    <w:p w:rsidR="00BC2B15" w:rsidRDefault="00BC2B15"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7D3"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FD27D3" w:rsidRPr="00FD27D3" w:rsidRDefault="00FD27D3" w:rsidP="00FD27D3">
    <w:pPr>
      <w:jc w:val="right"/>
      <w:rPr>
        <w:rFonts w:eastAsia="Montserrat" w:cs="Arial"/>
        <w:sz w:val="28"/>
        <w:szCs w:val="28"/>
      </w:rPr>
    </w:pPr>
    <w:r w:rsidRPr="00FD27D3">
      <w:rPr>
        <w:rFonts w:eastAsia="Montserrat" w:cs="Arial"/>
        <w:sz w:val="28"/>
        <w:szCs w:val="28"/>
      </w:rPr>
      <w:t>PROCEDIMIENTO GENERAL PARA TRATAMIENTO DE RESIDUOS</w:t>
    </w:r>
  </w:p>
  <w:p w:rsidR="0057290F" w:rsidRDefault="00BC2B15"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3428445"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A7CA3"/>
    <w:rsid w:val="001B2519"/>
    <w:rsid w:val="001C17D5"/>
    <w:rsid w:val="001D1C2D"/>
    <w:rsid w:val="001E124F"/>
    <w:rsid w:val="001F02E0"/>
    <w:rsid w:val="001F66C9"/>
    <w:rsid w:val="00216251"/>
    <w:rsid w:val="002265F7"/>
    <w:rsid w:val="0022719A"/>
    <w:rsid w:val="00232300"/>
    <w:rsid w:val="002324A2"/>
    <w:rsid w:val="002365AD"/>
    <w:rsid w:val="0023728F"/>
    <w:rsid w:val="0025085C"/>
    <w:rsid w:val="0026744F"/>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25CD"/>
    <w:rsid w:val="00485B94"/>
    <w:rsid w:val="00486E46"/>
    <w:rsid w:val="00486FBF"/>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97D1F"/>
    <w:rsid w:val="005A29CA"/>
    <w:rsid w:val="005C627B"/>
    <w:rsid w:val="005E1C1C"/>
    <w:rsid w:val="005E499A"/>
    <w:rsid w:val="005F2D63"/>
    <w:rsid w:val="0061045B"/>
    <w:rsid w:val="0061357B"/>
    <w:rsid w:val="00613D31"/>
    <w:rsid w:val="006140BD"/>
    <w:rsid w:val="00625DA5"/>
    <w:rsid w:val="006266CF"/>
    <w:rsid w:val="00630A51"/>
    <w:rsid w:val="00631E08"/>
    <w:rsid w:val="006332D6"/>
    <w:rsid w:val="00656D14"/>
    <w:rsid w:val="006643F3"/>
    <w:rsid w:val="00665DDB"/>
    <w:rsid w:val="0067113D"/>
    <w:rsid w:val="006745DF"/>
    <w:rsid w:val="0068091C"/>
    <w:rsid w:val="00682044"/>
    <w:rsid w:val="006938C3"/>
    <w:rsid w:val="00693FB1"/>
    <w:rsid w:val="0069712B"/>
    <w:rsid w:val="006A29F4"/>
    <w:rsid w:val="006A2C49"/>
    <w:rsid w:val="006C0F4C"/>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6F25"/>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D4912"/>
    <w:rsid w:val="008D77C3"/>
    <w:rsid w:val="008F1811"/>
    <w:rsid w:val="008F7D18"/>
    <w:rsid w:val="00905FB8"/>
    <w:rsid w:val="00913565"/>
    <w:rsid w:val="00914AB1"/>
    <w:rsid w:val="009170BB"/>
    <w:rsid w:val="00920861"/>
    <w:rsid w:val="0092108A"/>
    <w:rsid w:val="00924A99"/>
    <w:rsid w:val="0093026E"/>
    <w:rsid w:val="009330E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41AF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1FB5"/>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2B15"/>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0852"/>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94577"/>
    <w:rsid w:val="00EA373D"/>
    <w:rsid w:val="00EC26F0"/>
    <w:rsid w:val="00EC4B23"/>
    <w:rsid w:val="00EC5067"/>
    <w:rsid w:val="00ED4A90"/>
    <w:rsid w:val="00EE5385"/>
    <w:rsid w:val="00EF2202"/>
    <w:rsid w:val="00EF57DD"/>
    <w:rsid w:val="00EF7A5A"/>
    <w:rsid w:val="00F13A45"/>
    <w:rsid w:val="00F141A5"/>
    <w:rsid w:val="00F3649B"/>
    <w:rsid w:val="00F36816"/>
    <w:rsid w:val="00F4150C"/>
    <w:rsid w:val="00F44DFD"/>
    <w:rsid w:val="00F455A2"/>
    <w:rsid w:val="00F461B1"/>
    <w:rsid w:val="00F50B27"/>
    <w:rsid w:val="00F7155F"/>
    <w:rsid w:val="00F7191D"/>
    <w:rsid w:val="00F723A4"/>
    <w:rsid w:val="00F741E8"/>
    <w:rsid w:val="00F7494B"/>
    <w:rsid w:val="00F904C3"/>
    <w:rsid w:val="00F918F6"/>
    <w:rsid w:val="00F9195E"/>
    <w:rsid w:val="00FA0029"/>
    <w:rsid w:val="00FA0290"/>
    <w:rsid w:val="00FA2E57"/>
    <w:rsid w:val="00FA7C18"/>
    <w:rsid w:val="00FB3FA2"/>
    <w:rsid w:val="00FB522D"/>
    <w:rsid w:val="00FB6ABC"/>
    <w:rsid w:val="00FD27D3"/>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34749087">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B0E0F-A091-447B-BB6F-7CA3998D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1089</Words>
  <Characters>5993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cp:lastPrinted>2016-04-14T18:10:00Z</cp:lastPrinted>
  <dcterms:created xsi:type="dcterms:W3CDTF">2016-04-07T18:43:00Z</dcterms:created>
  <dcterms:modified xsi:type="dcterms:W3CDTF">2016-04-29T12:48:00Z</dcterms:modified>
</cp:coreProperties>
</file>