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472" w:rsidRDefault="00DE7472" w:rsidP="00DE7472">
      <w:bookmarkStart w:id="0" w:name="_Toc446920523"/>
    </w:p>
    <w:p w:rsidR="00DE7472" w:rsidRDefault="00DE7472" w:rsidP="00DE7472"/>
    <w:p w:rsidR="00DE7472" w:rsidRDefault="00DE7472" w:rsidP="00DE7472"/>
    <w:p w:rsidR="00DE7472" w:rsidRDefault="00DE7472" w:rsidP="00DE7472"/>
    <w:p w:rsidR="00DE7472" w:rsidRPr="00DE7472" w:rsidRDefault="00DE7472" w:rsidP="00DE7472">
      <w:pPr>
        <w:jc w:val="right"/>
        <w:rPr>
          <w:rFonts w:cs="Arial"/>
          <w:sz w:val="40"/>
          <w:szCs w:val="40"/>
        </w:rPr>
      </w:pPr>
      <w:r w:rsidRPr="00DE7472">
        <w:rPr>
          <w:rFonts w:cs="Arial"/>
          <w:sz w:val="40"/>
          <w:szCs w:val="40"/>
        </w:rPr>
        <w:t>P</w:t>
      </w:r>
      <w:r w:rsidR="006446C4">
        <w:rPr>
          <w:rFonts w:cs="Arial"/>
          <w:sz w:val="40"/>
          <w:szCs w:val="40"/>
        </w:rPr>
        <w:t>G 8.6</w:t>
      </w:r>
      <w:r w:rsidR="00241140">
        <w:rPr>
          <w:rFonts w:cs="Arial"/>
          <w:sz w:val="40"/>
          <w:szCs w:val="40"/>
        </w:rPr>
        <w:t xml:space="preserve"> - </w:t>
      </w:r>
      <w:r w:rsidR="006446C4">
        <w:rPr>
          <w:rFonts w:cs="Arial"/>
          <w:sz w:val="40"/>
          <w:szCs w:val="40"/>
        </w:rPr>
        <w:t>1</w:t>
      </w:r>
      <w:bookmarkStart w:id="1" w:name="_GoBack"/>
      <w:bookmarkEnd w:id="1"/>
      <w:r w:rsidRPr="00DE7472">
        <w:rPr>
          <w:rFonts w:cs="Arial"/>
          <w:sz w:val="40"/>
          <w:szCs w:val="40"/>
        </w:rPr>
        <w:t xml:space="preserve"> EVALUACION DE PROVEEDORES</w:t>
      </w:r>
    </w:p>
    <w:p w:rsidR="00DE7472" w:rsidRDefault="00DE7472" w:rsidP="00DE7472">
      <w:pPr>
        <w:jc w:val="right"/>
        <w:rPr>
          <w:rFonts w:cs="Arial"/>
        </w:rPr>
      </w:pPr>
      <w:r w:rsidRPr="00DE7472">
        <w:rPr>
          <w:rFonts w:eastAsia="Gotham Light" w:cs="Arial"/>
          <w:b/>
        </w:rPr>
        <w:t>Objetivo:</w:t>
      </w:r>
      <w:r>
        <w:rPr>
          <w:rFonts w:eastAsia="Gotham Light" w:cs="Arial"/>
          <w:b/>
        </w:rPr>
        <w:t xml:space="preserve"> </w:t>
      </w:r>
      <w:r>
        <w:rPr>
          <w:rFonts w:eastAsia="Gotham Light" w:cs="Arial"/>
        </w:rPr>
        <w:t>Normalizar</w:t>
      </w:r>
      <w:r w:rsidRPr="00DE7472">
        <w:rPr>
          <w:rFonts w:eastAsia="Gotham Light" w:cs="Arial"/>
        </w:rPr>
        <w:t xml:space="preserve"> Criterios, Procedimiento y Ficha Tipo para la Evaluación de Proveedores</w:t>
      </w:r>
      <w:r w:rsidRPr="00DE7472">
        <w:rPr>
          <w:rFonts w:cs="Arial"/>
        </w:rPr>
        <w:t xml:space="preserve"> </w:t>
      </w:r>
    </w:p>
    <w:p w:rsidR="00DE7472" w:rsidRPr="00DE7472" w:rsidRDefault="00DE7472" w:rsidP="00DE7472">
      <w:pPr>
        <w:spacing w:after="160" w:line="259" w:lineRule="auto"/>
        <w:ind w:left="1080"/>
        <w:contextualSpacing/>
        <w:jc w:val="right"/>
        <w:rPr>
          <w:rFonts w:cs="Arial"/>
        </w:rPr>
      </w:pPr>
      <w:r w:rsidRPr="00DE7472">
        <w:rPr>
          <w:rFonts w:eastAsia="Calibri" w:cs="Arial"/>
          <w:sz w:val="20"/>
          <w:szCs w:val="20"/>
        </w:rPr>
        <w:t xml:space="preserve"> </w:t>
      </w:r>
    </w:p>
    <w:p w:rsidR="008B6E16" w:rsidRDefault="008B6E16" w:rsidP="008B6E16">
      <w:pPr>
        <w:pBdr>
          <w:top w:val="single" w:sz="4" w:space="1" w:color="auto"/>
          <w:left w:val="single" w:sz="4" w:space="0" w:color="auto"/>
          <w:bottom w:val="single" w:sz="4" w:space="1" w:color="auto"/>
          <w:right w:val="single" w:sz="4" w:space="4" w:color="auto"/>
        </w:pBdr>
        <w:rPr>
          <w:sz w:val="16"/>
          <w:szCs w:val="16"/>
        </w:rPr>
      </w:pPr>
    </w:p>
    <w:p w:rsidR="008B6E16" w:rsidRDefault="008B6E16" w:rsidP="008B6E16">
      <w:pPr>
        <w:pBdr>
          <w:top w:val="single" w:sz="4" w:space="1" w:color="auto"/>
          <w:left w:val="single" w:sz="4" w:space="0" w:color="auto"/>
          <w:bottom w:val="single" w:sz="4" w:space="1" w:color="auto"/>
          <w:right w:val="single" w:sz="4" w:space="4" w:color="auto"/>
        </w:pBdr>
        <w:rPr>
          <w:sz w:val="16"/>
          <w:szCs w:val="16"/>
        </w:rPr>
      </w:pPr>
      <w:r w:rsidRPr="00653FD9">
        <w:rPr>
          <w:sz w:val="16"/>
          <w:szCs w:val="16"/>
        </w:rPr>
        <w:t>Realizo Control y Planificación</w:t>
      </w:r>
      <w:r>
        <w:rPr>
          <w:sz w:val="16"/>
          <w:szCs w:val="16"/>
        </w:rPr>
        <w:t>:</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653FD9">
        <w:rPr>
          <w:sz w:val="16"/>
          <w:szCs w:val="16"/>
        </w:rPr>
        <w:t xml:space="preserve">Aprobó </w:t>
      </w:r>
      <w:r>
        <w:rPr>
          <w:sz w:val="16"/>
          <w:szCs w:val="16"/>
        </w:rPr>
        <w:t xml:space="preserve">Dirección </w:t>
      </w:r>
      <w:r w:rsidRPr="00653FD9">
        <w:rPr>
          <w:sz w:val="16"/>
          <w:szCs w:val="16"/>
        </w:rPr>
        <w:t>C.T.O.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Mesa de Ayuda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812184"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812184">
        <w:rPr>
          <w:sz w:val="16"/>
          <w:szCs w:val="16"/>
        </w:rPr>
        <w:t>Espacios Físicos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Default="008B6E16" w:rsidP="008B6E16">
      <w:pPr>
        <w:pBdr>
          <w:top w:val="single" w:sz="4" w:space="1" w:color="auto"/>
          <w:left w:val="single" w:sz="4" w:space="0" w:color="auto"/>
          <w:bottom w:val="single" w:sz="4" w:space="1" w:color="auto"/>
          <w:right w:val="single" w:sz="4" w:space="4" w:color="auto"/>
        </w:pBdr>
        <w:rPr>
          <w:sz w:val="16"/>
          <w:szCs w:val="16"/>
        </w:rPr>
      </w:pPr>
      <w:r>
        <w:rPr>
          <w:sz w:val="16"/>
          <w:szCs w:val="16"/>
        </w:rPr>
        <w:t>Seguridad</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sidRPr="00653FD9">
        <w:rPr>
          <w:sz w:val="16"/>
          <w:szCs w:val="16"/>
        </w:rPr>
        <w:tab/>
      </w:r>
    </w:p>
    <w:p w:rsidR="008B6E16" w:rsidRDefault="008B6E16" w:rsidP="008B6E16">
      <w:pPr>
        <w:pBdr>
          <w:top w:val="single" w:sz="4" w:space="1" w:color="auto"/>
          <w:left w:val="single" w:sz="4" w:space="0" w:color="auto"/>
          <w:bottom w:val="single" w:sz="4" w:space="1" w:color="auto"/>
          <w:right w:val="single" w:sz="4" w:space="4" w:color="auto"/>
        </w:pBdr>
        <w:rPr>
          <w:sz w:val="16"/>
          <w:szCs w:val="16"/>
          <w:u w:val="single"/>
        </w:rPr>
      </w:pPr>
      <w:r>
        <w:rPr>
          <w:sz w:val="16"/>
          <w:szCs w:val="16"/>
        </w:rPr>
        <w:t>Servicios Generales</w:t>
      </w:r>
      <w:r w:rsidRPr="00653FD9">
        <w:rPr>
          <w:sz w:val="16"/>
          <w:szCs w:val="16"/>
        </w:rPr>
        <w:t xml:space="preserve"> (firma y aclaración)</w:t>
      </w:r>
      <w:r>
        <w:rPr>
          <w:sz w:val="16"/>
          <w:szCs w:val="16"/>
        </w:rPr>
        <w: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Operativa &amp; Logística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sidRPr="001F1CAE">
        <w:rPr>
          <w:sz w:val="16"/>
          <w:szCs w:val="16"/>
        </w:rPr>
        <w:t>Mantenimiento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rPr>
          <w:sz w:val="16"/>
          <w:szCs w:val="16"/>
          <w:u w:val="single"/>
        </w:rPr>
      </w:pPr>
      <w:r>
        <w:rPr>
          <w:sz w:val="16"/>
          <w:szCs w:val="16"/>
        </w:rPr>
        <w:t>Administración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rsidR="008B6E16" w:rsidRPr="001F1CAE" w:rsidRDefault="008B6E16" w:rsidP="008B6E16">
      <w:pPr>
        <w:pBdr>
          <w:top w:val="single" w:sz="4" w:space="1" w:color="auto"/>
          <w:left w:val="single" w:sz="4" w:space="0" w:color="auto"/>
          <w:bottom w:val="single" w:sz="4" w:space="1" w:color="auto"/>
          <w:right w:val="single" w:sz="4" w:space="4" w:color="auto"/>
        </w:pBdr>
      </w:pPr>
      <w:r>
        <w:rPr>
          <w:sz w:val="16"/>
          <w:szCs w:val="16"/>
        </w:rPr>
        <w:t>Higiene y Seguridad de las Personas (firma y aclaración):</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rPr>
        <w:tab/>
      </w:r>
    </w:p>
    <w:p w:rsidR="008B6E16" w:rsidRPr="009042BE" w:rsidRDefault="008B6E16" w:rsidP="008B6E16">
      <w:pPr>
        <w:pBdr>
          <w:top w:val="single" w:sz="4" w:space="1" w:color="auto"/>
          <w:left w:val="single" w:sz="4" w:space="0" w:color="auto"/>
          <w:bottom w:val="single" w:sz="4" w:space="1" w:color="auto"/>
          <w:right w:val="single" w:sz="4" w:space="4" w:color="auto"/>
        </w:pBdr>
        <w:rPr>
          <w:b/>
          <w:sz w:val="16"/>
          <w:szCs w:val="16"/>
          <w:u w:val="single"/>
        </w:rPr>
      </w:pPr>
      <w:r w:rsidRPr="009042BE">
        <w:rPr>
          <w:sz w:val="16"/>
          <w:szCs w:val="16"/>
        </w:rPr>
        <w:t xml:space="preserve">Fecha de Emisión: </w:t>
      </w:r>
      <w:r w:rsidRPr="009042BE">
        <w:rPr>
          <w:sz w:val="16"/>
          <w:szCs w:val="16"/>
          <w:u w:val="single"/>
        </w:rPr>
        <w:tab/>
      </w:r>
      <w:r w:rsidRPr="009042BE">
        <w:rPr>
          <w:sz w:val="16"/>
          <w:szCs w:val="16"/>
          <w:u w:val="single"/>
        </w:rPr>
        <w:tab/>
      </w:r>
      <w:r w:rsidRPr="009042BE">
        <w:rPr>
          <w:sz w:val="16"/>
          <w:szCs w:val="16"/>
          <w:u w:val="single"/>
        </w:rPr>
        <w:tab/>
      </w:r>
      <w:r>
        <w:rPr>
          <w:sz w:val="16"/>
          <w:szCs w:val="16"/>
          <w:u w:val="single"/>
        </w:rPr>
        <w:tab/>
      </w:r>
      <w:r>
        <w:rPr>
          <w:sz w:val="16"/>
          <w:szCs w:val="16"/>
          <w:u w:val="single"/>
        </w:rPr>
        <w:tab/>
      </w:r>
      <w:r>
        <w:rPr>
          <w:sz w:val="16"/>
          <w:szCs w:val="16"/>
        </w:rPr>
        <w:tab/>
      </w:r>
      <w:r>
        <w:rPr>
          <w:sz w:val="16"/>
          <w:szCs w:val="16"/>
        </w:rPr>
        <w:tab/>
      </w:r>
      <w:r>
        <w:rPr>
          <w:sz w:val="16"/>
          <w:szCs w:val="16"/>
        </w:rPr>
        <w:tab/>
      </w:r>
      <w:r>
        <w:rPr>
          <w:sz w:val="16"/>
          <w:szCs w:val="16"/>
        </w:rPr>
        <w:tab/>
      </w:r>
      <w:r>
        <w:rPr>
          <w:sz w:val="16"/>
          <w:szCs w:val="16"/>
        </w:rPr>
        <w:tab/>
      </w:r>
      <w:r w:rsidRPr="009042BE">
        <w:rPr>
          <w:sz w:val="16"/>
          <w:szCs w:val="16"/>
        </w:rPr>
        <w:t>Fecha de Revisión:</w:t>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bookmarkEnd w:id="0"/>
    <w:p w:rsidR="00DE7472" w:rsidRDefault="00DE7472" w:rsidP="00B36A87">
      <w:pPr>
        <w:rPr>
          <w:b/>
        </w:rPr>
      </w:pPr>
      <w:r>
        <w:rPr>
          <w:b/>
        </w:rPr>
        <w:lastRenderedPageBreak/>
        <w:t>Generalidades</w:t>
      </w:r>
    </w:p>
    <w:p w:rsidR="00DE7472" w:rsidRDefault="00DE7472" w:rsidP="00DE7472">
      <w:pPr>
        <w:spacing w:after="0"/>
        <w:rPr>
          <w:sz w:val="20"/>
          <w:szCs w:val="20"/>
        </w:rPr>
      </w:pPr>
      <w:r>
        <w:rPr>
          <w:rFonts w:eastAsia="Gotham Light" w:cs="Gotham Light"/>
        </w:rPr>
        <w:t>Este procedimiento procura definir los c</w:t>
      </w:r>
      <w:r w:rsidRPr="00827D0C">
        <w:rPr>
          <w:rFonts w:eastAsia="Gotham Light" w:cs="Gotham Light"/>
        </w:rPr>
        <w:t>riterios</w:t>
      </w:r>
      <w:r>
        <w:rPr>
          <w:rFonts w:eastAsia="Gotham Light" w:cs="Gotham Light"/>
        </w:rPr>
        <w:t xml:space="preserve"> y formato de</w:t>
      </w:r>
      <w:r w:rsidRPr="00827D0C">
        <w:rPr>
          <w:rFonts w:eastAsia="Gotham Light" w:cs="Gotham Light"/>
        </w:rPr>
        <w:t xml:space="preserve"> Evaluación de Proveedores</w:t>
      </w:r>
      <w:r w:rsidRPr="00827D0C">
        <w:t xml:space="preserve"> </w:t>
      </w:r>
      <w:r>
        <w:t>activos</w:t>
      </w:r>
      <w:r>
        <w:rPr>
          <w:sz w:val="20"/>
          <w:szCs w:val="20"/>
        </w:rPr>
        <w:t xml:space="preserve"> que resuelvan requerimientos y/o presten servicios para el CCK dentro del Área de injerencia y supervisión de la CTO y con el propósito de:</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Retroalimentar al proceso de aprovisionamiento</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 xml:space="preserve">Permitir la identificación de brechas en la gestión de los proveedores y de nuestra gestión </w:t>
      </w:r>
    </w:p>
    <w:p w:rsidR="00DE7472" w:rsidRDefault="00DE7472" w:rsidP="00DE7472">
      <w:pPr>
        <w:numPr>
          <w:ilvl w:val="0"/>
          <w:numId w:val="23"/>
        </w:numPr>
        <w:spacing w:after="0" w:line="259" w:lineRule="auto"/>
        <w:ind w:hanging="360"/>
        <w:contextualSpacing/>
      </w:pPr>
      <w:r>
        <w:rPr>
          <w:rFonts w:ascii="Calibri" w:eastAsia="Calibri" w:hAnsi="Calibri" w:cs="Calibri"/>
          <w:sz w:val="20"/>
          <w:szCs w:val="20"/>
        </w:rPr>
        <w:t>Obtener recursos/servicios que cumplan con los requerimientos de calidad y funcionamiento operativos requeridos.</w:t>
      </w:r>
    </w:p>
    <w:p w:rsidR="00DE7472" w:rsidRDefault="00DE7472" w:rsidP="00DE7472">
      <w:pPr>
        <w:numPr>
          <w:ilvl w:val="0"/>
          <w:numId w:val="23"/>
        </w:numPr>
        <w:spacing w:after="160" w:line="259" w:lineRule="auto"/>
        <w:ind w:hanging="360"/>
        <w:contextualSpacing/>
      </w:pPr>
      <w:r>
        <w:rPr>
          <w:rFonts w:ascii="Calibri" w:eastAsia="Calibri" w:hAnsi="Calibri" w:cs="Calibri"/>
          <w:sz w:val="20"/>
          <w:szCs w:val="20"/>
        </w:rPr>
        <w:t xml:space="preserve">Contar con un sistema de evaluación organizacional </w:t>
      </w:r>
    </w:p>
    <w:p w:rsidR="00DE7472" w:rsidRDefault="00DE7472" w:rsidP="00B36A87">
      <w:pPr>
        <w:rPr>
          <w:b/>
        </w:rPr>
      </w:pPr>
    </w:p>
    <w:p w:rsidR="00B36A87" w:rsidRDefault="00B36A87" w:rsidP="00B36A87">
      <w:pPr>
        <w:rPr>
          <w:b/>
        </w:rPr>
      </w:pPr>
      <w:r>
        <w:rPr>
          <w:b/>
        </w:rPr>
        <w:t>Definición</w:t>
      </w:r>
    </w:p>
    <w:p w:rsidR="00B36A87" w:rsidRPr="00EC26F0" w:rsidRDefault="00B36A87" w:rsidP="00B36A87">
      <w:pPr>
        <w:jc w:val="both"/>
      </w:pPr>
      <w:r>
        <w:t>A los fines de definir un procedimiento para la evaluación de proveedores en el ámbito de injerencia de la CTO, se entenderá el mismo como u</w:t>
      </w:r>
      <w:r w:rsidRPr="00EC26F0">
        <w:t xml:space="preserve">n </w:t>
      </w:r>
      <w:r>
        <w:t>“</w:t>
      </w:r>
      <w:r w:rsidRPr="00EC26F0">
        <w:t>proceso permanente</w:t>
      </w:r>
      <w:r>
        <w:t>”</w:t>
      </w:r>
      <w:r w:rsidRPr="00EC26F0">
        <w:t xml:space="preserve">, en el cual el proveedor evaluado y calificado, mantiene su expediente activo mientras dure su prestación.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Se decide realizar una evaluación anual de proveedores pudiendo revisar la periodicidad en función de las necesidades vigentes; ante incumplimientos reiterados, o a criterio de la Coordinación/CTO.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Calidad recaba la información de parte de los responsables (2)</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El informe del proveedor es confidencial y por ningún motivo será de conocimiento de otros proveedores.</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compartirá con el Proveedor el resultado de la evaluación; y si la puntuación final fuera inferior a 60 puntos, se le solicitara por escrito un plan de acción para atender los criterios que deben ser mejorados. </w:t>
      </w:r>
    </w:p>
    <w:p w:rsidR="00B36A87" w:rsidRPr="00FA0029" w:rsidRDefault="00B36A87" w:rsidP="00B161E6">
      <w:pPr>
        <w:numPr>
          <w:ilvl w:val="0"/>
          <w:numId w:val="25"/>
        </w:numPr>
        <w:spacing w:after="0" w:line="259" w:lineRule="auto"/>
        <w:ind w:hanging="360"/>
        <w:contextualSpacing/>
        <w:jc w:val="both"/>
      </w:pPr>
      <w:r w:rsidRPr="00FA0029">
        <w:rPr>
          <w:rFonts w:ascii="Calibri" w:eastAsia="Calibri" w:hAnsi="Calibri" w:cs="Calibri"/>
        </w:rPr>
        <w:t xml:space="preserve">Se define la Ficha de Evaluación de Proveedores </w:t>
      </w:r>
    </w:p>
    <w:p w:rsidR="00B36A87" w:rsidRDefault="00B36A87" w:rsidP="00B36A87">
      <w:pPr>
        <w:rPr>
          <w:b/>
        </w:rPr>
      </w:pPr>
    </w:p>
    <w:p w:rsidR="00B36A87" w:rsidRPr="00827D0C" w:rsidRDefault="00B36A87" w:rsidP="00B36A87">
      <w:pPr>
        <w:rPr>
          <w:b/>
        </w:rPr>
      </w:pPr>
      <w:r w:rsidRPr="00827D0C">
        <w:rPr>
          <w:b/>
        </w:rPr>
        <w:t>Criterios a evaluar:</w:t>
      </w:r>
    </w:p>
    <w:p w:rsidR="00B36A87" w:rsidRPr="00FA0029" w:rsidRDefault="00B36A87" w:rsidP="00B161E6">
      <w:pPr>
        <w:pStyle w:val="Prrafodelista"/>
        <w:numPr>
          <w:ilvl w:val="0"/>
          <w:numId w:val="24"/>
        </w:numPr>
        <w:rPr>
          <w:sz w:val="20"/>
          <w:szCs w:val="20"/>
        </w:rPr>
      </w:pPr>
      <w:r w:rsidRPr="00FA0029">
        <w:rPr>
          <w:sz w:val="20"/>
          <w:szCs w:val="20"/>
        </w:rPr>
        <w:t>Perfil Comercial:</w:t>
      </w:r>
    </w:p>
    <w:p w:rsidR="00B36A87" w:rsidRDefault="00B36A87" w:rsidP="00B36A87">
      <w:pPr>
        <w:rPr>
          <w:sz w:val="20"/>
          <w:szCs w:val="20"/>
        </w:rPr>
      </w:pPr>
      <w:r>
        <w:rPr>
          <w:sz w:val="20"/>
          <w:szCs w:val="20"/>
        </w:rPr>
        <w:t xml:space="preserve">Tiene por objeto evaluar la disponibilidad y respuesta activa del personal del proveedor ante demandas y situaciones particulares para las que se requiera su atención. Sin perjuicio de que este punto se de aplicación de todo el personal del proveedor que se encuentre en contacto o desempeñando tareas dentro del área de injerencia y supervisión de CTO/CCK;  será especialmente de aplicación a los contactos comerciales, ejecutivos de cuenta o responsables de turno según el caso. </w:t>
      </w:r>
    </w:p>
    <w:p w:rsidR="00B36A87" w:rsidRPr="00FA0029" w:rsidRDefault="00B36A87" w:rsidP="00B36A87">
      <w:r>
        <w:lastRenderedPageBreak/>
        <w:t>El Criterio de aceptación será la” visión y las evidencias” que aporte el responsable/CTO a cargo de la supervisión del servicio/proveedor en cuestión.</w:t>
      </w:r>
    </w:p>
    <w:p w:rsidR="00B36A87" w:rsidRPr="00827D0C" w:rsidRDefault="00B36A87" w:rsidP="00B161E6">
      <w:pPr>
        <w:pStyle w:val="Prrafodelista"/>
        <w:numPr>
          <w:ilvl w:val="0"/>
          <w:numId w:val="24"/>
        </w:numPr>
      </w:pPr>
      <w:r w:rsidRPr="00827D0C">
        <w:rPr>
          <w:sz w:val="20"/>
          <w:szCs w:val="20"/>
        </w:rPr>
        <w:t xml:space="preserve">Cumplimiento de Plazos de Entrega: </w:t>
      </w:r>
    </w:p>
    <w:p w:rsidR="00B36A87" w:rsidRDefault="00B36A87" w:rsidP="00B36A87">
      <w:pPr>
        <w:rPr>
          <w:sz w:val="20"/>
          <w:szCs w:val="20"/>
        </w:rPr>
      </w:pPr>
      <w:r>
        <w:rPr>
          <w:sz w:val="20"/>
          <w:szCs w:val="20"/>
        </w:rPr>
        <w:t xml:space="preserve">Tiene por objeto evaluar el cumplimiento de los Planes y Órdenes de trabajo requeridas según frecuencia y demás especificaciones determinadas por el pliego y/o a demanda de la CTO. Se realiza a través de la confirmación por parte de los usuarios, Informes de Inspección y reportes varios según el caso/servicio.  </w:t>
      </w:r>
    </w:p>
    <w:p w:rsidR="00B36A87" w:rsidRDefault="00B36A87" w:rsidP="00B36A87">
      <w:r>
        <w:rPr>
          <w:sz w:val="20"/>
          <w:szCs w:val="20"/>
        </w:rPr>
        <w:t>El criterio de aceptación será la “constatación de la entregas/cumplimientos según Plan/Orden de Trabajo.</w:t>
      </w:r>
    </w:p>
    <w:p w:rsidR="00B36A87" w:rsidRPr="00827D0C" w:rsidRDefault="00B36A87" w:rsidP="00B161E6">
      <w:pPr>
        <w:pStyle w:val="Prrafodelista"/>
        <w:numPr>
          <w:ilvl w:val="0"/>
          <w:numId w:val="24"/>
        </w:numPr>
      </w:pPr>
      <w:r w:rsidRPr="008D77C3">
        <w:rPr>
          <w:sz w:val="20"/>
          <w:szCs w:val="20"/>
        </w:rPr>
        <w:t xml:space="preserve">Calidad del Producto: </w:t>
      </w:r>
    </w:p>
    <w:p w:rsidR="00B36A87" w:rsidRDefault="00B36A87" w:rsidP="00B36A87">
      <w:pPr>
        <w:rPr>
          <w:sz w:val="20"/>
          <w:szCs w:val="20"/>
        </w:rPr>
      </w:pPr>
      <w:r>
        <w:rPr>
          <w:sz w:val="20"/>
          <w:szCs w:val="20"/>
        </w:rPr>
        <w:t xml:space="preserve">Tiene por objeto evaluar las características funcionales y operativas de los servicios/productos que provee al CCK y ver si cumple con las especificaciones técnicas  de cada requerimiento.  Este tipo de evaluación se realiza con base en la información proporcionada por los Responsables de Áreas. Incluso podría requerirse información de los usuarios directamente (esto último se evalúa a través de la encuesta de satisfacción). </w:t>
      </w:r>
    </w:p>
    <w:p w:rsidR="00B36A87" w:rsidRDefault="00B36A87" w:rsidP="00B36A87">
      <w:r>
        <w:rPr>
          <w:sz w:val="20"/>
          <w:szCs w:val="20"/>
        </w:rPr>
        <w:t>Los criterios de aceptación serán</w:t>
      </w:r>
      <w:proofErr w:type="gramStart"/>
      <w:r>
        <w:rPr>
          <w:sz w:val="20"/>
          <w:szCs w:val="20"/>
        </w:rPr>
        <w:t>:  la</w:t>
      </w:r>
      <w:proofErr w:type="gramEnd"/>
      <w:r>
        <w:rPr>
          <w:sz w:val="20"/>
          <w:szCs w:val="20"/>
        </w:rPr>
        <w:t xml:space="preserve"> “satisfacción” y  la verificación de solicitudes de “re-trabajos” ocasionados por cuestiones atribuibles a errores en el servicio  (no incluye solicitudes de carácter modificativo que se puedan solicitar).</w:t>
      </w:r>
    </w:p>
    <w:p w:rsidR="00B36A87" w:rsidRPr="00EC26F0" w:rsidRDefault="00B36A87" w:rsidP="00B161E6">
      <w:pPr>
        <w:pStyle w:val="Prrafodelista"/>
        <w:numPr>
          <w:ilvl w:val="0"/>
          <w:numId w:val="24"/>
        </w:numPr>
        <w:rPr>
          <w:sz w:val="20"/>
          <w:szCs w:val="20"/>
        </w:rPr>
      </w:pPr>
      <w:r w:rsidRPr="00EC26F0">
        <w:rPr>
          <w:sz w:val="20"/>
          <w:szCs w:val="20"/>
        </w:rPr>
        <w:t xml:space="preserve">Evaluación de la Versatilidad del  Proveedor: Tiene por objeto determinar si el proveedor mantiene o mejora los niveles de calidad esperados en sus servicios y desarrollos y fundamentalmente si se adapta a la actualización de requerimientos/necesidades. </w:t>
      </w:r>
    </w:p>
    <w:p w:rsidR="00B36A87" w:rsidRDefault="00B36A87" w:rsidP="00B36A87">
      <w:pPr>
        <w:rPr>
          <w:sz w:val="20"/>
          <w:szCs w:val="20"/>
        </w:rPr>
      </w:pPr>
      <w:r>
        <w:rPr>
          <w:sz w:val="20"/>
          <w:szCs w:val="20"/>
        </w:rPr>
        <w:t>El criterio de aceptación será la “visión y las evidencias” que puedan aportar los diferentes responsables de áreas, según el caso.</w:t>
      </w:r>
    </w:p>
    <w:p w:rsidR="008B6E16" w:rsidRDefault="008B6E16" w:rsidP="00B36A87">
      <w:pPr>
        <w:rPr>
          <w:sz w:val="20"/>
          <w:szCs w:val="20"/>
        </w:rPr>
      </w:pPr>
    </w:p>
    <w:p w:rsidR="008B6E16" w:rsidRDefault="008B6E16" w:rsidP="00B36A87">
      <w:pPr>
        <w:rPr>
          <w:sz w:val="20"/>
          <w:szCs w:val="20"/>
        </w:rPr>
      </w:pPr>
    </w:p>
    <w:tbl>
      <w:tblPr>
        <w:tblStyle w:val="Tablaconcuadrcula"/>
        <w:tblW w:w="0" w:type="auto"/>
        <w:tblInd w:w="392" w:type="dxa"/>
        <w:tblLook w:val="04A0" w:firstRow="1" w:lastRow="0" w:firstColumn="1" w:lastColumn="0" w:noHBand="0" w:noVBand="1"/>
      </w:tblPr>
      <w:tblGrid>
        <w:gridCol w:w="6336"/>
        <w:gridCol w:w="6421"/>
      </w:tblGrid>
      <w:tr w:rsidR="008B6E16" w:rsidTr="006F6324">
        <w:tc>
          <w:tcPr>
            <w:tcW w:w="6336" w:type="dxa"/>
          </w:tcPr>
          <w:p w:rsidR="008B6E16" w:rsidRPr="00D038E2" w:rsidRDefault="008B6E16" w:rsidP="006F6324">
            <w:pPr>
              <w:jc w:val="both"/>
              <w:rPr>
                <w:sz w:val="12"/>
                <w:szCs w:val="16"/>
                <w:u w:val="single"/>
              </w:rPr>
            </w:pPr>
            <w:bookmarkStart w:id="2" w:name="_Toc446920524"/>
            <w:r w:rsidRPr="00D038E2">
              <w:rPr>
                <w:sz w:val="12"/>
                <w:szCs w:val="16"/>
                <w:u w:val="single"/>
              </w:rPr>
              <w:t>Responsabilidades:</w:t>
            </w:r>
          </w:p>
          <w:p w:rsidR="008B6E16" w:rsidRPr="00D038E2" w:rsidRDefault="008B6E16" w:rsidP="006F6324">
            <w:pPr>
              <w:jc w:val="both"/>
              <w:rPr>
                <w:sz w:val="12"/>
                <w:szCs w:val="16"/>
              </w:rPr>
            </w:pPr>
            <w:r w:rsidRPr="00D038E2">
              <w:rPr>
                <w:sz w:val="12"/>
                <w:szCs w:val="16"/>
              </w:rPr>
              <w:t>1: CTO/Servicios Generales (SG)</w:t>
            </w:r>
          </w:p>
          <w:p w:rsidR="008B6E16" w:rsidRPr="00D038E2" w:rsidRDefault="008B6E16" w:rsidP="006F6324">
            <w:pPr>
              <w:jc w:val="both"/>
              <w:rPr>
                <w:sz w:val="12"/>
                <w:szCs w:val="16"/>
              </w:rPr>
            </w:pPr>
            <w:r w:rsidRPr="00D038E2">
              <w:rPr>
                <w:sz w:val="12"/>
                <w:szCs w:val="16"/>
              </w:rPr>
              <w:t>2: CTO/Planificación y Control</w:t>
            </w:r>
          </w:p>
          <w:p w:rsidR="008B6E16" w:rsidRPr="00D038E2" w:rsidRDefault="008B6E16" w:rsidP="006F6324">
            <w:pPr>
              <w:jc w:val="both"/>
              <w:rPr>
                <w:sz w:val="12"/>
                <w:szCs w:val="16"/>
              </w:rPr>
            </w:pPr>
            <w:r w:rsidRPr="00D038E2">
              <w:rPr>
                <w:sz w:val="12"/>
                <w:szCs w:val="16"/>
              </w:rPr>
              <w:t>3: CTO/Dirección</w:t>
            </w:r>
          </w:p>
          <w:p w:rsidR="008B6E16" w:rsidRPr="00D038E2" w:rsidRDefault="008B6E16" w:rsidP="006F6324">
            <w:pPr>
              <w:jc w:val="both"/>
              <w:rPr>
                <w:sz w:val="12"/>
                <w:szCs w:val="16"/>
              </w:rPr>
            </w:pPr>
            <w:r w:rsidRPr="00D038E2">
              <w:rPr>
                <w:sz w:val="12"/>
                <w:szCs w:val="16"/>
              </w:rPr>
              <w:t>4: CTO/Espacios Físicos (EF)</w:t>
            </w:r>
          </w:p>
          <w:p w:rsidR="008B6E16" w:rsidRPr="00D038E2" w:rsidRDefault="008B6E16" w:rsidP="006F6324">
            <w:pPr>
              <w:jc w:val="both"/>
              <w:rPr>
                <w:sz w:val="12"/>
                <w:szCs w:val="16"/>
              </w:rPr>
            </w:pPr>
            <w:r w:rsidRPr="00D038E2">
              <w:rPr>
                <w:sz w:val="12"/>
                <w:szCs w:val="16"/>
              </w:rPr>
              <w:t>5: CTO/Seguridad</w:t>
            </w:r>
          </w:p>
          <w:p w:rsidR="008B6E16" w:rsidRPr="00D038E2" w:rsidRDefault="008B6E16" w:rsidP="006F6324">
            <w:pPr>
              <w:jc w:val="both"/>
              <w:rPr>
                <w:sz w:val="12"/>
                <w:szCs w:val="16"/>
              </w:rPr>
            </w:pPr>
            <w:r w:rsidRPr="00D038E2">
              <w:rPr>
                <w:sz w:val="12"/>
                <w:szCs w:val="16"/>
              </w:rPr>
              <w:t>6. CTO/Mesa de Ayuda</w:t>
            </w:r>
          </w:p>
          <w:p w:rsidR="008B6E16" w:rsidRPr="00D038E2" w:rsidRDefault="008B6E16" w:rsidP="006F6324">
            <w:pPr>
              <w:jc w:val="both"/>
              <w:rPr>
                <w:sz w:val="12"/>
                <w:szCs w:val="16"/>
              </w:rPr>
            </w:pPr>
            <w:r w:rsidRPr="00D038E2">
              <w:rPr>
                <w:sz w:val="12"/>
                <w:szCs w:val="16"/>
              </w:rPr>
              <w:t>7. CTO/Mantenimiento</w:t>
            </w:r>
          </w:p>
          <w:p w:rsidR="008B6E16" w:rsidRPr="00D038E2" w:rsidRDefault="008B6E16" w:rsidP="006F6324">
            <w:pPr>
              <w:jc w:val="both"/>
              <w:rPr>
                <w:sz w:val="12"/>
                <w:szCs w:val="16"/>
              </w:rPr>
            </w:pPr>
            <w:r w:rsidRPr="00D038E2">
              <w:rPr>
                <w:sz w:val="12"/>
                <w:szCs w:val="16"/>
              </w:rPr>
              <w:t>8. CTO/Higiene y Seguridad de las Personas (</w:t>
            </w:r>
            <w:proofErr w:type="spellStart"/>
            <w:r w:rsidRPr="00D038E2">
              <w:rPr>
                <w:sz w:val="12"/>
                <w:szCs w:val="16"/>
              </w:rPr>
              <w:t>H</w:t>
            </w:r>
            <w:r>
              <w:rPr>
                <w:sz w:val="12"/>
                <w:szCs w:val="16"/>
              </w:rPr>
              <w:t>yS</w:t>
            </w:r>
            <w:proofErr w:type="spellEnd"/>
            <w:r w:rsidRPr="00D038E2">
              <w:rPr>
                <w:sz w:val="12"/>
                <w:szCs w:val="16"/>
              </w:rPr>
              <w:t>)</w:t>
            </w:r>
          </w:p>
          <w:p w:rsidR="008B6E16" w:rsidRPr="00D038E2" w:rsidRDefault="008B6E16" w:rsidP="006F6324">
            <w:pPr>
              <w:jc w:val="both"/>
              <w:rPr>
                <w:sz w:val="12"/>
                <w:szCs w:val="16"/>
              </w:rPr>
            </w:pPr>
            <w:r w:rsidRPr="00D038E2">
              <w:rPr>
                <w:sz w:val="12"/>
                <w:szCs w:val="16"/>
              </w:rPr>
              <w:t xml:space="preserve">9. </w:t>
            </w:r>
            <w:r>
              <w:rPr>
                <w:sz w:val="12"/>
                <w:szCs w:val="16"/>
              </w:rPr>
              <w:t>CTO/</w:t>
            </w:r>
            <w:r w:rsidRPr="00D038E2">
              <w:rPr>
                <w:sz w:val="12"/>
                <w:szCs w:val="16"/>
              </w:rPr>
              <w:t>Logística</w:t>
            </w:r>
          </w:p>
          <w:p w:rsidR="008B6E16" w:rsidRPr="00D038E2" w:rsidRDefault="008B6E16" w:rsidP="006F6324">
            <w:pPr>
              <w:jc w:val="both"/>
              <w:rPr>
                <w:sz w:val="12"/>
                <w:szCs w:val="16"/>
              </w:rPr>
            </w:pPr>
            <w:r w:rsidRPr="00D038E2">
              <w:rPr>
                <w:sz w:val="12"/>
                <w:szCs w:val="16"/>
              </w:rPr>
              <w:t xml:space="preserve">10. </w:t>
            </w:r>
            <w:r>
              <w:rPr>
                <w:sz w:val="12"/>
                <w:szCs w:val="16"/>
              </w:rPr>
              <w:t>CTO/</w:t>
            </w:r>
            <w:r w:rsidRPr="00D038E2">
              <w:rPr>
                <w:sz w:val="12"/>
                <w:szCs w:val="16"/>
              </w:rPr>
              <w:t>Administración</w:t>
            </w:r>
          </w:p>
        </w:tc>
        <w:tc>
          <w:tcPr>
            <w:tcW w:w="6421" w:type="dxa"/>
          </w:tcPr>
          <w:p w:rsidR="008B6E16" w:rsidRDefault="008B6E16" w:rsidP="006F6324">
            <w:pPr>
              <w:jc w:val="both"/>
              <w:rPr>
                <w:sz w:val="16"/>
                <w:szCs w:val="16"/>
                <w:u w:val="single"/>
              </w:rPr>
            </w:pPr>
          </w:p>
          <w:p w:rsidR="008B6E16" w:rsidRDefault="008B6E16" w:rsidP="006F6324">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8B6E16" w:rsidRPr="00376787" w:rsidRDefault="008B6E16" w:rsidP="006F6324">
            <w:pPr>
              <w:jc w:val="both"/>
              <w:rPr>
                <w:sz w:val="16"/>
                <w:szCs w:val="16"/>
              </w:rPr>
            </w:pPr>
          </w:p>
          <w:p w:rsidR="008B6E16" w:rsidRPr="00376787" w:rsidRDefault="008B6E16" w:rsidP="006F6324">
            <w:pPr>
              <w:jc w:val="both"/>
              <w:rPr>
                <w:sz w:val="16"/>
                <w:szCs w:val="16"/>
                <w:u w:val="single"/>
              </w:rPr>
            </w:pPr>
            <w:r w:rsidRPr="00376787">
              <w:rPr>
                <w:sz w:val="16"/>
                <w:szCs w:val="16"/>
                <w:u w:val="single"/>
              </w:rPr>
              <w:t>Normativa de Aplicación</w:t>
            </w:r>
          </w:p>
          <w:p w:rsidR="008B6E16" w:rsidRPr="00376787" w:rsidRDefault="008B6E16" w:rsidP="008B6E16">
            <w:pPr>
              <w:pStyle w:val="Prrafodelista"/>
              <w:numPr>
                <w:ilvl w:val="0"/>
                <w:numId w:val="2"/>
              </w:numPr>
              <w:jc w:val="both"/>
              <w:rPr>
                <w:sz w:val="16"/>
                <w:szCs w:val="16"/>
              </w:rPr>
            </w:pPr>
            <w:r w:rsidRPr="00376787">
              <w:rPr>
                <w:sz w:val="16"/>
                <w:szCs w:val="16"/>
              </w:rPr>
              <w:t>Normativa legal vigente</w:t>
            </w:r>
          </w:p>
          <w:p w:rsidR="008B6E16" w:rsidRDefault="008B6E16" w:rsidP="008B6E16">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8B6E16" w:rsidRPr="00376787" w:rsidRDefault="008B6E16" w:rsidP="008B6E16">
            <w:pPr>
              <w:pStyle w:val="Prrafodelista"/>
              <w:numPr>
                <w:ilvl w:val="0"/>
                <w:numId w:val="2"/>
              </w:numPr>
              <w:jc w:val="both"/>
              <w:rPr>
                <w:sz w:val="16"/>
                <w:szCs w:val="16"/>
              </w:rPr>
            </w:pPr>
            <w:r>
              <w:rPr>
                <w:sz w:val="16"/>
                <w:szCs w:val="16"/>
              </w:rPr>
              <w:t>Otros Procedimientos e Instructivos vinculados.</w:t>
            </w:r>
          </w:p>
          <w:p w:rsidR="008B6E16" w:rsidRPr="00376787" w:rsidRDefault="008B6E16" w:rsidP="006F6324">
            <w:pPr>
              <w:pStyle w:val="Prrafodelista"/>
              <w:jc w:val="both"/>
              <w:rPr>
                <w:sz w:val="16"/>
                <w:szCs w:val="16"/>
              </w:rPr>
            </w:pPr>
          </w:p>
        </w:tc>
      </w:tr>
    </w:tbl>
    <w:p w:rsidR="00B36A87" w:rsidRDefault="00B36A87" w:rsidP="00B36A87">
      <w:pPr>
        <w:pStyle w:val="Ttulo2"/>
      </w:pPr>
      <w:r>
        <w:lastRenderedPageBreak/>
        <w:t>ANEXO I – FICHA DE EVALUACION DE PROVEEDORES (MUESTRA)</w:t>
      </w:r>
      <w:bookmarkEnd w:id="2"/>
    </w:p>
    <w:p w:rsidR="00B36A87" w:rsidRPr="007D372F" w:rsidRDefault="00B36A87" w:rsidP="00B36A87">
      <w:pPr>
        <w:spacing w:after="0"/>
        <w:rPr>
          <w:sz w:val="16"/>
          <w:szCs w:val="16"/>
        </w:rPr>
      </w:pPr>
      <w:r w:rsidRPr="007D372F">
        <w:rPr>
          <w:sz w:val="16"/>
          <w:szCs w:val="16"/>
        </w:rPr>
        <w:t>PROVEEDOR:</w:t>
      </w:r>
      <w:r>
        <w:rPr>
          <w:sz w:val="16"/>
          <w:szCs w:val="16"/>
        </w:rPr>
        <w:t>…………………………………………………………………………………………………………………………………………………………………………………………….</w:t>
      </w:r>
    </w:p>
    <w:p w:rsidR="00B36A87" w:rsidRPr="007D372F" w:rsidRDefault="00B36A87" w:rsidP="00B36A87">
      <w:pPr>
        <w:spacing w:after="0"/>
        <w:rPr>
          <w:sz w:val="16"/>
          <w:szCs w:val="16"/>
        </w:rPr>
      </w:pPr>
      <w:r>
        <w:rPr>
          <w:sz w:val="16"/>
          <w:szCs w:val="16"/>
        </w:rPr>
        <w:t>AREA CTO RESPONSABLE</w:t>
      </w:r>
      <w:r w:rsidRPr="007D372F">
        <w:rPr>
          <w:sz w:val="16"/>
          <w:szCs w:val="16"/>
        </w:rPr>
        <w:t xml:space="preserve">: </w:t>
      </w:r>
      <w:r>
        <w:rPr>
          <w:sz w:val="16"/>
          <w:szCs w:val="16"/>
        </w:rPr>
        <w:t>……………………………………………………………………………………………………………………………………………………………..………...</w:t>
      </w:r>
      <w:r w:rsidRPr="007D372F">
        <w:rPr>
          <w:sz w:val="16"/>
          <w:szCs w:val="16"/>
        </w:rPr>
        <w:t xml:space="preserve"> </w:t>
      </w:r>
    </w:p>
    <w:p w:rsidR="00B36A87" w:rsidRDefault="00B36A87" w:rsidP="00B36A87">
      <w:pPr>
        <w:spacing w:after="0"/>
        <w:rPr>
          <w:sz w:val="16"/>
          <w:szCs w:val="16"/>
        </w:rPr>
      </w:pPr>
      <w:r w:rsidRPr="007D372F">
        <w:rPr>
          <w:sz w:val="16"/>
          <w:szCs w:val="16"/>
        </w:rPr>
        <w:t xml:space="preserve">PERIODO DE EVALUACION: </w:t>
      </w:r>
      <w:r>
        <w:rPr>
          <w:sz w:val="16"/>
          <w:szCs w:val="16"/>
        </w:rPr>
        <w:t>……………………………………………………………………………………………………………………………………………………………………...</w:t>
      </w:r>
    </w:p>
    <w:p w:rsidR="00B36A87" w:rsidRPr="007D372F" w:rsidRDefault="00B36A87" w:rsidP="00B36A87">
      <w:pPr>
        <w:spacing w:after="0"/>
        <w:rPr>
          <w:sz w:val="16"/>
          <w:szCs w:val="16"/>
        </w:rPr>
      </w:pPr>
      <w:r>
        <w:rPr>
          <w:sz w:val="16"/>
          <w:szCs w:val="16"/>
        </w:rPr>
        <w:t>EVALUADOR:…………………………………………………………………………………………………………………………………………………………………………………………….</w:t>
      </w:r>
    </w:p>
    <w:tbl>
      <w:tblPr>
        <w:tblpPr w:leftFromText="141" w:rightFromText="141" w:vertAnchor="text" w:tblpY="1"/>
        <w:tblOverlap w:val="neve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8"/>
        <w:gridCol w:w="1858"/>
        <w:gridCol w:w="2835"/>
        <w:gridCol w:w="2291"/>
      </w:tblGrid>
      <w:tr w:rsidR="00B36A87" w:rsidRPr="004B311A" w:rsidTr="00B36A87">
        <w:trPr>
          <w:trHeight w:val="28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CRITERIO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PESO (Revisar)</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NOTA PONDERADA</w:t>
            </w:r>
          </w:p>
        </w:tc>
        <w:tc>
          <w:tcPr>
            <w:tcW w:w="2291" w:type="dxa"/>
          </w:tcPr>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PUNTUACION</w:t>
            </w:r>
          </w:p>
        </w:tc>
      </w:tr>
      <w:tr w:rsidR="00B36A87" w:rsidRPr="004B311A" w:rsidTr="00B36A87">
        <w:trPr>
          <w:trHeight w:val="300"/>
        </w:trPr>
        <w:tc>
          <w:tcPr>
            <w:tcW w:w="207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Pr>
                <w:rFonts w:ascii="Calibri" w:eastAsia="Calibri" w:hAnsi="Calibri" w:cs="Calibri"/>
                <w:color w:val="000000"/>
                <w:sz w:val="16"/>
                <w:szCs w:val="16"/>
                <w:lang w:val="es-ES" w:eastAsia="es-ES"/>
              </w:rPr>
              <w:t>Perfil</w:t>
            </w:r>
            <w:r w:rsidRPr="004B311A">
              <w:rPr>
                <w:rFonts w:ascii="Calibri" w:eastAsia="Calibri" w:hAnsi="Calibri" w:cs="Calibri"/>
                <w:color w:val="000000"/>
                <w:sz w:val="16"/>
                <w:szCs w:val="16"/>
                <w:lang w:val="es-ES" w:eastAsia="es-ES"/>
              </w:rPr>
              <w:t xml:space="preserve"> Comercial</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28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Cumplimiento Plazos</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Calidad del Producto</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30%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&lt;(PUNTUACION*PESO/100)&gt;</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r w:rsidR="00B36A87" w:rsidRPr="004B311A" w:rsidTr="00B36A87">
        <w:trPr>
          <w:trHeight w:val="300"/>
        </w:trPr>
        <w:tc>
          <w:tcPr>
            <w:tcW w:w="2078" w:type="dxa"/>
          </w:tcPr>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Versatilidad del Proveedor</w:t>
            </w:r>
          </w:p>
        </w:tc>
        <w:tc>
          <w:tcPr>
            <w:tcW w:w="1858"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lang w:val="es-ES" w:eastAsia="es-ES"/>
              </w:rPr>
              <w:t>20%</w:t>
            </w:r>
          </w:p>
        </w:tc>
        <w:tc>
          <w:tcPr>
            <w:tcW w:w="2835" w:type="dxa"/>
          </w:tcPr>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p>
          <w:p w:rsidR="00B36A87" w:rsidRPr="004B311A" w:rsidRDefault="00B36A87" w:rsidP="00B36A87">
            <w:pPr>
              <w:spacing w:after="0" w:line="240" w:lineRule="auto"/>
              <w:jc w:val="center"/>
              <w:rPr>
                <w:rFonts w:ascii="Calibri" w:eastAsia="Calibri" w:hAnsi="Calibri" w:cs="Calibri"/>
                <w:color w:val="000000"/>
                <w:lang w:val="es-ES" w:eastAsia="es-ES"/>
              </w:rPr>
            </w:pPr>
            <w:r w:rsidRPr="004B311A">
              <w:rPr>
                <w:rFonts w:ascii="Calibri" w:eastAsia="Calibri" w:hAnsi="Calibri" w:cs="Calibri"/>
                <w:color w:val="000000"/>
                <w:sz w:val="16"/>
                <w:szCs w:val="16"/>
                <w:lang w:val="es-ES" w:eastAsia="es-ES"/>
              </w:rPr>
              <w:t xml:space="preserve">&lt;(PUNTUACION*PESO/100)&gt; </w:t>
            </w:r>
          </w:p>
        </w:tc>
        <w:tc>
          <w:tcPr>
            <w:tcW w:w="2291" w:type="dxa"/>
          </w:tcPr>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Muy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Bueno</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Regular</w:t>
            </w:r>
          </w:p>
          <w:p w:rsidR="00B36A87" w:rsidRPr="004B311A" w:rsidRDefault="00B36A87" w:rsidP="00B36A87">
            <w:pPr>
              <w:spacing w:after="0" w:line="240" w:lineRule="auto"/>
              <w:rPr>
                <w:rFonts w:ascii="Calibri" w:eastAsia="Calibri" w:hAnsi="Calibri" w:cs="Calibri"/>
                <w:color w:val="000000"/>
                <w:lang w:val="es-ES" w:eastAsia="es-ES"/>
              </w:rPr>
            </w:pPr>
            <w:r w:rsidRPr="004B311A">
              <w:rPr>
                <w:rFonts w:ascii="Calibri" w:eastAsia="Calibri" w:hAnsi="Calibri" w:cs="Calibri"/>
                <w:color w:val="000000"/>
                <w:lang w:val="es-ES" w:eastAsia="es-ES"/>
              </w:rPr>
              <w:t xml:space="preserve">                    Malo</w:t>
            </w:r>
          </w:p>
          <w:p w:rsidR="00B36A87" w:rsidRPr="004B311A" w:rsidRDefault="00B36A87" w:rsidP="00B36A87">
            <w:pPr>
              <w:spacing w:after="0" w:line="240" w:lineRule="auto"/>
              <w:rPr>
                <w:rFonts w:ascii="Calibri" w:eastAsia="Calibri" w:hAnsi="Calibri" w:cs="Calibri"/>
                <w:color w:val="000000"/>
                <w:lang w:val="es-ES" w:eastAsia="es-ES"/>
              </w:rPr>
            </w:pPr>
          </w:p>
        </w:tc>
      </w:tr>
    </w:tbl>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br w:type="textWrapping" w:clear="all"/>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lang w:val="es-ES" w:eastAsia="es-ES"/>
        </w:rPr>
        <w:t>COMENTARIOS:</w:t>
      </w:r>
      <w:r>
        <w:rPr>
          <w:rFonts w:ascii="Calibri" w:eastAsia="Calibri" w:hAnsi="Calibri" w:cs="Calibri"/>
          <w:color w:val="000000"/>
          <w:sz w:val="16"/>
          <w:szCs w:val="16"/>
          <w:lang w:val="es-ES" w:eastAsia="es-ES"/>
        </w:rPr>
        <w:t xml:space="preserve"> ………………………………………………………………………………………………………………………………………………………………………………………… </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2B4791" w:rsidRDefault="00B36A87" w:rsidP="00B36A87">
      <w:pPr>
        <w:tabs>
          <w:tab w:val="left" w:pos="5985"/>
        </w:tabs>
        <w:spacing w:after="0" w:line="259" w:lineRule="auto"/>
        <w:rPr>
          <w:rFonts w:ascii="Calibri" w:eastAsia="Calibri" w:hAnsi="Calibri" w:cs="Calibri"/>
          <w:color w:val="000000"/>
          <w:sz w:val="16"/>
          <w:szCs w:val="16"/>
          <w:lang w:val="es-ES" w:eastAsia="es-ES"/>
        </w:rPr>
      </w:pPr>
      <w:r>
        <w:rPr>
          <w:rFonts w:ascii="Calibri" w:eastAsia="Calibri" w:hAnsi="Calibri" w:cs="Calibri"/>
          <w:color w:val="000000"/>
          <w:sz w:val="16"/>
          <w:szCs w:val="16"/>
          <w:lang w:val="es-ES" w:eastAsia="es-ES"/>
        </w:rPr>
        <w:t>…………………………………………………………………………………………………………………………………………………………………………………………………………………..</w:t>
      </w:r>
    </w:p>
    <w:p w:rsidR="00B36A87" w:rsidRPr="004B311A" w:rsidRDefault="00B36A87" w:rsidP="00B36A87">
      <w:pPr>
        <w:spacing w:after="160" w:line="259" w:lineRule="auto"/>
        <w:rPr>
          <w:rFonts w:ascii="Calibri" w:eastAsia="Calibri" w:hAnsi="Calibri" w:cs="Calibri"/>
          <w:color w:val="000000"/>
          <w:sz w:val="16"/>
          <w:szCs w:val="16"/>
          <w:lang w:val="es-ES" w:eastAsia="es-ES"/>
        </w:rPr>
      </w:pPr>
      <w:r w:rsidRPr="004B311A">
        <w:rPr>
          <w:rFonts w:ascii="Calibri" w:eastAsia="Calibri" w:hAnsi="Calibri" w:cs="Calibri"/>
          <w:color w:val="000000"/>
          <w:sz w:val="16"/>
          <w:szCs w:val="16"/>
          <w:u w:val="single"/>
          <w:lang w:val="es-ES" w:eastAsia="es-ES"/>
        </w:rPr>
        <w:t xml:space="preserve">Escala de Calificación de Desempeño-  Descripción: </w:t>
      </w:r>
    </w:p>
    <w:p w:rsidR="00B36A87" w:rsidRPr="00B36A87" w:rsidRDefault="00B36A87" w:rsidP="00DE7472">
      <w:pPr>
        <w:spacing w:after="160" w:line="259" w:lineRule="auto"/>
        <w:rPr>
          <w:lang w:val="es-ES" w:eastAsia="es-ES"/>
        </w:rPr>
      </w:pPr>
      <w:r w:rsidRPr="004B311A">
        <w:rPr>
          <w:rFonts w:ascii="Calibri" w:eastAsia="Calibri" w:hAnsi="Calibri" w:cs="Calibri"/>
          <w:color w:val="000000"/>
          <w:sz w:val="16"/>
          <w:szCs w:val="16"/>
          <w:lang w:val="es-ES" w:eastAsia="es-ES"/>
        </w:rPr>
        <w:t xml:space="preserve">&gt; 85 – 100 Muy Bueno / &gt; 70 – 85 Bueno / &gt; 60 – 70 Regular / &gt; 0 – 60 Malo </w:t>
      </w:r>
      <w:r>
        <w:rPr>
          <w:rFonts w:ascii="Calibri" w:eastAsia="Calibri" w:hAnsi="Calibri" w:cs="Calibri"/>
          <w:color w:val="000000"/>
          <w:sz w:val="16"/>
          <w:szCs w:val="16"/>
          <w:lang w:val="es-ES" w:eastAsia="es-ES"/>
        </w:rPr>
        <w:t xml:space="preserve"> - </w:t>
      </w:r>
      <w:r w:rsidRPr="004B311A">
        <w:rPr>
          <w:rFonts w:ascii="Calibri" w:eastAsia="Calibri" w:hAnsi="Calibri" w:cs="Calibri"/>
          <w:color w:val="000000"/>
          <w:sz w:val="16"/>
          <w:szCs w:val="16"/>
          <w:lang w:val="es-ES" w:eastAsia="es-ES"/>
        </w:rPr>
        <w:t xml:space="preserve">RESULTADO TOTAL (MAXIMO 100)   </w:t>
      </w:r>
      <w:r>
        <w:rPr>
          <w:rFonts w:ascii="Calibri" w:eastAsia="Calibri" w:hAnsi="Calibri" w:cs="Calibri"/>
          <w:color w:val="000000"/>
          <w:sz w:val="16"/>
          <w:szCs w:val="16"/>
          <w:lang w:val="es-ES" w:eastAsia="es-ES"/>
        </w:rPr>
        <w:t xml:space="preserve">- </w:t>
      </w:r>
      <w:r w:rsidRPr="004B311A">
        <w:rPr>
          <w:rFonts w:ascii="Calibri" w:eastAsia="Calibri" w:hAnsi="Calibri" w:cs="Calibri"/>
          <w:color w:val="000000"/>
          <w:sz w:val="16"/>
          <w:szCs w:val="16"/>
          <w:lang w:val="es-ES" w:eastAsia="es-ES"/>
        </w:rPr>
        <w:t>La evaluación de cada uno de los criterios de desempeño se realiza sobre la base de una escala continua de 0 a 100. Se tomara el valor más beneficioso dentro del rango aplicable para graficar la puntuación final.</w:t>
      </w:r>
    </w:p>
    <w:sectPr w:rsidR="00B36A87" w:rsidRPr="00B36A87"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AAF" w:rsidRDefault="00C42AAF" w:rsidP="0073448C">
      <w:pPr>
        <w:spacing w:after="0" w:line="240" w:lineRule="auto"/>
      </w:pPr>
      <w:r>
        <w:separator/>
      </w:r>
    </w:p>
  </w:endnote>
  <w:endnote w:type="continuationSeparator" w:id="0">
    <w:p w:rsidR="00C42AAF" w:rsidRDefault="00C42AAF"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tham Ligh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204" w:rsidRDefault="00C42AAF"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8E6204">
          <w:rPr>
            <w:i/>
            <w:sz w:val="18"/>
            <w:szCs w:val="18"/>
          </w:rPr>
          <w:t>Este es un documento electrónicamente controlado y publicado.  Cualquier impresión o copia dura debe ser verificada o comparada con la versión electrónica antes de su uso.</w:t>
        </w:r>
        <w:r w:rsidR="008E6204">
          <w:t xml:space="preserve"> </w:t>
        </w:r>
      </w:sdtContent>
    </w:sdt>
    <w:r w:rsidR="008E6204">
      <w:rPr>
        <w:rFonts w:asciiTheme="majorHAnsi" w:eastAsiaTheme="majorEastAsia" w:hAnsiTheme="majorHAnsi" w:cstheme="majorBidi"/>
      </w:rPr>
      <w:ptab w:relativeTo="margin" w:alignment="right" w:leader="none"/>
    </w:r>
    <w:r w:rsidR="008E6204">
      <w:rPr>
        <w:rFonts w:asciiTheme="majorHAnsi" w:eastAsiaTheme="majorEastAsia" w:hAnsiTheme="majorHAnsi" w:cstheme="majorBidi"/>
        <w:lang w:val="es-ES"/>
      </w:rPr>
      <w:t xml:space="preserve">Página </w:t>
    </w:r>
    <w:r w:rsidR="008E6204">
      <w:rPr>
        <w:rFonts w:eastAsiaTheme="minorEastAsia"/>
      </w:rPr>
      <w:fldChar w:fldCharType="begin"/>
    </w:r>
    <w:r w:rsidR="008E6204">
      <w:instrText>PAGE   \* MERGEFORMAT</w:instrText>
    </w:r>
    <w:r w:rsidR="008E6204">
      <w:rPr>
        <w:rFonts w:eastAsiaTheme="minorEastAsia"/>
      </w:rPr>
      <w:fldChar w:fldCharType="separate"/>
    </w:r>
    <w:r w:rsidR="00241140" w:rsidRPr="00241140">
      <w:rPr>
        <w:rFonts w:asciiTheme="majorHAnsi" w:eastAsiaTheme="majorEastAsia" w:hAnsiTheme="majorHAnsi" w:cstheme="majorBidi"/>
        <w:noProof/>
        <w:lang w:val="es-ES"/>
      </w:rPr>
      <w:t>1</w:t>
    </w:r>
    <w:r w:rsidR="008E6204">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AAF" w:rsidRDefault="00C42AAF" w:rsidP="0073448C">
      <w:pPr>
        <w:spacing w:after="0" w:line="240" w:lineRule="auto"/>
      </w:pPr>
      <w:r>
        <w:separator/>
      </w:r>
    </w:p>
  </w:footnote>
  <w:footnote w:type="continuationSeparator" w:id="0">
    <w:p w:rsidR="00C42AAF" w:rsidRDefault="00C42AAF"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F75" w:rsidRDefault="008E6204"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571F75" w:rsidRPr="00571F75" w:rsidRDefault="00571F75" w:rsidP="00B0448C">
    <w:pPr>
      <w:jc w:val="right"/>
      <w:rPr>
        <w:rFonts w:cs="Arial"/>
        <w:sz w:val="24"/>
        <w:szCs w:val="24"/>
      </w:rPr>
    </w:pPr>
    <w:r w:rsidRPr="00571F75">
      <w:rPr>
        <w:rFonts w:cs="Arial"/>
        <w:sz w:val="24"/>
        <w:szCs w:val="24"/>
      </w:rPr>
      <w:t>P</w:t>
    </w:r>
    <w:r w:rsidR="00B0448C">
      <w:rPr>
        <w:rFonts w:cs="Arial"/>
        <w:sz w:val="24"/>
        <w:szCs w:val="24"/>
      </w:rPr>
      <w:t>G 8.6</w:t>
    </w:r>
    <w:r w:rsidR="00241140">
      <w:rPr>
        <w:rFonts w:cs="Arial"/>
        <w:sz w:val="24"/>
        <w:szCs w:val="24"/>
      </w:rPr>
      <w:t xml:space="preserve"> – 1 </w:t>
    </w:r>
    <w:r w:rsidRPr="00571F75">
      <w:rPr>
        <w:rFonts w:cs="Arial"/>
        <w:sz w:val="24"/>
        <w:szCs w:val="24"/>
      </w:rPr>
      <w:t>EVALUACION DE PROVEEDORES</w:t>
    </w:r>
  </w:p>
  <w:p w:rsidR="008E6204" w:rsidRDefault="00C42AAF"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4906400"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18">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19">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0">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5"/>
  </w:num>
  <w:num w:numId="3">
    <w:abstractNumId w:val="33"/>
  </w:num>
  <w:num w:numId="4">
    <w:abstractNumId w:val="18"/>
  </w:num>
  <w:num w:numId="5">
    <w:abstractNumId w:val="6"/>
  </w:num>
  <w:num w:numId="6">
    <w:abstractNumId w:val="24"/>
  </w:num>
  <w:num w:numId="7">
    <w:abstractNumId w:val="17"/>
  </w:num>
  <w:num w:numId="8">
    <w:abstractNumId w:val="12"/>
  </w:num>
  <w:num w:numId="9">
    <w:abstractNumId w:val="16"/>
  </w:num>
  <w:num w:numId="10">
    <w:abstractNumId w:val="38"/>
  </w:num>
  <w:num w:numId="11">
    <w:abstractNumId w:val="3"/>
  </w:num>
  <w:num w:numId="12">
    <w:abstractNumId w:val="29"/>
  </w:num>
  <w:num w:numId="13">
    <w:abstractNumId w:val="7"/>
  </w:num>
  <w:num w:numId="14">
    <w:abstractNumId w:val="0"/>
  </w:num>
  <w:num w:numId="15">
    <w:abstractNumId w:val="15"/>
  </w:num>
  <w:num w:numId="16">
    <w:abstractNumId w:val="23"/>
  </w:num>
  <w:num w:numId="17">
    <w:abstractNumId w:val="2"/>
  </w:num>
  <w:num w:numId="18">
    <w:abstractNumId w:val="8"/>
  </w:num>
  <w:num w:numId="19">
    <w:abstractNumId w:val="22"/>
  </w:num>
  <w:num w:numId="20">
    <w:abstractNumId w:val="22"/>
  </w:num>
  <w:num w:numId="21">
    <w:abstractNumId w:val="10"/>
  </w:num>
  <w:num w:numId="22">
    <w:abstractNumId w:val="25"/>
  </w:num>
  <w:num w:numId="23">
    <w:abstractNumId w:val="36"/>
  </w:num>
  <w:num w:numId="24">
    <w:abstractNumId w:val="11"/>
  </w:num>
  <w:num w:numId="25">
    <w:abstractNumId w:val="19"/>
  </w:num>
  <w:num w:numId="26">
    <w:abstractNumId w:val="20"/>
  </w:num>
  <w:num w:numId="27">
    <w:abstractNumId w:val="32"/>
  </w:num>
  <w:num w:numId="28">
    <w:abstractNumId w:val="27"/>
  </w:num>
  <w:num w:numId="29">
    <w:abstractNumId w:val="35"/>
  </w:num>
  <w:num w:numId="30">
    <w:abstractNumId w:val="21"/>
  </w:num>
  <w:num w:numId="31">
    <w:abstractNumId w:val="9"/>
  </w:num>
  <w:num w:numId="32">
    <w:abstractNumId w:val="26"/>
  </w:num>
  <w:num w:numId="33">
    <w:abstractNumId w:val="37"/>
  </w:num>
  <w:num w:numId="34">
    <w:abstractNumId w:val="31"/>
  </w:num>
  <w:num w:numId="35">
    <w:abstractNumId w:val="4"/>
  </w:num>
  <w:num w:numId="36">
    <w:abstractNumId w:val="13"/>
  </w:num>
  <w:num w:numId="37">
    <w:abstractNumId w:val="1"/>
  </w:num>
  <w:num w:numId="38">
    <w:abstractNumId w:val="30"/>
  </w:num>
  <w:num w:numId="39">
    <w:abstractNumId w:val="34"/>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6D3B"/>
    <w:rsid w:val="00037D4F"/>
    <w:rsid w:val="00052886"/>
    <w:rsid w:val="00060837"/>
    <w:rsid w:val="00066963"/>
    <w:rsid w:val="00073738"/>
    <w:rsid w:val="00081E4F"/>
    <w:rsid w:val="00096B67"/>
    <w:rsid w:val="000A29A7"/>
    <w:rsid w:val="000A505E"/>
    <w:rsid w:val="000B5027"/>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C17D5"/>
    <w:rsid w:val="001D1C2D"/>
    <w:rsid w:val="001E124F"/>
    <w:rsid w:val="001F02E0"/>
    <w:rsid w:val="00216251"/>
    <w:rsid w:val="002265F7"/>
    <w:rsid w:val="0022719A"/>
    <w:rsid w:val="002324A2"/>
    <w:rsid w:val="002365AD"/>
    <w:rsid w:val="0023728F"/>
    <w:rsid w:val="00241140"/>
    <w:rsid w:val="0025085C"/>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10AE6"/>
    <w:rsid w:val="003413AD"/>
    <w:rsid w:val="00351DB5"/>
    <w:rsid w:val="00354966"/>
    <w:rsid w:val="0036650F"/>
    <w:rsid w:val="00366897"/>
    <w:rsid w:val="00376787"/>
    <w:rsid w:val="0038029C"/>
    <w:rsid w:val="00386220"/>
    <w:rsid w:val="003B1806"/>
    <w:rsid w:val="003B4162"/>
    <w:rsid w:val="003C325F"/>
    <w:rsid w:val="003C67B5"/>
    <w:rsid w:val="003D57E2"/>
    <w:rsid w:val="003E2AA3"/>
    <w:rsid w:val="00407323"/>
    <w:rsid w:val="00444506"/>
    <w:rsid w:val="00444B82"/>
    <w:rsid w:val="00461E0B"/>
    <w:rsid w:val="00462E27"/>
    <w:rsid w:val="004652D3"/>
    <w:rsid w:val="004712AD"/>
    <w:rsid w:val="00471C49"/>
    <w:rsid w:val="004769D2"/>
    <w:rsid w:val="004778E1"/>
    <w:rsid w:val="00485B94"/>
    <w:rsid w:val="00486E46"/>
    <w:rsid w:val="00493B31"/>
    <w:rsid w:val="004945A2"/>
    <w:rsid w:val="00497A78"/>
    <w:rsid w:val="004A5419"/>
    <w:rsid w:val="004B311A"/>
    <w:rsid w:val="004B6B09"/>
    <w:rsid w:val="004D1489"/>
    <w:rsid w:val="004D378D"/>
    <w:rsid w:val="004E2694"/>
    <w:rsid w:val="004F11CC"/>
    <w:rsid w:val="004F3AC3"/>
    <w:rsid w:val="004F6E23"/>
    <w:rsid w:val="0050062F"/>
    <w:rsid w:val="00502B00"/>
    <w:rsid w:val="005048F6"/>
    <w:rsid w:val="00505616"/>
    <w:rsid w:val="0052004D"/>
    <w:rsid w:val="00523231"/>
    <w:rsid w:val="005257EC"/>
    <w:rsid w:val="00526AFD"/>
    <w:rsid w:val="00533B3C"/>
    <w:rsid w:val="005403CD"/>
    <w:rsid w:val="00543584"/>
    <w:rsid w:val="0054628C"/>
    <w:rsid w:val="00554F60"/>
    <w:rsid w:val="00557C7B"/>
    <w:rsid w:val="00564354"/>
    <w:rsid w:val="00571F75"/>
    <w:rsid w:val="00572376"/>
    <w:rsid w:val="0057290F"/>
    <w:rsid w:val="005845E9"/>
    <w:rsid w:val="005A29CA"/>
    <w:rsid w:val="005C627B"/>
    <w:rsid w:val="005E1C1C"/>
    <w:rsid w:val="005E499A"/>
    <w:rsid w:val="005F2D63"/>
    <w:rsid w:val="0061045B"/>
    <w:rsid w:val="00610EB6"/>
    <w:rsid w:val="0061357B"/>
    <w:rsid w:val="00613D31"/>
    <w:rsid w:val="006140BD"/>
    <w:rsid w:val="00625DA5"/>
    <w:rsid w:val="006266CF"/>
    <w:rsid w:val="00630A51"/>
    <w:rsid w:val="00631E08"/>
    <w:rsid w:val="006446C4"/>
    <w:rsid w:val="00656D14"/>
    <w:rsid w:val="006643F3"/>
    <w:rsid w:val="00665DDB"/>
    <w:rsid w:val="0067113D"/>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7749E"/>
    <w:rsid w:val="0088540F"/>
    <w:rsid w:val="00886BD2"/>
    <w:rsid w:val="008940DF"/>
    <w:rsid w:val="0089432F"/>
    <w:rsid w:val="008A2A9F"/>
    <w:rsid w:val="008B6E16"/>
    <w:rsid w:val="008B6FCE"/>
    <w:rsid w:val="008C3338"/>
    <w:rsid w:val="008D4912"/>
    <w:rsid w:val="008D77C3"/>
    <w:rsid w:val="008E6204"/>
    <w:rsid w:val="008F1811"/>
    <w:rsid w:val="008F7D18"/>
    <w:rsid w:val="00905FB8"/>
    <w:rsid w:val="00913565"/>
    <w:rsid w:val="00914AB1"/>
    <w:rsid w:val="009170BB"/>
    <w:rsid w:val="00920861"/>
    <w:rsid w:val="0092108A"/>
    <w:rsid w:val="00924A99"/>
    <w:rsid w:val="0093026E"/>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552C"/>
    <w:rsid w:val="009F794D"/>
    <w:rsid w:val="00A201B1"/>
    <w:rsid w:val="00A22F24"/>
    <w:rsid w:val="00A26DC9"/>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48C"/>
    <w:rsid w:val="00B046CD"/>
    <w:rsid w:val="00B1451C"/>
    <w:rsid w:val="00B161E6"/>
    <w:rsid w:val="00B31B44"/>
    <w:rsid w:val="00B36A87"/>
    <w:rsid w:val="00B604CB"/>
    <w:rsid w:val="00B61BBA"/>
    <w:rsid w:val="00B623E0"/>
    <w:rsid w:val="00B66313"/>
    <w:rsid w:val="00B730B3"/>
    <w:rsid w:val="00B77B05"/>
    <w:rsid w:val="00B834AE"/>
    <w:rsid w:val="00BB2B6B"/>
    <w:rsid w:val="00BC1D9C"/>
    <w:rsid w:val="00BC47F1"/>
    <w:rsid w:val="00BC4FF1"/>
    <w:rsid w:val="00BC7F19"/>
    <w:rsid w:val="00BD631E"/>
    <w:rsid w:val="00BE4979"/>
    <w:rsid w:val="00BF5E49"/>
    <w:rsid w:val="00C034D4"/>
    <w:rsid w:val="00C06E90"/>
    <w:rsid w:val="00C078BA"/>
    <w:rsid w:val="00C157A1"/>
    <w:rsid w:val="00C17368"/>
    <w:rsid w:val="00C204EC"/>
    <w:rsid w:val="00C2124B"/>
    <w:rsid w:val="00C2632E"/>
    <w:rsid w:val="00C26F81"/>
    <w:rsid w:val="00C31321"/>
    <w:rsid w:val="00C42AAF"/>
    <w:rsid w:val="00C4549A"/>
    <w:rsid w:val="00C50022"/>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E7472"/>
    <w:rsid w:val="00DF06EA"/>
    <w:rsid w:val="00DF5EB5"/>
    <w:rsid w:val="00E027CD"/>
    <w:rsid w:val="00E07964"/>
    <w:rsid w:val="00E07A16"/>
    <w:rsid w:val="00E14562"/>
    <w:rsid w:val="00E218FF"/>
    <w:rsid w:val="00E25F69"/>
    <w:rsid w:val="00E34BA6"/>
    <w:rsid w:val="00E45936"/>
    <w:rsid w:val="00E45B75"/>
    <w:rsid w:val="00E5017F"/>
    <w:rsid w:val="00E70EE5"/>
    <w:rsid w:val="00E73310"/>
    <w:rsid w:val="00E85CED"/>
    <w:rsid w:val="00E86593"/>
    <w:rsid w:val="00E90306"/>
    <w:rsid w:val="00E90326"/>
    <w:rsid w:val="00E93583"/>
    <w:rsid w:val="00E9438C"/>
    <w:rsid w:val="00EA1110"/>
    <w:rsid w:val="00EA373D"/>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66C34"/>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9331A-9BD7-4EAE-964C-09BB73E3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11</cp:revision>
  <cp:lastPrinted>2016-04-14T18:06:00Z</cp:lastPrinted>
  <dcterms:created xsi:type="dcterms:W3CDTF">2016-04-08T11:43:00Z</dcterms:created>
  <dcterms:modified xsi:type="dcterms:W3CDTF">2016-05-16T15:20:00Z</dcterms:modified>
</cp:coreProperties>
</file>