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3023A0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 xml:space="preserve">PI 8.6 – 5 GESTION </w:t>
      </w:r>
      <w:r w:rsidR="00933178">
        <w:rPr>
          <w:rFonts w:cs="Arial"/>
          <w:sz w:val="28"/>
          <w:szCs w:val="28"/>
          <w:lang w:val="es-ES" w:eastAsia="es-ES"/>
        </w:rPr>
        <w:t>DE TICKETS</w:t>
      </w:r>
      <w:r>
        <w:rPr>
          <w:rFonts w:cs="Arial"/>
          <w:sz w:val="28"/>
          <w:szCs w:val="28"/>
          <w:lang w:val="es-ES" w:eastAsia="es-ES"/>
        </w:rPr>
        <w:t xml:space="preserve"> DE MESA</w:t>
      </w:r>
      <w:r w:rsidR="00933178">
        <w:rPr>
          <w:rFonts w:cs="Arial"/>
          <w:sz w:val="28"/>
          <w:szCs w:val="28"/>
          <w:lang w:val="es-ES" w:eastAsia="es-ES"/>
        </w:rPr>
        <w:t xml:space="preserve"> 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  <w:r w:rsidR="007C3AA8">
        <w:rPr>
          <w:rFonts w:cs="Arial"/>
          <w:i/>
        </w:rPr>
        <w:t xml:space="preserve"> que reciba Mesa de Ayuda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</w:t>
      </w:r>
      <w:r w:rsidR="0099265E">
        <w:rPr>
          <w:rFonts w:cstheme="minorHAnsi"/>
          <w:color w:val="222222"/>
          <w:shd w:val="clear" w:color="auto" w:fill="FFFFFF"/>
        </w:rPr>
        <w:t>“</w:t>
      </w:r>
      <w:r w:rsidR="007E777A">
        <w:rPr>
          <w:rFonts w:cstheme="minorHAnsi"/>
          <w:color w:val="222222"/>
          <w:shd w:val="clear" w:color="auto" w:fill="FFFFFF"/>
        </w:rPr>
        <w:t>pedidos, requerimientos y reclamos</w:t>
      </w:r>
      <w:r w:rsidR="0099265E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 xml:space="preserve">on generalmente pedidos de limpieza, mantenimiento, </w:t>
      </w:r>
      <w:r w:rsidR="00EF3326">
        <w:rPr>
          <w:shd w:val="clear" w:color="auto" w:fill="FFFFFF"/>
        </w:rPr>
        <w:t xml:space="preserve">operativa y </w:t>
      </w:r>
      <w:r w:rsidR="003527EF" w:rsidRPr="004F06A4">
        <w:rPr>
          <w:shd w:val="clear" w:color="auto" w:fill="FFFFFF"/>
        </w:rPr>
        <w:t>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</w:t>
      </w:r>
      <w:r w:rsidR="00EF3326">
        <w:rPr>
          <w:shd w:val="clear" w:color="auto" w:fill="FFFFFF"/>
        </w:rPr>
        <w:t>varias</w:t>
      </w:r>
      <w:r w:rsidRPr="004F06A4">
        <w:rPr>
          <w:shd w:val="clear" w:color="auto" w:fill="FFFFFF"/>
        </w:rPr>
        <w:t xml:space="preserve">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 xml:space="preserve">la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E50367" w:rsidRPr="00E50367" w:rsidRDefault="003527EF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FE3565">
        <w:t>de la Dirección para las diferentes Áreas de la CTO implicadas en necesidades específicas para Eventos</w:t>
      </w:r>
      <w:r w:rsidR="004F06A4">
        <w:t xml:space="preserve">. Las mismas deberían corresponderse con las </w:t>
      </w:r>
      <w:r w:rsidR="00FE3565">
        <w:t>requeridas por el Área de</w:t>
      </w:r>
      <w:r w:rsidR="004F06A4">
        <w:t xml:space="preserve"> Producción</w:t>
      </w:r>
      <w:r w:rsidR="00E50367">
        <w:t xml:space="preserve"> y en un todo de acuerdo al </w:t>
      </w:r>
      <w:r w:rsidR="00E50367" w:rsidRPr="00E50367">
        <w:rPr>
          <w:b/>
          <w:i/>
        </w:rPr>
        <w:t>“PG 8.</w:t>
      </w:r>
      <w:r w:rsidR="00FE3565">
        <w:rPr>
          <w:b/>
          <w:i/>
        </w:rPr>
        <w:t>6</w:t>
      </w:r>
      <w:r w:rsidR="00E50367" w:rsidRPr="00E50367">
        <w:rPr>
          <w:b/>
          <w:i/>
        </w:rPr>
        <w:t xml:space="preserve"> – 5 Gestión para Eventos”</w:t>
      </w:r>
      <w:bookmarkStart w:id="1" w:name="_GoBack"/>
      <w:bookmarkEnd w:id="1"/>
    </w:p>
    <w:p w:rsidR="00E50367" w:rsidRPr="00E50367" w:rsidRDefault="00E50367" w:rsidP="00E50367">
      <w:pPr>
        <w:pStyle w:val="Prrafodelista"/>
        <w:rPr>
          <w:rFonts w:ascii="Calibri" w:hAnsi="Calibri" w:cs="Arial"/>
          <w:i/>
        </w:rPr>
      </w:pPr>
    </w:p>
    <w:p w:rsidR="00E50367" w:rsidRPr="00E50367" w:rsidRDefault="00E50367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 w:rsidRPr="00E50367">
        <w:rPr>
          <w:rFonts w:ascii="Calibri" w:hAnsi="Calibri"/>
          <w:b/>
        </w:rPr>
        <w:t xml:space="preserve">La cobertura horaria </w:t>
      </w:r>
      <w:r w:rsidR="007C3AA8">
        <w:rPr>
          <w:rFonts w:ascii="Calibri" w:hAnsi="Calibri"/>
          <w:b/>
        </w:rPr>
        <w:t xml:space="preserve">de Mesa de Ayuda </w:t>
      </w:r>
      <w:r w:rsidRPr="00E50367">
        <w:rPr>
          <w:rFonts w:ascii="Calibri" w:hAnsi="Calibri"/>
          <w:b/>
        </w:rPr>
        <w:t>es la prevista para el Ce</w:t>
      </w:r>
      <w:r w:rsidR="007C3AA8">
        <w:rPr>
          <w:rFonts w:ascii="Calibri" w:hAnsi="Calibri"/>
          <w:b/>
        </w:rPr>
        <w:t xml:space="preserve">ntro cultural de 07hs a 24hs. </w:t>
      </w:r>
      <w:r w:rsidRPr="00E50367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  <w:r w:rsidRPr="00F743F8">
        <w:t>“</w:t>
      </w:r>
      <w:r w:rsidR="00E445D3">
        <w:t>Generación</w:t>
      </w:r>
      <w:r w:rsidR="00330754">
        <w:t xml:space="preserve"> de Ticket</w:t>
      </w:r>
      <w:r w:rsidR="001407C5">
        <w:t>”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330754">
        <w:rPr>
          <w:rFonts w:cstheme="minorHAnsi"/>
          <w:color w:val="222222"/>
          <w:shd w:val="clear" w:color="auto" w:fill="FFFFFF"/>
        </w:rPr>
        <w:t>le corresponderá un ticket o</w:t>
      </w:r>
      <w:r>
        <w:rPr>
          <w:rFonts w:cstheme="minorHAnsi"/>
          <w:color w:val="222222"/>
          <w:shd w:val="clear" w:color="auto" w:fill="FFFFFF"/>
        </w:rPr>
        <w:t xml:space="preserve"> “Petición”.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1410BA">
        <w:t>en el Ticket</w:t>
      </w:r>
      <w:r w:rsidR="0099265E">
        <w:t xml:space="preserve"> o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0E68F9">
        <w:t xml:space="preserve">en que se genera </w:t>
      </w:r>
      <w:r w:rsidRPr="00555857">
        <w:t xml:space="preserve">la solicitud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Nombre y Apellido de la persona que </w:t>
      </w:r>
      <w:r w:rsidR="000E68F9">
        <w:t>hace el pedido</w:t>
      </w:r>
      <w:r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27440B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NUEVA: Cuando se da de alta en el sistema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lastRenderedPageBreak/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E185E">
        <w:rPr>
          <w:b/>
        </w:rPr>
        <w:t>BANDEJA DE ENTRADA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0D6BD5">
        <w:rPr>
          <w:b/>
        </w:rPr>
        <w:t>BANDEJA DE ENTRADA”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24673" wp14:editId="2A1561C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B1917B" wp14:editId="6827003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40F4DC" wp14:editId="45FE6773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="00875665">
              <w:rPr>
                <w:sz w:val="16"/>
                <w:szCs w:val="16"/>
              </w:rPr>
              <w:t xml:space="preserve"> </w:t>
            </w:r>
            <w:r w:rsidRPr="00D10EC2">
              <w:rPr>
                <w:sz w:val="16"/>
                <w:szCs w:val="16"/>
              </w:rPr>
              <w:t xml:space="preserve">generara la solicitud en el 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FD770B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FD770B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FD770B" w:rsidRPr="00FD770B">
              <w:rPr>
                <w:sz w:val="16"/>
                <w:szCs w:val="16"/>
              </w:rPr>
              <w:t>Se aclara</w:t>
            </w:r>
            <w:r w:rsidR="00FD770B">
              <w:rPr>
                <w:sz w:val="16"/>
                <w:szCs w:val="16"/>
              </w:rPr>
              <w:t xml:space="preserve"> que, </w:t>
            </w:r>
            <w:r w:rsidR="00FD770B" w:rsidRPr="00FD770B">
              <w:rPr>
                <w:sz w:val="16"/>
                <w:szCs w:val="16"/>
              </w:rPr>
              <w:t xml:space="preserve">Mesa de Ayuda podrá considerar “RESUELTA” </w:t>
            </w:r>
            <w:r w:rsidR="00FD770B">
              <w:rPr>
                <w:sz w:val="16"/>
                <w:szCs w:val="16"/>
              </w:rPr>
              <w:t xml:space="preserve">la tarea </w:t>
            </w:r>
            <w:r w:rsidR="00FD770B" w:rsidRPr="00FD770B">
              <w:rPr>
                <w:sz w:val="16"/>
                <w:szCs w:val="16"/>
              </w:rPr>
              <w:t>sol</w:t>
            </w:r>
            <w:r w:rsidR="00FD770B">
              <w:rPr>
                <w:sz w:val="16"/>
                <w:szCs w:val="16"/>
              </w:rPr>
              <w:t>amente</w:t>
            </w:r>
            <w:r w:rsidR="00FD770B" w:rsidRPr="00FD770B">
              <w:rPr>
                <w:sz w:val="16"/>
                <w:szCs w:val="16"/>
              </w:rPr>
              <w:t xml:space="preserve"> en virtud de impedimentos o cuestiones técnicas</w:t>
            </w:r>
            <w:r w:rsidR="00FD770B">
              <w:rPr>
                <w:sz w:val="16"/>
                <w:szCs w:val="16"/>
              </w:rPr>
              <w:t xml:space="preserve">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“BANDEJA DE ENTRADA”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Pr="00B8479E" w:rsidRDefault="002B5383" w:rsidP="002B53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 continuación 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en la que será obligatorio vincular el Número de </w:t>
            </w:r>
            <w:r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5B3BAD" w:rsidRPr="00376787" w:rsidRDefault="005B3BAD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Anexo I Flujos – PI 8.6 – 5 Gestión Tickets de Mesa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62" w:rsidRDefault="00BF5462" w:rsidP="0073448C">
      <w:pPr>
        <w:spacing w:after="0" w:line="240" w:lineRule="auto"/>
      </w:pPr>
      <w:r>
        <w:separator/>
      </w:r>
    </w:p>
  </w:endnote>
  <w:endnote w:type="continuationSeparator" w:id="0">
    <w:p w:rsidR="00BF5462" w:rsidRDefault="00BF546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BF5462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FE3565" w:rsidRPr="00FE3565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62" w:rsidRDefault="00BF5462" w:rsidP="0073448C">
      <w:pPr>
        <w:spacing w:after="0" w:line="240" w:lineRule="auto"/>
      </w:pPr>
      <w:r>
        <w:separator/>
      </w:r>
    </w:p>
  </w:footnote>
  <w:footnote w:type="continuationSeparator" w:id="0">
    <w:p w:rsidR="00BF5462" w:rsidRDefault="00BF546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023A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PI 8.6 – 5 </w:t>
    </w:r>
    <w:r w:rsidR="00085A57">
      <w:rPr>
        <w:rFonts w:cs="Arial"/>
        <w:sz w:val="28"/>
        <w:szCs w:val="28"/>
        <w:lang w:val="es-ES" w:eastAsia="es-ES"/>
      </w:rPr>
      <w:t>GESTION DE TICKETS</w:t>
    </w:r>
    <w:r>
      <w:rPr>
        <w:rFonts w:cs="Arial"/>
        <w:sz w:val="28"/>
        <w:szCs w:val="28"/>
        <w:lang w:val="es-ES" w:eastAsia="es-ES"/>
      </w:rPr>
      <w:t xml:space="preserve"> DE MESA</w:t>
    </w:r>
    <w:r w:rsidR="00085A57">
      <w:rPr>
        <w:rFonts w:cs="Arial"/>
        <w:sz w:val="28"/>
        <w:szCs w:val="28"/>
        <w:lang w:val="es-ES" w:eastAsia="es-ES"/>
      </w:rPr>
      <w:t xml:space="preserve"> </w:t>
    </w:r>
  </w:p>
  <w:p w:rsidR="0057290F" w:rsidRDefault="00BF5462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866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D67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3AA8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BF5462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50367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3565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A693E-B2C4-4D15-8842-00757CCA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1510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28</cp:revision>
  <cp:lastPrinted>2016-05-12T16:25:00Z</cp:lastPrinted>
  <dcterms:created xsi:type="dcterms:W3CDTF">2016-04-26T11:28:00Z</dcterms:created>
  <dcterms:modified xsi:type="dcterms:W3CDTF">2016-05-24T15:38:00Z</dcterms:modified>
</cp:coreProperties>
</file>