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</w:t>
      </w:r>
      <w:r w:rsidR="002D35D0">
        <w:rPr>
          <w:rFonts w:cs="Arial"/>
          <w:sz w:val="40"/>
          <w:szCs w:val="40"/>
          <w:lang w:val="es-ES" w:eastAsia="es-ES"/>
        </w:rPr>
        <w:t>I</w:t>
      </w:r>
      <w:r w:rsidR="003424D0">
        <w:rPr>
          <w:rFonts w:cs="Arial"/>
          <w:sz w:val="40"/>
          <w:szCs w:val="40"/>
          <w:lang w:val="es-ES" w:eastAsia="es-ES"/>
        </w:rPr>
        <w:t xml:space="preserve"> 8.6 - 3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42AF2">
        <w:rPr>
          <w:rFonts w:cs="Arial"/>
          <w:i/>
        </w:rPr>
        <w:t xml:space="preserve"> </w:t>
      </w:r>
      <w:r w:rsidR="00263782">
        <w:rPr>
          <w:rFonts w:cs="Arial"/>
          <w:i/>
        </w:rPr>
        <w:t>d</w:t>
      </w:r>
      <w:r w:rsidR="00F052BE">
        <w:rPr>
          <w:rFonts w:cs="Arial"/>
          <w:i/>
        </w:rPr>
        <w:t xml:space="preserve">e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</w:p>
    <w:p w:rsidR="00F42AF2" w:rsidRDefault="00F42AF2" w:rsidP="00671AA2">
      <w:pPr>
        <w:jc w:val="right"/>
        <w:rPr>
          <w:rFonts w:cs="Arial"/>
          <w:i/>
        </w:rPr>
      </w:pPr>
    </w:p>
    <w:p w:rsidR="00F42AF2" w:rsidRDefault="00F42AF2" w:rsidP="00671AA2">
      <w:pPr>
        <w:jc w:val="right"/>
        <w:rPr>
          <w:rFonts w:cs="Arial"/>
          <w:i/>
        </w:rPr>
      </w:pPr>
    </w:p>
    <w:p w:rsidR="00F42AF2" w:rsidRPr="00306C42" w:rsidRDefault="00F42AF2" w:rsidP="00671AA2">
      <w:pPr>
        <w:jc w:val="right"/>
        <w:rPr>
          <w:rFonts w:cs="Arial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 w:rsidR="00812184"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812184" w:rsidRPr="00812184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="009042BE"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9042BE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 w:rsidRPr="00653FD9">
        <w:rPr>
          <w:sz w:val="16"/>
          <w:szCs w:val="16"/>
        </w:rPr>
        <w:tab/>
      </w:r>
    </w:p>
    <w:p w:rsidR="009042BE" w:rsidRPr="00653FD9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812184">
        <w:rPr>
          <w:sz w:val="16"/>
          <w:szCs w:val="16"/>
        </w:rPr>
        <w:tab/>
      </w:r>
      <w:r w:rsidR="00812184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P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Default="00306C42" w:rsidP="00E3029B">
      <w:pPr>
        <w:ind w:left="360"/>
        <w:jc w:val="both"/>
        <w:rPr>
          <w:rStyle w:val="Hipervnculo"/>
          <w:rFonts w:cstheme="minorHAnsi"/>
          <w:b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3D74AD" w:rsidRPr="003D74AD" w:rsidRDefault="003D74AD" w:rsidP="003D74AD">
      <w:pPr>
        <w:suppressAutoHyphens/>
        <w:spacing w:after="0" w:line="240" w:lineRule="auto"/>
        <w:ind w:left="360"/>
        <w:jc w:val="both"/>
        <w:rPr>
          <w:rFonts w:ascii="Calibri" w:hAnsi="Calibri"/>
          <w:b/>
          <w:sz w:val="20"/>
          <w:szCs w:val="20"/>
        </w:rPr>
      </w:pPr>
      <w:r w:rsidRPr="003D74AD">
        <w:rPr>
          <w:rFonts w:ascii="Calibri" w:hAnsi="Calibri"/>
          <w:b/>
          <w:sz w:val="20"/>
          <w:szCs w:val="20"/>
        </w:rPr>
        <w:t>Se identificara la secuencia lógica de cada actividad en el flujo de trabajo con una “letra”, mientras que la responsabilidad en cada caso se reflejara</w:t>
      </w:r>
      <w:r w:rsidR="00B50EE1">
        <w:rPr>
          <w:rFonts w:ascii="Calibri" w:hAnsi="Calibri"/>
          <w:b/>
          <w:sz w:val="20"/>
          <w:szCs w:val="20"/>
        </w:rPr>
        <w:t xml:space="preserve"> en el flujo</w:t>
      </w:r>
      <w:r w:rsidRPr="003D74AD">
        <w:rPr>
          <w:rFonts w:ascii="Calibri" w:hAnsi="Calibri"/>
          <w:b/>
          <w:sz w:val="20"/>
          <w:szCs w:val="20"/>
        </w:rPr>
        <w:t xml:space="preserve"> con el “numero” correspondiente al área según detalle de referencias</w:t>
      </w:r>
      <w:r w:rsidR="00B50EE1">
        <w:rPr>
          <w:rFonts w:ascii="Calibri" w:hAnsi="Calibri"/>
          <w:b/>
          <w:sz w:val="20"/>
          <w:szCs w:val="20"/>
        </w:rPr>
        <w:t xml:space="preserve"> de corresponder</w:t>
      </w:r>
      <w:r w:rsidRPr="003D74AD">
        <w:rPr>
          <w:rFonts w:ascii="Calibri" w:hAnsi="Calibri"/>
          <w:b/>
          <w:sz w:val="20"/>
          <w:szCs w:val="20"/>
        </w:rPr>
        <w:t xml:space="preserve">.  </w:t>
      </w:r>
    </w:p>
    <w:p w:rsidR="0097118D" w:rsidRDefault="0097118D" w:rsidP="003D74AD">
      <w:pPr>
        <w:ind w:left="360"/>
        <w:jc w:val="both"/>
        <w:rPr>
          <w:rFonts w:ascii="Calibri" w:hAnsi="Calibri"/>
          <w:b/>
          <w:sz w:val="20"/>
          <w:szCs w:val="20"/>
        </w:rPr>
      </w:pPr>
    </w:p>
    <w:p w:rsidR="003D74AD" w:rsidRPr="009C12E5" w:rsidRDefault="003D74AD" w:rsidP="003D74AD">
      <w:pPr>
        <w:ind w:left="360"/>
        <w:jc w:val="both"/>
        <w:rPr>
          <w:rFonts w:ascii="Calibri" w:hAnsi="Calibri" w:cs="Arial"/>
          <w:b/>
          <w:i/>
          <w:sz w:val="20"/>
          <w:szCs w:val="20"/>
        </w:rPr>
      </w:pPr>
      <w:r w:rsidRPr="009C12E5">
        <w:rPr>
          <w:rFonts w:ascii="Calibri" w:hAnsi="Calibri"/>
          <w:b/>
          <w:sz w:val="20"/>
          <w:szCs w:val="20"/>
        </w:rPr>
        <w:t>La cobertura horaria de Espacios Físicos es la prevista para el Centro cultural de 07hs a 24hs. Cualquier gestión que sea necesario realizar fuera de este horario deberá ser comunicada con anticipación a la Coordinación Técnica Operativa.</w:t>
      </w:r>
    </w:p>
    <w:p w:rsidR="003D74AD" w:rsidRDefault="003D74AD" w:rsidP="003D74AD">
      <w:pPr>
        <w:suppressAutoHyphens/>
        <w:spacing w:after="0" w:line="240" w:lineRule="auto"/>
        <w:jc w:val="both"/>
        <w:rPr>
          <w:rFonts w:ascii="Calibri" w:hAnsi="Calibri"/>
          <w:b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B50EE1" w:rsidRDefault="00B50EE1" w:rsidP="00B50EE1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Sera responsabilidad de</w:t>
      </w:r>
      <w:r>
        <w:rPr>
          <w:sz w:val="20"/>
          <w:szCs w:val="20"/>
        </w:rPr>
        <w:t>l Coordinador de</w:t>
      </w:r>
      <w:r>
        <w:rPr>
          <w:sz w:val="20"/>
          <w:szCs w:val="20"/>
        </w:rPr>
        <w:t xml:space="preserve"> Espacios Físicos identificar y</w:t>
      </w:r>
      <w:r>
        <w:rPr>
          <w:sz w:val="20"/>
          <w:szCs w:val="20"/>
        </w:rPr>
        <w:t xml:space="preserve"> hacer</w:t>
      </w:r>
      <w:r>
        <w:rPr>
          <w:sz w:val="20"/>
          <w:szCs w:val="20"/>
        </w:rPr>
        <w:t xml:space="preserve"> completar en el SGA, los siguientes datos para cada espacio:</w:t>
      </w:r>
    </w:p>
    <w:p w:rsidR="00B50EE1" w:rsidRDefault="00B50EE1" w:rsidP="00B50EE1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B50EE1" w:rsidRDefault="00B50EE1" w:rsidP="00B50EE1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B50EE1" w:rsidRDefault="00B50EE1" w:rsidP="00B50EE1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B50EE1" w:rsidRPr="00FC2B77" w:rsidRDefault="00B50EE1" w:rsidP="00B50EE1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 xml:space="preserve">“ESTADO”  de los espacios en este procedimiento, los siguientes: </w:t>
      </w:r>
    </w:p>
    <w:p w:rsidR="00B50EE1" w:rsidRPr="00FC2B77" w:rsidRDefault="00B50EE1" w:rsidP="00B50EE1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B50EE1" w:rsidRPr="00FC2B77" w:rsidRDefault="00B50EE1" w:rsidP="00B50EE1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B50EE1" w:rsidRDefault="00B50EE1" w:rsidP="00B50EE1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</w:p>
    <w:p w:rsidR="00040D85" w:rsidRDefault="00535584" w:rsidP="00760437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  <w:r w:rsidR="00760437">
        <w:rPr>
          <w:sz w:val="20"/>
          <w:szCs w:val="20"/>
        </w:rPr>
        <w:t xml:space="preserve"> y a través del 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 xml:space="preserve">= 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>Llavero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 xml:space="preserve"> se </w:t>
      </w:r>
      <w:r w:rsidR="00760437" w:rsidRPr="00FC2B77">
        <w:rPr>
          <w:rFonts w:cstheme="minorHAnsi"/>
          <w:color w:val="222222"/>
          <w:sz w:val="20"/>
          <w:szCs w:val="20"/>
          <w:shd w:val="clear" w:color="auto" w:fill="FFFFFF"/>
        </w:rPr>
        <w:t>cumplir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>á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de puertas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 xml:space="preserve">. Sera también responsable por la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3029B" w:rsidRPr="00FC2B77">
        <w:rPr>
          <w:sz w:val="20"/>
          <w:szCs w:val="20"/>
          <w:highlight w:val="yellow"/>
        </w:rPr>
        <w:t>Los actores involucrados en el proceso deberán contar con acceso al “</w:t>
      </w:r>
      <w:r w:rsidR="00E3029B"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="00E3029B"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>; los mismos son: “EF” – “Llavero”</w:t>
      </w:r>
    </w:p>
    <w:p w:rsidR="009C12E5" w:rsidRDefault="009C12E5" w:rsidP="00760437">
      <w:pPr>
        <w:ind w:left="360"/>
        <w:jc w:val="both"/>
        <w:rPr>
          <w:rFonts w:ascii="Calibri" w:hAnsi="Calibri"/>
          <w:b/>
        </w:rPr>
      </w:pP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lastRenderedPageBreak/>
        <w:t xml:space="preserve">Alcance: </w:t>
      </w:r>
    </w:p>
    <w:p w:rsidR="003E332A" w:rsidRDefault="002D35D0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Este</w:t>
      </w:r>
      <w:r w:rsidR="00040D85" w:rsidRPr="00FC2B77">
        <w:rPr>
          <w:sz w:val="20"/>
          <w:szCs w:val="20"/>
        </w:rPr>
        <w:t xml:space="preserve"> procedimiento </w:t>
      </w:r>
      <w:r w:rsidR="000D605F" w:rsidRPr="00FC2B77">
        <w:rPr>
          <w:sz w:val="20"/>
          <w:szCs w:val="20"/>
        </w:rPr>
        <w:t>será</w:t>
      </w:r>
      <w:r w:rsidR="00040D85"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="00040D85" w:rsidRPr="00FC2B77">
        <w:rPr>
          <w:sz w:val="20"/>
          <w:szCs w:val="20"/>
        </w:rPr>
        <w:t>.</w:t>
      </w:r>
    </w:p>
    <w:p w:rsidR="005314C7" w:rsidRPr="00FC2B77" w:rsidRDefault="005314C7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consideran las excepciones de responsabilidad para los espacios de los cuales se ha</w:t>
      </w:r>
      <w:r w:rsidR="00D40F9C">
        <w:rPr>
          <w:sz w:val="20"/>
          <w:szCs w:val="20"/>
        </w:rPr>
        <w:t>ya</w:t>
      </w:r>
      <w:r>
        <w:rPr>
          <w:sz w:val="20"/>
          <w:szCs w:val="20"/>
        </w:rPr>
        <w:t xml:space="preserve"> entregado “llaves” según “Anexo I</w:t>
      </w:r>
      <w:proofErr w:type="gramStart"/>
      <w:r w:rsidR="00E567DC">
        <w:rPr>
          <w:sz w:val="20"/>
          <w:szCs w:val="20"/>
        </w:rPr>
        <w:t xml:space="preserve">“ </w:t>
      </w:r>
      <w:r>
        <w:rPr>
          <w:sz w:val="20"/>
          <w:szCs w:val="20"/>
        </w:rPr>
        <w:t>de</w:t>
      </w:r>
      <w:proofErr w:type="gramEnd"/>
      <w:r>
        <w:rPr>
          <w:sz w:val="20"/>
          <w:szCs w:val="20"/>
        </w:rPr>
        <w:t xml:space="preserve"> este Procedimiento</w:t>
      </w:r>
      <w:r w:rsidR="00D40F9C">
        <w:rPr>
          <w:sz w:val="20"/>
          <w:szCs w:val="20"/>
        </w:rPr>
        <w:t>.</w:t>
      </w:r>
    </w:p>
    <w:p w:rsid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40F9C">
        <w:rPr>
          <w:sz w:val="20"/>
          <w:szCs w:val="20"/>
        </w:rPr>
        <w:t>I - 2</w:t>
      </w:r>
      <w:r w:rsidR="00D36B74" w:rsidRPr="00FC2B77">
        <w:rPr>
          <w:sz w:val="20"/>
          <w:szCs w:val="20"/>
        </w:rPr>
        <w:t xml:space="preserve"> - </w:t>
      </w:r>
      <w:r w:rsidR="00D40F9C">
        <w:rPr>
          <w:sz w:val="20"/>
          <w:szCs w:val="20"/>
        </w:rPr>
        <w:t>Apertura</w:t>
      </w:r>
      <w:r w:rsidRPr="00FC2B77">
        <w:rPr>
          <w:sz w:val="20"/>
          <w:szCs w:val="20"/>
        </w:rPr>
        <w:t xml:space="preserve"> </w:t>
      </w:r>
      <w:r w:rsidR="00D36B74" w:rsidRPr="00FC2B77">
        <w:rPr>
          <w:sz w:val="20"/>
          <w:szCs w:val="20"/>
        </w:rPr>
        <w:t xml:space="preserve">y cierre de </w:t>
      </w:r>
      <w:r w:rsidR="00D40F9C">
        <w:rPr>
          <w:sz w:val="20"/>
          <w:szCs w:val="20"/>
        </w:rPr>
        <w:t>espacios”</w:t>
      </w:r>
      <w:r w:rsidRPr="00FC2B77">
        <w:rPr>
          <w:sz w:val="20"/>
          <w:szCs w:val="20"/>
        </w:rPr>
        <w:t>.</w:t>
      </w:r>
    </w:p>
    <w:p w:rsidR="009C12E5" w:rsidRPr="001D4C90" w:rsidRDefault="009C12E5" w:rsidP="009C12E5">
      <w:pPr>
        <w:pStyle w:val="Prrafodelista"/>
        <w:ind w:left="1080"/>
        <w:jc w:val="both"/>
        <w:rPr>
          <w:sz w:val="20"/>
          <w:szCs w:val="20"/>
        </w:rPr>
      </w:pP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37612">
        <w:rPr>
          <w:b/>
          <w:sz w:val="20"/>
          <w:szCs w:val="20"/>
        </w:rPr>
        <w:t>Cierre de espacios</w:t>
      </w:r>
      <w:r w:rsidRPr="00FC2B77">
        <w:rPr>
          <w:sz w:val="20"/>
          <w:szCs w:val="20"/>
        </w:rPr>
        <w:t>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>el Llavero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 xml:space="preserve">Si al momento de cerrar, el </w:t>
      </w:r>
      <w:r w:rsidR="00D40F9C">
        <w:rPr>
          <w:sz w:val="20"/>
          <w:szCs w:val="20"/>
          <w:highlight w:val="yellow"/>
        </w:rPr>
        <w:t xml:space="preserve">“Llavero” </w:t>
      </w:r>
      <w:r w:rsidRPr="00FC2B77">
        <w:rPr>
          <w:sz w:val="20"/>
          <w:szCs w:val="20"/>
          <w:highlight w:val="yellow"/>
        </w:rPr>
        <w:t>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="00CB26B3">
        <w:rPr>
          <w:sz w:val="20"/>
          <w:szCs w:val="20"/>
        </w:rPr>
        <w:t>el llavero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</w:t>
      </w:r>
      <w:r w:rsidR="00F53A28" w:rsidRPr="00FC2B77">
        <w:rPr>
          <w:sz w:val="20"/>
          <w:szCs w:val="20"/>
        </w:rPr>
        <w:t xml:space="preserve">“llavero” </w:t>
      </w:r>
      <w:r w:rsidRPr="00FC2B77">
        <w:rPr>
          <w:sz w:val="20"/>
          <w:szCs w:val="20"/>
        </w:rPr>
        <w:t xml:space="preserve">pondrá cada llave a resguardo </w:t>
      </w:r>
      <w:r w:rsidR="00D40F9C">
        <w:rPr>
          <w:sz w:val="20"/>
          <w:szCs w:val="20"/>
        </w:rPr>
        <w:t xml:space="preserve">y se cambiara el estado de dichos espacios a: </w:t>
      </w:r>
      <w:r w:rsidRPr="00FC2B77">
        <w:rPr>
          <w:sz w:val="20"/>
          <w:szCs w:val="20"/>
          <w:highlight w:val="yellow"/>
        </w:rPr>
        <w:t>“Cerrado”</w:t>
      </w:r>
      <w:r w:rsidR="00F37612">
        <w:rPr>
          <w:sz w:val="20"/>
          <w:szCs w:val="20"/>
        </w:rPr>
        <w:t xml:space="preserve"> * Ver Manual de Usuario SGA (</w:t>
      </w:r>
      <w:r w:rsidR="00F37612">
        <w:rPr>
          <w:sz w:val="20"/>
          <w:szCs w:val="20"/>
          <w:highlight w:val="yellow"/>
        </w:rPr>
        <w:t xml:space="preserve">en </w:t>
      </w:r>
      <w:r w:rsidR="00D40F9C" w:rsidRPr="00D40F9C">
        <w:rPr>
          <w:sz w:val="20"/>
          <w:szCs w:val="20"/>
          <w:highlight w:val="yellow"/>
        </w:rPr>
        <w:t xml:space="preserve">el sistema “SGA” </w:t>
      </w:r>
      <w:r w:rsidR="00F37612">
        <w:rPr>
          <w:sz w:val="20"/>
          <w:szCs w:val="20"/>
          <w:highlight w:val="yellow"/>
        </w:rPr>
        <w:t xml:space="preserve">habrá </w:t>
      </w:r>
      <w:r w:rsidR="00D40F9C" w:rsidRPr="00D40F9C">
        <w:rPr>
          <w:sz w:val="20"/>
          <w:szCs w:val="20"/>
          <w:highlight w:val="yellow"/>
        </w:rPr>
        <w:t xml:space="preserve">una </w:t>
      </w:r>
      <w:r w:rsidR="002C4AD7">
        <w:rPr>
          <w:sz w:val="20"/>
          <w:szCs w:val="20"/>
          <w:highlight w:val="yellow"/>
        </w:rPr>
        <w:t>“acción”</w:t>
      </w:r>
      <w:r w:rsidR="00D40F9C" w:rsidRPr="00D40F9C">
        <w:rPr>
          <w:sz w:val="20"/>
          <w:szCs w:val="20"/>
          <w:highlight w:val="yellow"/>
        </w:rPr>
        <w:t xml:space="preserve"> que </w:t>
      </w:r>
      <w:r w:rsidR="00F37612">
        <w:rPr>
          <w:sz w:val="20"/>
          <w:szCs w:val="20"/>
          <w:highlight w:val="yellow"/>
        </w:rPr>
        <w:t>permitirá modificar</w:t>
      </w:r>
      <w:r w:rsidR="00D40F9C" w:rsidRPr="00D40F9C">
        <w:rPr>
          <w:sz w:val="20"/>
          <w:szCs w:val="20"/>
          <w:highlight w:val="yellow"/>
        </w:rPr>
        <w:t xml:space="preserve"> el estado de “X” e</w:t>
      </w:r>
      <w:r w:rsidR="00F37612">
        <w:rPr>
          <w:sz w:val="20"/>
          <w:szCs w:val="20"/>
          <w:highlight w:val="yellow"/>
        </w:rPr>
        <w:t>spacios”</w:t>
      </w:r>
      <w:r w:rsidR="00F37612">
        <w:rPr>
          <w:sz w:val="20"/>
          <w:szCs w:val="20"/>
        </w:rPr>
        <w:t>)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37612">
        <w:rPr>
          <w:b/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</w:t>
      </w:r>
      <w:r w:rsidR="00F84497">
        <w:rPr>
          <w:sz w:val="20"/>
          <w:szCs w:val="20"/>
        </w:rPr>
        <w:t xml:space="preserve">y por instrucción de </w:t>
      </w:r>
      <w:r w:rsidRPr="00FC2B77">
        <w:rPr>
          <w:sz w:val="20"/>
          <w:szCs w:val="20"/>
        </w:rPr>
        <w:t>“EF”</w:t>
      </w:r>
      <w:r w:rsidR="00F84497">
        <w:rPr>
          <w:sz w:val="20"/>
          <w:szCs w:val="20"/>
        </w:rPr>
        <w:t xml:space="preserve"> el “</w:t>
      </w:r>
      <w:r w:rsidR="008A470C" w:rsidRPr="00FC2B77">
        <w:rPr>
          <w:sz w:val="20"/>
          <w:szCs w:val="20"/>
        </w:rPr>
        <w:t>Llavero</w:t>
      </w:r>
      <w:r w:rsidR="00F84497">
        <w:rPr>
          <w:sz w:val="20"/>
          <w:szCs w:val="20"/>
        </w:rPr>
        <w:t xml:space="preserve">” del turno noche </w:t>
      </w:r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(22:00-06:00 </w:t>
      </w:r>
      <w:proofErr w:type="spellStart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). </w:t>
      </w:r>
      <w:r w:rsidR="00F84497">
        <w:rPr>
          <w:sz w:val="20"/>
          <w:szCs w:val="20"/>
        </w:rPr>
        <w:t xml:space="preserve"> deberá asegurar que todas las oficinas del área industrial quedaran abiertas, teniendo en consideración las </w:t>
      </w:r>
      <w:r w:rsidRPr="00FC2B77">
        <w:rPr>
          <w:sz w:val="20"/>
          <w:szCs w:val="20"/>
        </w:rPr>
        <w:t xml:space="preserve"> </w:t>
      </w:r>
      <w:r w:rsidR="007D563A" w:rsidRPr="00FC2B77">
        <w:rPr>
          <w:sz w:val="20"/>
          <w:szCs w:val="20"/>
          <w:highlight w:val="yellow"/>
        </w:rPr>
        <w:t>excepciones programa</w:t>
      </w:r>
      <w:r w:rsidR="00F84497">
        <w:rPr>
          <w:sz w:val="20"/>
          <w:szCs w:val="20"/>
          <w:highlight w:val="yellow"/>
        </w:rPr>
        <w:t>das</w:t>
      </w:r>
      <w:r w:rsidR="000D605F" w:rsidRPr="00FC2B77">
        <w:rPr>
          <w:sz w:val="20"/>
          <w:szCs w:val="20"/>
        </w:rPr>
        <w:t xml:space="preserve"> </w:t>
      </w:r>
      <w:r w:rsidR="00E567DC">
        <w:rPr>
          <w:sz w:val="20"/>
          <w:szCs w:val="20"/>
        </w:rPr>
        <w:t xml:space="preserve">según “Anexo I” de este </w:t>
      </w:r>
      <w:r w:rsidR="00F84497">
        <w:rPr>
          <w:sz w:val="20"/>
          <w:szCs w:val="20"/>
        </w:rPr>
        <w:t>documento</w:t>
      </w:r>
      <w:r w:rsidR="00E567DC">
        <w:rPr>
          <w:sz w:val="20"/>
          <w:szCs w:val="20"/>
        </w:rPr>
        <w:t xml:space="preserve">. </w:t>
      </w:r>
    </w:p>
    <w:p w:rsidR="007577E7" w:rsidRPr="00FC2B77" w:rsidRDefault="002C4AD7" w:rsidP="002C4AD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“llavero”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 turno mañana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(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06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a 14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:00)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se encarg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las aperturas y cierres pendientes 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tanto como de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los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tickets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solicitados durante la </w:t>
      </w:r>
      <w:r w:rsidR="007577E7"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.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bookmarkStart w:id="1" w:name="_GoBack"/>
      <w:bookmarkEnd w:id="1"/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>/para Eventos</w:t>
      </w:r>
      <w:r w:rsidRPr="00FC2B77">
        <w:rPr>
          <w:b/>
          <w:sz w:val="20"/>
          <w:szCs w:val="20"/>
        </w:rPr>
        <w:t>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="00132E78">
        <w:rPr>
          <w:sz w:val="20"/>
          <w:szCs w:val="20"/>
        </w:rPr>
        <w:t xml:space="preserve"> y</w:t>
      </w:r>
      <w:r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Espacios Físicos</w:t>
      </w:r>
      <w:r w:rsidR="0048727F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760437" w:rsidRDefault="00466E0E" w:rsidP="001B5A40">
            <w:pPr>
              <w:jc w:val="both"/>
              <w:rPr>
                <w:sz w:val="18"/>
                <w:szCs w:val="18"/>
                <w:u w:val="single"/>
              </w:rPr>
            </w:pPr>
            <w:r w:rsidRPr="00760437">
              <w:rPr>
                <w:sz w:val="18"/>
                <w:szCs w:val="18"/>
                <w:u w:val="single"/>
              </w:rPr>
              <w:lastRenderedPageBreak/>
              <w:t>Responsabilidades: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1: CTO/Servicios Generales (SG)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2: CTO/Planificación y Control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3: CTO/Dirección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4: CTO/Espacios Físicos (EF)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5: CTO/Seguridad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6. CTO/Mesa de Ayuda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7. CTO/Mantenimiento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8. CTO/Higiene y Seguridad de las Personas (</w:t>
            </w:r>
            <w:proofErr w:type="spellStart"/>
            <w:r w:rsidRPr="00760437">
              <w:rPr>
                <w:sz w:val="18"/>
                <w:szCs w:val="18"/>
              </w:rPr>
              <w:t>HyS</w:t>
            </w:r>
            <w:proofErr w:type="spellEnd"/>
            <w:r w:rsidRPr="00760437">
              <w:rPr>
                <w:sz w:val="18"/>
                <w:szCs w:val="18"/>
              </w:rPr>
              <w:t>)</w:t>
            </w:r>
            <w:r w:rsidR="00812184" w:rsidRPr="00760437">
              <w:rPr>
                <w:sz w:val="18"/>
                <w:szCs w:val="18"/>
              </w:rPr>
              <w:t xml:space="preserve"> 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9. CTO/Logística</w:t>
            </w:r>
          </w:p>
          <w:p w:rsidR="00986371" w:rsidRPr="00760437" w:rsidRDefault="00466E0E" w:rsidP="00760437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10. CTO/Administración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  <w:u w:val="single"/>
              </w:rPr>
              <w:t xml:space="preserve">Áreas de Aplicación: </w:t>
            </w:r>
            <w:r w:rsidRPr="00986371">
              <w:rPr>
                <w:sz w:val="20"/>
                <w:szCs w:val="20"/>
              </w:rPr>
              <w:t>Todo el Edificio del Centro Cultural Kirchner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  <w:u w:val="single"/>
              </w:rPr>
            </w:pPr>
            <w:r w:rsidRPr="00986371">
              <w:rPr>
                <w:sz w:val="20"/>
                <w:szCs w:val="20"/>
                <w:u w:val="single"/>
              </w:rPr>
              <w:t>Normativa de Aplicación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Normativa legal vigente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Otros Procedimientos e Instructivos</w:t>
            </w:r>
            <w:r w:rsidR="00FB3951">
              <w:rPr>
                <w:sz w:val="20"/>
                <w:szCs w:val="20"/>
              </w:rPr>
              <w:t xml:space="preserve"> vigentes</w:t>
            </w:r>
            <w:r w:rsidRPr="00986371">
              <w:rPr>
                <w:sz w:val="20"/>
                <w:szCs w:val="20"/>
              </w:rPr>
              <w:t>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76043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68B" w:rsidRDefault="00EE768B" w:rsidP="0073448C">
      <w:pPr>
        <w:spacing w:after="0" w:line="240" w:lineRule="auto"/>
      </w:pPr>
      <w:r>
        <w:separator/>
      </w:r>
    </w:p>
  </w:endnote>
  <w:endnote w:type="continuationSeparator" w:id="0">
    <w:p w:rsidR="00EE768B" w:rsidRDefault="00EE768B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EE768B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97118D" w:rsidRPr="0097118D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68B" w:rsidRDefault="00EE768B" w:rsidP="0073448C">
      <w:pPr>
        <w:spacing w:after="0" w:line="240" w:lineRule="auto"/>
      </w:pPr>
      <w:r>
        <w:separator/>
      </w:r>
    </w:p>
  </w:footnote>
  <w:footnote w:type="continuationSeparator" w:id="0">
    <w:p w:rsidR="00EE768B" w:rsidRDefault="00EE768B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424D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</w:t>
    </w:r>
    <w:r w:rsidR="002D35D0">
      <w:rPr>
        <w:rFonts w:cs="Arial"/>
        <w:sz w:val="28"/>
        <w:szCs w:val="28"/>
        <w:lang w:val="es-ES" w:eastAsia="es-ES"/>
      </w:rPr>
      <w:t>I</w:t>
    </w:r>
    <w:r>
      <w:rPr>
        <w:rFonts w:cs="Arial"/>
        <w:sz w:val="28"/>
        <w:szCs w:val="28"/>
        <w:lang w:val="es-ES" w:eastAsia="es-ES"/>
      </w:rPr>
      <w:t xml:space="preserve"> 8.6 - 3</w:t>
    </w:r>
    <w:r w:rsidR="00466E0E">
      <w:rPr>
        <w:rFonts w:cs="Arial"/>
        <w:sz w:val="28"/>
        <w:szCs w:val="28"/>
        <w:lang w:val="es-ES" w:eastAsia="es-ES"/>
      </w:rPr>
      <w:t xml:space="preserve">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EE768B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7345707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6184D"/>
    <w:multiLevelType w:val="hybridMultilevel"/>
    <w:tmpl w:val="FCFAA3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FAB1F8D"/>
    <w:multiLevelType w:val="hybridMultilevel"/>
    <w:tmpl w:val="2DA6A4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5"/>
  </w:num>
  <w:num w:numId="10">
    <w:abstractNumId w:val="9"/>
  </w:num>
  <w:num w:numId="11">
    <w:abstractNumId w:val="14"/>
  </w:num>
  <w:num w:numId="12">
    <w:abstractNumId w:val="16"/>
  </w:num>
  <w:num w:numId="13">
    <w:abstractNumId w:val="13"/>
  </w:num>
  <w:num w:numId="14">
    <w:abstractNumId w:val="11"/>
  </w:num>
  <w:num w:numId="15">
    <w:abstractNumId w:val="5"/>
  </w:num>
  <w:num w:numId="16">
    <w:abstractNumId w:val="3"/>
  </w:num>
  <w:num w:numId="17">
    <w:abstractNumId w:val="17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146B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0DD5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2E78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14AA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4889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4AD7"/>
    <w:rsid w:val="002C57D7"/>
    <w:rsid w:val="002C7912"/>
    <w:rsid w:val="002D35D0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424D0"/>
    <w:rsid w:val="00351DB5"/>
    <w:rsid w:val="00354966"/>
    <w:rsid w:val="0036650F"/>
    <w:rsid w:val="00366897"/>
    <w:rsid w:val="00376787"/>
    <w:rsid w:val="0038029C"/>
    <w:rsid w:val="003815DB"/>
    <w:rsid w:val="00386220"/>
    <w:rsid w:val="00393E6A"/>
    <w:rsid w:val="00394033"/>
    <w:rsid w:val="003B1806"/>
    <w:rsid w:val="003B2726"/>
    <w:rsid w:val="003B4162"/>
    <w:rsid w:val="003C325F"/>
    <w:rsid w:val="003C67B5"/>
    <w:rsid w:val="003D57E2"/>
    <w:rsid w:val="003D74AD"/>
    <w:rsid w:val="003E2AA3"/>
    <w:rsid w:val="003E332A"/>
    <w:rsid w:val="003F1BA4"/>
    <w:rsid w:val="00407323"/>
    <w:rsid w:val="004170E5"/>
    <w:rsid w:val="0042220E"/>
    <w:rsid w:val="0043243F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27F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808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14C7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95869"/>
    <w:rsid w:val="00596CB0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0437"/>
    <w:rsid w:val="0076729D"/>
    <w:rsid w:val="007742C0"/>
    <w:rsid w:val="00777E55"/>
    <w:rsid w:val="00781776"/>
    <w:rsid w:val="0078238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184"/>
    <w:rsid w:val="0081274C"/>
    <w:rsid w:val="0081464D"/>
    <w:rsid w:val="00822A14"/>
    <w:rsid w:val="0082420D"/>
    <w:rsid w:val="008248FE"/>
    <w:rsid w:val="00824950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42BE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18D"/>
    <w:rsid w:val="00971FE5"/>
    <w:rsid w:val="009755D5"/>
    <w:rsid w:val="00975FE7"/>
    <w:rsid w:val="0098249C"/>
    <w:rsid w:val="00983866"/>
    <w:rsid w:val="0098404F"/>
    <w:rsid w:val="00986371"/>
    <w:rsid w:val="009A39B5"/>
    <w:rsid w:val="009A6E8D"/>
    <w:rsid w:val="009B037E"/>
    <w:rsid w:val="009B38AB"/>
    <w:rsid w:val="009C12E5"/>
    <w:rsid w:val="009C6E9F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0799"/>
    <w:rsid w:val="00A541E0"/>
    <w:rsid w:val="00A5427B"/>
    <w:rsid w:val="00A55124"/>
    <w:rsid w:val="00A57657"/>
    <w:rsid w:val="00A57BBE"/>
    <w:rsid w:val="00A60CED"/>
    <w:rsid w:val="00A64F88"/>
    <w:rsid w:val="00A81786"/>
    <w:rsid w:val="00A8735D"/>
    <w:rsid w:val="00A915B3"/>
    <w:rsid w:val="00A95511"/>
    <w:rsid w:val="00AB36FB"/>
    <w:rsid w:val="00AC029E"/>
    <w:rsid w:val="00AD2712"/>
    <w:rsid w:val="00AD5E8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45FC2"/>
    <w:rsid w:val="00B50EE1"/>
    <w:rsid w:val="00B56BF6"/>
    <w:rsid w:val="00B604CB"/>
    <w:rsid w:val="00B61BBA"/>
    <w:rsid w:val="00B623E0"/>
    <w:rsid w:val="00B64EA4"/>
    <w:rsid w:val="00B65C20"/>
    <w:rsid w:val="00B66313"/>
    <w:rsid w:val="00B730B3"/>
    <w:rsid w:val="00B77B05"/>
    <w:rsid w:val="00B834AE"/>
    <w:rsid w:val="00B8479E"/>
    <w:rsid w:val="00BB2B6B"/>
    <w:rsid w:val="00BB343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4C3E"/>
    <w:rsid w:val="00C76615"/>
    <w:rsid w:val="00C80F37"/>
    <w:rsid w:val="00C84005"/>
    <w:rsid w:val="00C8634E"/>
    <w:rsid w:val="00C879E3"/>
    <w:rsid w:val="00C91638"/>
    <w:rsid w:val="00C93ECA"/>
    <w:rsid w:val="00C96174"/>
    <w:rsid w:val="00C97F09"/>
    <w:rsid w:val="00CA2538"/>
    <w:rsid w:val="00CA488A"/>
    <w:rsid w:val="00CA5CC2"/>
    <w:rsid w:val="00CB26B3"/>
    <w:rsid w:val="00CB34C4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3168"/>
    <w:rsid w:val="00D342EF"/>
    <w:rsid w:val="00D36B74"/>
    <w:rsid w:val="00D40F9C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0D62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567DC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E768B"/>
    <w:rsid w:val="00EF2202"/>
    <w:rsid w:val="00EF57DD"/>
    <w:rsid w:val="00EF7A5A"/>
    <w:rsid w:val="00F052BE"/>
    <w:rsid w:val="00F13A45"/>
    <w:rsid w:val="00F141A5"/>
    <w:rsid w:val="00F30065"/>
    <w:rsid w:val="00F33830"/>
    <w:rsid w:val="00F3649B"/>
    <w:rsid w:val="00F37612"/>
    <w:rsid w:val="00F4150C"/>
    <w:rsid w:val="00F42AF2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84497"/>
    <w:rsid w:val="00F904C3"/>
    <w:rsid w:val="00F918F6"/>
    <w:rsid w:val="00F9195E"/>
    <w:rsid w:val="00FA0029"/>
    <w:rsid w:val="00FA0290"/>
    <w:rsid w:val="00FA2E57"/>
    <w:rsid w:val="00FA35C8"/>
    <w:rsid w:val="00FA39C5"/>
    <w:rsid w:val="00FA7C18"/>
    <w:rsid w:val="00FB3951"/>
    <w:rsid w:val="00FB3FA2"/>
    <w:rsid w:val="00FB6ABC"/>
    <w:rsid w:val="00FC2B77"/>
    <w:rsid w:val="00FD337E"/>
    <w:rsid w:val="00FE0FB6"/>
    <w:rsid w:val="00FE70EE"/>
    <w:rsid w:val="00FF009E"/>
    <w:rsid w:val="00FF0DFA"/>
    <w:rsid w:val="00FF3EC5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86B32-A93C-4046-949D-710C88CD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4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87</cp:revision>
  <cp:lastPrinted>2016-05-30T19:57:00Z</cp:lastPrinted>
  <dcterms:created xsi:type="dcterms:W3CDTF">2016-04-12T16:08:00Z</dcterms:created>
  <dcterms:modified xsi:type="dcterms:W3CDTF">2016-06-13T20:55:00Z</dcterms:modified>
</cp:coreProperties>
</file>