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preferentemente con </w:t>
      </w:r>
      <w:r w:rsidRPr="00857287">
        <w:rPr>
          <w:rStyle w:val="Hipervnculo"/>
          <w:rFonts w:cs="Calibri"/>
          <w:color w:val="auto"/>
          <w:sz w:val="20"/>
          <w:szCs w:val="20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e antelación al ingreso previsto aunque se consideraran las urgencias necesarias. En el mismo deberá detallarse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>lo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 xml:space="preserve">, se deberá especificar en el cuerpo del correo el nombre,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>, en el cuerpo del correo se debe incluir el nombre, 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>Solicitar la inform</w:t>
      </w:r>
      <w:r w:rsidR="00634EC9">
        <w:rPr>
          <w:sz w:val="20"/>
          <w:szCs w:val="20"/>
        </w:rPr>
        <w:t xml:space="preserve">ación detallada </w:t>
      </w:r>
      <w:r w:rsidR="00530E39">
        <w:rPr>
          <w:sz w:val="20"/>
          <w:szCs w:val="20"/>
        </w:rPr>
        <w:t>según</w:t>
      </w:r>
      <w:r w:rsidRPr="005846E5">
        <w:rPr>
          <w:sz w:val="20"/>
          <w:szCs w:val="20"/>
        </w:rPr>
        <w:t xml:space="preserve">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  <w:r w:rsidR="00634EC9">
        <w:rPr>
          <w:rFonts w:cs="Arial"/>
          <w:sz w:val="20"/>
          <w:szCs w:val="20"/>
          <w:lang w:val="es-ES"/>
        </w:rPr>
        <w:t xml:space="preserve">Ver </w:t>
      </w:r>
      <w:r w:rsidR="00634EC9" w:rsidRPr="00634EC9">
        <w:rPr>
          <w:rFonts w:cs="Arial"/>
          <w:b/>
          <w:sz w:val="20"/>
          <w:szCs w:val="20"/>
          <w:lang w:val="es-ES"/>
        </w:rPr>
        <w:t>Anexo I PI 8.6 - 8 CONTROL DOCUMENTOS PROVEEDORES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640446" w:rsidRPr="00634EC9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634EC9" w:rsidRPr="00634EC9" w:rsidRDefault="00634EC9" w:rsidP="00634EC9">
      <w:pPr>
        <w:pStyle w:val="Prrafodelista"/>
        <w:ind w:left="1440"/>
        <w:jc w:val="both"/>
        <w:rPr>
          <w:rFonts w:cs="Arial"/>
          <w:sz w:val="20"/>
          <w:szCs w:val="20"/>
          <w:lang w:val="es-ES"/>
        </w:rPr>
      </w:pPr>
    </w:p>
    <w:p w:rsidR="001B2C68" w:rsidRPr="00634EC9" w:rsidRDefault="00634EC9" w:rsidP="00634EC9">
      <w:pPr>
        <w:pStyle w:val="Prrafodelista"/>
        <w:spacing w:after="0" w:line="480" w:lineRule="auto"/>
        <w:ind w:left="1080"/>
        <w:jc w:val="both"/>
        <w:rPr>
          <w:sz w:val="20"/>
          <w:szCs w:val="20"/>
          <w:lang w:val="en-US"/>
        </w:rPr>
      </w:pPr>
      <w:r w:rsidRPr="00634EC9">
        <w:rPr>
          <w:rFonts w:cs="Arial"/>
          <w:b/>
          <w:lang w:val="es-ES"/>
        </w:rPr>
        <w:t xml:space="preserve"> </w:t>
      </w:r>
      <w:bookmarkStart w:id="1" w:name="_GoBack"/>
      <w:bookmarkEnd w:id="1"/>
    </w:p>
    <w:sectPr w:rsidR="001B2C68" w:rsidRPr="00634EC9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3F" w:rsidRDefault="00860A3F" w:rsidP="0073448C">
      <w:pPr>
        <w:spacing w:after="0" w:line="240" w:lineRule="auto"/>
      </w:pPr>
      <w:r>
        <w:separator/>
      </w:r>
    </w:p>
  </w:endnote>
  <w:endnote w:type="continuationSeparator" w:id="0">
    <w:p w:rsidR="00860A3F" w:rsidRDefault="00860A3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860A3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857287" w:rsidRPr="00857287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3F" w:rsidRDefault="00860A3F" w:rsidP="0073448C">
      <w:pPr>
        <w:spacing w:after="0" w:line="240" w:lineRule="auto"/>
      </w:pPr>
      <w:r>
        <w:separator/>
      </w:r>
    </w:p>
  </w:footnote>
  <w:footnote w:type="continuationSeparator" w:id="0">
    <w:p w:rsidR="00860A3F" w:rsidRDefault="00860A3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860A3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925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57287"/>
    <w:rsid w:val="00860A3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4D9EA-0745-4C3D-B5AD-B5999B1F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2016-05-18T16:32:00Z</cp:lastPrinted>
  <dcterms:created xsi:type="dcterms:W3CDTF">2016-05-12T15:20:00Z</dcterms:created>
  <dcterms:modified xsi:type="dcterms:W3CDTF">2016-05-24T15:48:00Z</dcterms:modified>
</cp:coreProperties>
</file>