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>el procedimiento para autorizar el ingreso 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B61C17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Producción General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lastRenderedPageBreak/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1C0972" w:rsidRPr="001C0972" w:rsidRDefault="00B61C17" w:rsidP="001C0972">
      <w:pPr>
        <w:pStyle w:val="Prrafodelista"/>
        <w:numPr>
          <w:ilvl w:val="0"/>
          <w:numId w:val="21"/>
        </w:numPr>
        <w:rPr>
          <w:b/>
          <w:i/>
          <w:sz w:val="24"/>
          <w:szCs w:val="24"/>
        </w:rPr>
      </w:pPr>
      <w:r w:rsidRPr="001C0972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1C0972">
        <w:rPr>
          <w:rFonts w:cs="Calibri"/>
          <w:b/>
          <w:sz w:val="20"/>
          <w:szCs w:val="20"/>
        </w:rPr>
        <w:t>Mesa de Ayuda:</w:t>
      </w:r>
      <w:r w:rsidRPr="001C0972">
        <w:rPr>
          <w:sz w:val="20"/>
          <w:szCs w:val="20"/>
        </w:rPr>
        <w:t xml:space="preserve"> </w:t>
      </w:r>
      <w:hyperlink r:id="rId9" w:history="1">
        <w:r w:rsidRPr="001C0972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1C0972">
        <w:rPr>
          <w:rFonts w:cs="Calibri"/>
          <w:sz w:val="20"/>
          <w:szCs w:val="20"/>
        </w:rPr>
        <w:t xml:space="preserve">, </w:t>
      </w:r>
      <w:r w:rsidRPr="001C0972">
        <w:rPr>
          <w:rStyle w:val="Hipervnculo"/>
          <w:rFonts w:cs="Calibri"/>
          <w:color w:val="auto"/>
          <w:sz w:val="20"/>
          <w:szCs w:val="20"/>
          <w:u w:val="none"/>
        </w:rPr>
        <w:t xml:space="preserve">con </w:t>
      </w:r>
      <w:r w:rsidRPr="001C0972">
        <w:rPr>
          <w:rStyle w:val="Hipervnculo"/>
          <w:rFonts w:cs="Calibri"/>
          <w:color w:val="auto"/>
          <w:sz w:val="20"/>
          <w:szCs w:val="20"/>
          <w:highlight w:val="yellow"/>
          <w:u w:val="none"/>
        </w:rPr>
        <w:t>48hs</w:t>
      </w:r>
      <w:r w:rsidRPr="001C0972">
        <w:rPr>
          <w:rStyle w:val="Hipervnculo"/>
          <w:rFonts w:cs="Calibri"/>
          <w:color w:val="auto"/>
          <w:sz w:val="20"/>
          <w:szCs w:val="20"/>
          <w:u w:val="none"/>
        </w:rPr>
        <w:t xml:space="preserve"> de antelación </w:t>
      </w:r>
      <w:r w:rsidR="001C0972" w:rsidRPr="001C0972">
        <w:rPr>
          <w:b/>
          <w:i/>
          <w:sz w:val="24"/>
          <w:szCs w:val="24"/>
        </w:rPr>
        <w:t xml:space="preserve">Control de documentación de Proveedores </w:t>
      </w:r>
    </w:p>
    <w:p w:rsidR="001C0972" w:rsidRDefault="001C0972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Previo al ingreso de  proveedores  el área recibe  correo electrónico con la documentación correspondiente de Higiene y Seguridad  (Ver Anexo I), la misma se controla y se da una devolución vía mail.</w:t>
      </w:r>
    </w:p>
    <w:p w:rsidR="001C0972" w:rsidRDefault="001C0972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Se descarga dicha documentación y se guarda en  una carpeta por mes de ingreso en  el disco compartido  </w:t>
      </w:r>
      <w:proofErr w:type="spellStart"/>
      <w:r>
        <w:rPr>
          <w:sz w:val="24"/>
          <w:szCs w:val="24"/>
        </w:rPr>
        <w:t>higieneyseguridad</w:t>
      </w:r>
      <w:proofErr w:type="spellEnd"/>
      <w:r>
        <w:rPr>
          <w:sz w:val="24"/>
          <w:szCs w:val="24"/>
        </w:rPr>
        <w:t xml:space="preserve">(//file.myc.ar) </w:t>
      </w:r>
      <w:r>
        <w:t xml:space="preserve"> </w:t>
      </w:r>
      <w:r>
        <w:rPr>
          <w:sz w:val="24"/>
          <w:szCs w:val="24"/>
        </w:rPr>
        <w:t>Y:\HYS\02.PROVEEDORES\PROVEEDORES QUE INGRESAN 2016.</w:t>
      </w:r>
    </w:p>
    <w:p w:rsidR="001C0972" w:rsidRDefault="001C0972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El día del ingreso al establecimiento  el proveedor debe presentar </w:t>
      </w:r>
      <w:proofErr w:type="gramStart"/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aérea de Higiene y Seguridad la documentación impresa, para que forme parte de un Legajo Técnico de la empresa.</w:t>
      </w:r>
    </w:p>
    <w:p w:rsidR="001C0972" w:rsidRDefault="001C0972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Finalmente  los datos  se cargan en una planilla de registro  (Ver Planilla de Registros).</w:t>
      </w:r>
    </w:p>
    <w:p w:rsidR="00B61C17" w:rsidRPr="005846E5" w:rsidRDefault="00B61C17" w:rsidP="001C0972">
      <w:pPr>
        <w:suppressAutoHyphens/>
        <w:spacing w:after="0" w:line="240" w:lineRule="auto"/>
        <w:ind w:left="720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 xml:space="preserve">Solicitar la información detallada y según Anexo I -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</w:p>
    <w:p w:rsidR="005846E5" w:rsidRPr="001C0972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1C0972" w:rsidRPr="001C0972" w:rsidRDefault="001C0972" w:rsidP="001C0972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</w:pPr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>Que esté en vigencia.</w:t>
      </w:r>
    </w:p>
    <w:p w:rsidR="001C0972" w:rsidRPr="001C0972" w:rsidRDefault="001C0972" w:rsidP="001C0972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</w:pPr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Que este la Cláusula de no repetición a favor de </w:t>
      </w:r>
      <w:proofErr w:type="spellStart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>sist</w:t>
      </w:r>
      <w:proofErr w:type="spellEnd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. Federal </w:t>
      </w:r>
      <w:proofErr w:type="spellStart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>dde</w:t>
      </w:r>
      <w:proofErr w:type="spellEnd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medios y </w:t>
      </w:r>
      <w:proofErr w:type="spellStart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>Esuco</w:t>
      </w:r>
      <w:proofErr w:type="spellEnd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SA Riva SA UTE.</w:t>
      </w:r>
    </w:p>
    <w:p w:rsidR="001C0972" w:rsidRPr="001C0972" w:rsidRDefault="001C0972" w:rsidP="001C0972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</w:pPr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Que la nómina coincida con </w:t>
      </w:r>
      <w:proofErr w:type="gramStart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>el</w:t>
      </w:r>
      <w:proofErr w:type="gramEnd"/>
      <w:r w:rsidRPr="001C0972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personal q va a ingresar.</w:t>
      </w:r>
    </w:p>
    <w:p w:rsidR="00640446" w:rsidRPr="005846E5" w:rsidRDefault="008A3EB0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>
        <w:rPr>
          <w:sz w:val="20"/>
          <w:szCs w:val="20"/>
        </w:rPr>
        <w:t xml:space="preserve">Responder la </w:t>
      </w:r>
      <w:r w:rsidR="00E9531D" w:rsidRPr="005846E5">
        <w:rPr>
          <w:sz w:val="20"/>
          <w:szCs w:val="20"/>
        </w:rPr>
        <w:t xml:space="preserve">“Solicitud” (o Ticket)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8E6608" w:rsidRPr="00D8383A" w:rsidRDefault="008E6608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8E6608">
      <w:pPr>
        <w:pStyle w:val="Prrafodelista"/>
        <w:numPr>
          <w:ilvl w:val="0"/>
          <w:numId w:val="6"/>
        </w:numPr>
        <w:spacing w:line="480" w:lineRule="auto"/>
        <w:rPr>
          <w:b/>
        </w:rPr>
      </w:pPr>
      <w:r>
        <w:rPr>
          <w:rFonts w:cs="Arial"/>
          <w:b/>
          <w:lang w:val="es-ES"/>
        </w:rPr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mínima de </w:t>
      </w:r>
      <w:r w:rsidRPr="005846E5">
        <w:rPr>
          <w:sz w:val="20"/>
          <w:szCs w:val="20"/>
          <w:highlight w:val="yellow"/>
        </w:rPr>
        <w:t>5 días hábiles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  <w:bookmarkStart w:id="1" w:name="_GoBack"/>
      <w:bookmarkEnd w:id="1"/>
    </w:p>
    <w:sectPr w:rsidR="001B2C68" w:rsidRPr="007444B7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9B7" w:rsidRDefault="007329B7" w:rsidP="0073448C">
      <w:pPr>
        <w:spacing w:after="0" w:line="240" w:lineRule="auto"/>
      </w:pPr>
      <w:r>
        <w:separator/>
      </w:r>
    </w:p>
  </w:endnote>
  <w:endnote w:type="continuationSeparator" w:id="0">
    <w:p w:rsidR="007329B7" w:rsidRDefault="007329B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329B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8A3EB0" w:rsidRPr="008A3EB0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9B7" w:rsidRDefault="007329B7" w:rsidP="0073448C">
      <w:pPr>
        <w:spacing w:after="0" w:line="240" w:lineRule="auto"/>
      </w:pPr>
      <w:r>
        <w:separator/>
      </w:r>
    </w:p>
  </w:footnote>
  <w:footnote w:type="continuationSeparator" w:id="0">
    <w:p w:rsidR="007329B7" w:rsidRDefault="007329B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7329B7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01367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870353"/>
    <w:multiLevelType w:val="hybridMultilevel"/>
    <w:tmpl w:val="901C12F2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25"/>
  </w:num>
  <w:num w:numId="10">
    <w:abstractNumId w:val="24"/>
  </w:num>
  <w:num w:numId="11">
    <w:abstractNumId w:val="7"/>
  </w:num>
  <w:num w:numId="12">
    <w:abstractNumId w:val="5"/>
  </w:num>
  <w:num w:numId="13">
    <w:abstractNumId w:val="19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11"/>
  </w:num>
  <w:num w:numId="19">
    <w:abstractNumId w:val="1"/>
  </w:num>
  <w:num w:numId="20">
    <w:abstractNumId w:val="21"/>
  </w:num>
  <w:num w:numId="21">
    <w:abstractNumId w:val="17"/>
  </w:num>
  <w:num w:numId="22">
    <w:abstractNumId w:val="20"/>
  </w:num>
  <w:num w:numId="23">
    <w:abstractNumId w:val="15"/>
  </w:num>
  <w:num w:numId="24">
    <w:abstractNumId w:val="23"/>
  </w:num>
  <w:num w:numId="25">
    <w:abstractNumId w:val="14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200DA-D0F8-49D3-81E2-EC56252F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</cp:revision>
  <cp:lastPrinted>2016-05-12T16:23:00Z</cp:lastPrinted>
  <dcterms:created xsi:type="dcterms:W3CDTF">2016-05-17T21:03:00Z</dcterms:created>
  <dcterms:modified xsi:type="dcterms:W3CDTF">2016-05-17T21:08:00Z</dcterms:modified>
</cp:coreProperties>
</file>