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9149BB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8.6 - 9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INSPECCION DE EXTINTORE</w:t>
      </w:r>
      <w:r w:rsidR="001C0972" w:rsidRPr="001C0972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053620">
        <w:rPr>
          <w:rFonts w:cs="Arial"/>
          <w:i/>
          <w:highlight w:val="yellow"/>
        </w:rPr>
        <w:t xml:space="preserve">Normalizar </w:t>
      </w:r>
      <w:r w:rsidR="00F16814">
        <w:rPr>
          <w:rFonts w:cs="Arial"/>
          <w:i/>
          <w:highlight w:val="yellow"/>
        </w:rPr>
        <w:t>el procedimiento de I</w:t>
      </w:r>
      <w:r w:rsidR="009149BB" w:rsidRPr="00CF3210">
        <w:rPr>
          <w:rFonts w:cs="Arial"/>
          <w:i/>
          <w:highlight w:val="yellow"/>
        </w:rPr>
        <w:t xml:space="preserve">nspección </w:t>
      </w:r>
      <w:r w:rsidR="00F16814">
        <w:rPr>
          <w:rFonts w:cs="Arial"/>
          <w:i/>
          <w:highlight w:val="yellow"/>
        </w:rPr>
        <w:t xml:space="preserve">de los Extintores 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227"/>
        <w:gridCol w:w="6275"/>
      </w:tblGrid>
      <w:tr w:rsidR="0022109D" w:rsidTr="00383036">
        <w:tc>
          <w:tcPr>
            <w:tcW w:w="6227" w:type="dxa"/>
          </w:tcPr>
          <w:bookmarkEnd w:id="0"/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9478A1" w:rsidRDefault="009478A1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Estaría necesitando incorporar al procedimiento: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quien hace cada tarea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cuando debe realizarla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como se debe hacer la tarea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- en relación al "manómetro" como es un elemento de precisión necesito incorporar información de </w:t>
            </w:r>
            <w:proofErr w:type="spellStart"/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como</w:t>
            </w:r>
            <w:proofErr w:type="spellEnd"/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nos aseguramos que este perfectamente calibrado 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así mismo, es fundamental que hagamos mención a la "normativa vigente y aplicable" (ley, decreto, etc.)</w:t>
            </w:r>
          </w:p>
          <w:p w:rsidR="009478A1" w:rsidRDefault="009478A1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9478A1" w:rsidRPr="009478A1" w:rsidRDefault="00383036" w:rsidP="009478A1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383036">
              <w:rPr>
                <w:rFonts w:cstheme="minorHAnsi"/>
                <w:b/>
                <w:sz w:val="16"/>
                <w:szCs w:val="16"/>
              </w:rPr>
              <w:t>Definición</w:t>
            </w:r>
            <w:r w:rsidR="00053620">
              <w:rPr>
                <w:rFonts w:cstheme="minorHAnsi"/>
                <w:b/>
                <w:sz w:val="16"/>
                <w:szCs w:val="16"/>
              </w:rPr>
              <w:t>, alcance</w:t>
            </w:r>
            <w:r w:rsidRPr="00383036">
              <w:rPr>
                <w:rFonts w:cstheme="minorHAnsi"/>
                <w:b/>
                <w:sz w:val="16"/>
                <w:szCs w:val="16"/>
              </w:rPr>
              <w:t xml:space="preserve"> y generalidades</w:t>
            </w:r>
            <w:r w:rsidR="009478A1">
              <w:rPr>
                <w:rFonts w:cstheme="minorHAnsi"/>
                <w:b/>
                <w:sz w:val="16"/>
                <w:szCs w:val="16"/>
              </w:rPr>
              <w:t>:</w:t>
            </w:r>
          </w:p>
          <w:p w:rsidR="002A6485" w:rsidRDefault="009478A1" w:rsidP="009478A1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presente es de aplicación a todo el edificio del Centro Cultural </w:t>
            </w:r>
            <w:r w:rsidR="002A6485">
              <w:rPr>
                <w:sz w:val="16"/>
                <w:szCs w:val="16"/>
              </w:rPr>
              <w:t>con carácter MENSUAL</w:t>
            </w:r>
          </w:p>
          <w:p w:rsidR="009478A1" w:rsidRPr="00383036" w:rsidRDefault="002A6485" w:rsidP="009478A1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478A1">
              <w:rPr>
                <w:sz w:val="16"/>
                <w:szCs w:val="16"/>
              </w:rPr>
              <w:t xml:space="preserve">a responsabilidad por la implementación </w:t>
            </w:r>
            <w:r>
              <w:rPr>
                <w:sz w:val="16"/>
                <w:szCs w:val="16"/>
              </w:rPr>
              <w:t xml:space="preserve">será de </w:t>
            </w:r>
            <w:r w:rsidR="009478A1">
              <w:rPr>
                <w:sz w:val="16"/>
                <w:szCs w:val="16"/>
              </w:rPr>
              <w:t>Higiene &amp; Seguridad.</w:t>
            </w:r>
          </w:p>
          <w:p w:rsidR="00383036" w:rsidRPr="002A6485" w:rsidRDefault="002A6485" w:rsidP="00383036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 w:rsidRPr="002A6485">
              <w:rPr>
                <w:sz w:val="16"/>
                <w:szCs w:val="16"/>
              </w:rPr>
              <w:t>Por normal</w:t>
            </w:r>
            <w:r>
              <w:rPr>
                <w:sz w:val="16"/>
                <w:szCs w:val="16"/>
              </w:rPr>
              <w:t>, l</w:t>
            </w:r>
            <w:r w:rsidR="00E52365" w:rsidRPr="002A6485">
              <w:rPr>
                <w:sz w:val="16"/>
                <w:szCs w:val="16"/>
              </w:rPr>
              <w:t>os extintores se encuentran ubicados en “</w:t>
            </w:r>
            <w:r w:rsidR="00383036" w:rsidRPr="002A6485">
              <w:rPr>
                <w:sz w:val="16"/>
                <w:szCs w:val="16"/>
              </w:rPr>
              <w:t>Nicho</w:t>
            </w:r>
            <w:r w:rsidR="00E52365" w:rsidRPr="002A6485">
              <w:rPr>
                <w:sz w:val="16"/>
                <w:szCs w:val="16"/>
              </w:rPr>
              <w:t>s”</w:t>
            </w:r>
            <w:r w:rsidR="00383036" w:rsidRPr="002A6485">
              <w:rPr>
                <w:sz w:val="16"/>
                <w:szCs w:val="16"/>
              </w:rPr>
              <w:t xml:space="preserve"> dividido</w:t>
            </w:r>
            <w:r w:rsidR="00E52365" w:rsidRPr="002A6485">
              <w:rPr>
                <w:sz w:val="16"/>
                <w:szCs w:val="16"/>
              </w:rPr>
              <w:t>s</w:t>
            </w:r>
            <w:r w:rsidR="00383036" w:rsidRPr="002A6485">
              <w:rPr>
                <w:sz w:val="16"/>
                <w:szCs w:val="16"/>
              </w:rPr>
              <w:t xml:space="preserve"> en dos </w:t>
            </w:r>
            <w:r w:rsidR="00E52365" w:rsidRPr="002A6485">
              <w:rPr>
                <w:sz w:val="16"/>
                <w:szCs w:val="16"/>
              </w:rPr>
              <w:t>compartimentos</w:t>
            </w:r>
            <w:r w:rsidRPr="002A6485">
              <w:rPr>
                <w:sz w:val="16"/>
                <w:szCs w:val="16"/>
              </w:rPr>
              <w:t xml:space="preserve">. </w:t>
            </w:r>
            <w:r w:rsidR="00383036" w:rsidRPr="002A6485">
              <w:rPr>
                <w:sz w:val="16"/>
                <w:szCs w:val="16"/>
              </w:rPr>
              <w:t>En la parte superior se encuentran colocado los extintores y en la inferior la manguera hidrante.</w:t>
            </w:r>
          </w:p>
          <w:p w:rsidR="00F16814" w:rsidRDefault="00F16814" w:rsidP="00383036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vencimiento normativo de cada extintor es ANUAL y la fecha de referencia a tomar será siempre la de “recarga” según registros del Seguimiento de Extintores (Ver archivo en Disco compartido de Higiene &amp; Seguridad)</w:t>
            </w:r>
          </w:p>
          <w:p w:rsidR="00383036" w:rsidRPr="00383036" w:rsidRDefault="00383036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 w:rsidRPr="00383036">
              <w:rPr>
                <w:rFonts w:cs="Calibri"/>
                <w:b/>
                <w:sz w:val="16"/>
                <w:szCs w:val="16"/>
              </w:rPr>
              <w:t>Flujo del Proceso de i</w:t>
            </w:r>
            <w:r w:rsidRPr="00383036">
              <w:rPr>
                <w:b/>
                <w:sz w:val="16"/>
                <w:szCs w:val="16"/>
              </w:rPr>
              <w:t>nspección de extintores</w:t>
            </w:r>
            <w:r w:rsidR="009478A1">
              <w:rPr>
                <w:b/>
                <w:sz w:val="16"/>
                <w:szCs w:val="16"/>
              </w:rPr>
              <w:t>:</w:t>
            </w: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-Verificación del vencimiento de la recarga y vencimiento del PH (información que se encuentra registrad</w:t>
            </w:r>
            <w:r w:rsidR="00F16814">
              <w:rPr>
                <w:sz w:val="16"/>
                <w:szCs w:val="16"/>
              </w:rPr>
              <w:t>a</w:t>
            </w:r>
            <w:r w:rsidRPr="00053620">
              <w:rPr>
                <w:sz w:val="16"/>
                <w:szCs w:val="16"/>
              </w:rPr>
              <w:t xml:space="preserve"> en las tarjetas municipales  del Gobierno de la Ciudad de Buenos Aires).</w:t>
            </w:r>
          </w:p>
          <w:p w:rsidR="002566DD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-</w:t>
            </w:r>
            <w:r w:rsidR="002566DD">
              <w:rPr>
                <w:sz w:val="16"/>
                <w:szCs w:val="16"/>
              </w:rPr>
              <w:t xml:space="preserve"> (8) </w:t>
            </w:r>
            <w:r w:rsidRPr="00053620">
              <w:rPr>
                <w:sz w:val="16"/>
                <w:szCs w:val="16"/>
              </w:rPr>
              <w:t xml:space="preserve">Se verifica que no se encuentren despresurizados, controlando a través de manómetro. </w:t>
            </w:r>
          </w:p>
          <w:p w:rsidR="002566DD" w:rsidRDefault="002566DD" w:rsidP="002566DD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E929EB">
              <w:rPr>
                <w:sz w:val="16"/>
                <w:szCs w:val="16"/>
              </w:rPr>
              <w:t>L</w:t>
            </w:r>
            <w:r w:rsidR="00E929EB" w:rsidRPr="00053620">
              <w:rPr>
                <w:sz w:val="16"/>
                <w:szCs w:val="16"/>
              </w:rPr>
              <w:t>os extintores</w:t>
            </w:r>
            <w:r w:rsidR="00E929EB">
              <w:rPr>
                <w:sz w:val="16"/>
                <w:szCs w:val="16"/>
              </w:rPr>
              <w:t xml:space="preserve"> deben estar</w:t>
            </w:r>
            <w:r w:rsidR="00E929EB" w:rsidRPr="00053620">
              <w:rPr>
                <w:sz w:val="16"/>
                <w:szCs w:val="16"/>
              </w:rPr>
              <w:t xml:space="preserve"> ubicados </w:t>
            </w:r>
            <w:r w:rsidR="00E929EB">
              <w:rPr>
                <w:sz w:val="16"/>
                <w:szCs w:val="16"/>
              </w:rPr>
              <w:t>dentro delos</w:t>
            </w:r>
            <w:r w:rsidR="00E929EB" w:rsidRPr="00053620">
              <w:rPr>
                <w:sz w:val="16"/>
                <w:szCs w:val="16"/>
              </w:rPr>
              <w:t xml:space="preserve"> nichos correspondientes según nomenclatura </w:t>
            </w:r>
            <w:r w:rsidR="00E929EB">
              <w:rPr>
                <w:sz w:val="16"/>
                <w:szCs w:val="16"/>
              </w:rPr>
              <w:t>validada por Espacios Físicos</w:t>
            </w:r>
            <w:r w:rsidR="00E929EB" w:rsidRPr="00053620">
              <w:rPr>
                <w:sz w:val="16"/>
                <w:szCs w:val="16"/>
              </w:rPr>
              <w:t>.</w:t>
            </w:r>
            <w:r w:rsidR="00E92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Si se detectan faltantes se procede </w:t>
            </w:r>
            <w:r w:rsidRPr="00E929EB">
              <w:rPr>
                <w:sz w:val="16"/>
                <w:szCs w:val="16"/>
                <w:highlight w:val="yellow"/>
              </w:rPr>
              <w:t>con la</w:t>
            </w:r>
            <w:r>
              <w:rPr>
                <w:sz w:val="16"/>
                <w:szCs w:val="16"/>
              </w:rPr>
              <w:t xml:space="preserve"> </w:t>
            </w:r>
            <w:r w:rsidRPr="002566DD">
              <w:rPr>
                <w:sz w:val="16"/>
                <w:szCs w:val="16"/>
                <w:highlight w:val="yellow"/>
              </w:rPr>
              <w:t>siguiente lógica</w:t>
            </w:r>
            <w:r>
              <w:rPr>
                <w:sz w:val="16"/>
                <w:szCs w:val="16"/>
              </w:rPr>
              <w:t xml:space="preserve"> </w:t>
            </w:r>
          </w:p>
          <w:p w:rsidR="00053620" w:rsidRDefault="00013B08" w:rsidP="002566DD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Si se detectan extintores “despresurizados” se  </w:t>
            </w:r>
            <w:r w:rsidR="00053620" w:rsidRPr="002566DD">
              <w:rPr>
                <w:sz w:val="16"/>
                <w:szCs w:val="16"/>
              </w:rPr>
              <w:t xml:space="preserve">informara a mantenimiento, </w:t>
            </w:r>
            <w:r w:rsidR="002A6485">
              <w:rPr>
                <w:sz w:val="16"/>
                <w:szCs w:val="16"/>
              </w:rPr>
              <w:t>para que gestione</w:t>
            </w:r>
            <w:r>
              <w:rPr>
                <w:sz w:val="16"/>
                <w:szCs w:val="16"/>
              </w:rPr>
              <w:t xml:space="preserve"> el cambio correspondiente según protocolo vigente.</w:t>
            </w:r>
            <w:r w:rsidR="002A6485">
              <w:rPr>
                <w:sz w:val="16"/>
                <w:szCs w:val="16"/>
              </w:rPr>
              <w:t xml:space="preserve"> Se deberá constatar que el cambio </w:t>
            </w:r>
            <w:proofErr w:type="spellStart"/>
            <w:r w:rsidR="002A6485">
              <w:rPr>
                <w:sz w:val="16"/>
                <w:szCs w:val="16"/>
              </w:rPr>
              <w:t>esta</w:t>
            </w:r>
            <w:proofErr w:type="spellEnd"/>
            <w:r w:rsidR="002A6485">
              <w:rPr>
                <w:sz w:val="16"/>
                <w:szCs w:val="16"/>
              </w:rPr>
              <w:t xml:space="preserve"> realizado dentro de las 48hs de notificado.</w:t>
            </w:r>
          </w:p>
          <w:p w:rsidR="002A6485" w:rsidRPr="002566DD" w:rsidRDefault="002A6485" w:rsidP="002566DD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E929EB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e emitirá un </w:t>
            </w:r>
            <w:r w:rsidRPr="002A6485">
              <w:rPr>
                <w:sz w:val="16"/>
                <w:szCs w:val="16"/>
                <w:highlight w:val="yellow"/>
              </w:rPr>
              <w:t xml:space="preserve">Informe de </w:t>
            </w:r>
            <w:r w:rsidR="00E929EB">
              <w:rPr>
                <w:sz w:val="16"/>
                <w:szCs w:val="16"/>
                <w:highlight w:val="yellow"/>
              </w:rPr>
              <w:t>Cumplimiento/</w:t>
            </w:r>
            <w:r w:rsidRPr="002A6485">
              <w:rPr>
                <w:sz w:val="16"/>
                <w:szCs w:val="16"/>
                <w:highlight w:val="yellow"/>
              </w:rPr>
              <w:t>Incumplimiento</w:t>
            </w:r>
            <w:r>
              <w:rPr>
                <w:sz w:val="16"/>
                <w:szCs w:val="16"/>
              </w:rPr>
              <w:t xml:space="preserve"> para notificar al coordinador de Mantenimiento y registrar dicha situación.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</w:p>
          <w:p w:rsidR="002A6485" w:rsidRDefault="002A648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383036" w:rsidRPr="00383036" w:rsidRDefault="00383036" w:rsidP="00383036">
            <w:pPr>
              <w:jc w:val="both"/>
              <w:rPr>
                <w:b/>
                <w:sz w:val="16"/>
                <w:szCs w:val="16"/>
              </w:rPr>
            </w:pPr>
            <w:r w:rsidRPr="00383036">
              <w:rPr>
                <w:b/>
                <w:sz w:val="16"/>
                <w:szCs w:val="16"/>
              </w:rPr>
              <w:t>Flujo del Proceso de Inspección del Hidrante: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Se inspecciona que la manguera se encuentre en buen estado, que cuente con todos sus accesorios: lanza,  boquilla de válvula, llave, tapa. De encontrar faltante de dichos accesorio, se informara al área de mantenimiento quien se ocupara de resolver el incumplimiento.</w:t>
            </w:r>
            <w:r w:rsidR="00E929EB">
              <w:rPr>
                <w:sz w:val="16"/>
                <w:szCs w:val="16"/>
              </w:rPr>
              <w:t xml:space="preserve"> Se verificara la tarea dentro de las 48hs de solicitada y se </w:t>
            </w:r>
            <w:r w:rsidR="00E929EB">
              <w:rPr>
                <w:sz w:val="16"/>
                <w:szCs w:val="16"/>
              </w:rPr>
              <w:t xml:space="preserve">emitirá un </w:t>
            </w:r>
            <w:r w:rsidR="00E929EB" w:rsidRPr="002A6485">
              <w:rPr>
                <w:sz w:val="16"/>
                <w:szCs w:val="16"/>
                <w:highlight w:val="yellow"/>
              </w:rPr>
              <w:t xml:space="preserve">Informe de </w:t>
            </w:r>
            <w:r w:rsidR="00E929EB">
              <w:rPr>
                <w:sz w:val="16"/>
                <w:szCs w:val="16"/>
                <w:highlight w:val="yellow"/>
              </w:rPr>
              <w:t xml:space="preserve">Cumplimiento o  de </w:t>
            </w:r>
            <w:r w:rsidR="00E929EB" w:rsidRPr="002A6485">
              <w:rPr>
                <w:sz w:val="16"/>
                <w:szCs w:val="16"/>
                <w:highlight w:val="yellow"/>
              </w:rPr>
              <w:t>Incumplimiento</w:t>
            </w:r>
            <w:r w:rsidR="00E929EB">
              <w:rPr>
                <w:sz w:val="16"/>
                <w:szCs w:val="16"/>
              </w:rPr>
              <w:t xml:space="preserve"> según el caso.</w:t>
            </w:r>
          </w:p>
          <w:p w:rsidR="00BB7E7E" w:rsidRDefault="00BB7E7E" w:rsidP="002D265E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:rsidR="00E52365" w:rsidRPr="00E52365" w:rsidRDefault="00B40F32" w:rsidP="00E929EB">
            <w:pPr>
              <w:jc w:val="both"/>
              <w:rPr>
                <w:b/>
                <w:i/>
                <w:sz w:val="16"/>
                <w:szCs w:val="16"/>
              </w:rPr>
            </w:pPr>
            <w:r w:rsidRPr="00B40F32">
              <w:rPr>
                <w:rFonts w:ascii="Calibri" w:hAnsi="Calibri"/>
                <w:b/>
                <w:sz w:val="16"/>
                <w:szCs w:val="16"/>
              </w:rPr>
              <w:t xml:space="preserve">La cobertura horaria del personal de 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>Higiene &amp; Seguridad</w:t>
            </w:r>
            <w:r w:rsidRPr="00B40F32">
              <w:rPr>
                <w:rFonts w:ascii="Calibri" w:hAnsi="Calibri"/>
                <w:b/>
                <w:sz w:val="16"/>
                <w:szCs w:val="16"/>
              </w:rPr>
              <w:t xml:space="preserve"> es el previsto para el Ce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>ntro cultural de 0</w:t>
            </w:r>
            <w:r w:rsidR="00E929EB">
              <w:rPr>
                <w:rFonts w:ascii="Calibri" w:hAnsi="Calibri"/>
                <w:b/>
                <w:sz w:val="16"/>
                <w:szCs w:val="16"/>
              </w:rPr>
              <w:t>9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>hs a 2</w:t>
            </w:r>
            <w:r w:rsidR="00E929EB">
              <w:rPr>
                <w:rFonts w:ascii="Calibri" w:hAnsi="Calibri"/>
                <w:b/>
                <w:sz w:val="16"/>
                <w:szCs w:val="16"/>
              </w:rPr>
              <w:t>0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 xml:space="preserve">hs. </w:t>
            </w:r>
            <w:r w:rsidRPr="00B40F32">
              <w:rPr>
                <w:rFonts w:ascii="Calibri" w:hAnsi="Calibri"/>
                <w:b/>
                <w:sz w:val="16"/>
                <w:szCs w:val="16"/>
              </w:rPr>
              <w:t>Cualquier gestión que sea necesario realizar fuera de este horario deberá ser comunicada con anticipación a la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 xml:space="preserve"> Coordinación Técnica Operativa</w:t>
            </w:r>
          </w:p>
        </w:tc>
      </w:tr>
      <w:tr w:rsidR="00E52365" w:rsidTr="00383036">
        <w:tc>
          <w:tcPr>
            <w:tcW w:w="6227" w:type="dxa"/>
          </w:tcPr>
          <w:p w:rsidR="00E52365" w:rsidRPr="00B40F32" w:rsidRDefault="00E52365" w:rsidP="0070273D">
            <w:pPr>
              <w:jc w:val="both"/>
              <w:rPr>
                <w:sz w:val="16"/>
                <w:szCs w:val="16"/>
                <w:u w:val="single"/>
              </w:rPr>
            </w:pPr>
            <w:r w:rsidRPr="00B40F32">
              <w:rPr>
                <w:sz w:val="16"/>
                <w:szCs w:val="16"/>
                <w:u w:val="single"/>
              </w:rPr>
              <w:t>Responsabilidades: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1: CTO/Servicios Generales (SG)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lastRenderedPageBreak/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E52365" w:rsidRDefault="00E52365" w:rsidP="0070273D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lastRenderedPageBreak/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52365" w:rsidRPr="00376787" w:rsidRDefault="00E52365" w:rsidP="0070273D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52365" w:rsidRPr="00376787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52365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</w:t>
            </w:r>
            <w:r w:rsidR="00E929EB">
              <w:rPr>
                <w:sz w:val="16"/>
                <w:szCs w:val="16"/>
              </w:rPr>
              <w:t>de Mantenimiento Vigente</w:t>
            </w:r>
          </w:p>
          <w:p w:rsidR="00E52365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52365" w:rsidRPr="00A0506E" w:rsidRDefault="00B40F32" w:rsidP="00B40F3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A0506E">
              <w:rPr>
                <w:sz w:val="16"/>
                <w:szCs w:val="16"/>
              </w:rPr>
              <w:t xml:space="preserve">Sin perjuicio de lo que este procedimiento normaliza, se asume como mandatorio </w:t>
            </w:r>
            <w:r w:rsidRPr="00A0506E">
              <w:rPr>
                <w:sz w:val="16"/>
                <w:szCs w:val="16"/>
              </w:rPr>
              <w:lastRenderedPageBreak/>
              <w:t>(verificar según pliego o contrato de adjudicación) la realización por parte de la empresa contratista del servicio de inspección trimestral del 100% de los extintores del edificio.</w:t>
            </w:r>
          </w:p>
        </w:tc>
      </w:tr>
    </w:tbl>
    <w:p w:rsidR="001B2C68" w:rsidRPr="00E52365" w:rsidRDefault="001B2C68" w:rsidP="00E52365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059" w:rsidRDefault="00473059" w:rsidP="0073448C">
      <w:pPr>
        <w:spacing w:after="0" w:line="240" w:lineRule="auto"/>
      </w:pPr>
      <w:r>
        <w:separator/>
      </w:r>
    </w:p>
  </w:endnote>
  <w:endnote w:type="continuationSeparator" w:id="0">
    <w:p w:rsidR="00473059" w:rsidRDefault="0047305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47305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E929EB" w:rsidRPr="00E929EB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059" w:rsidRDefault="00473059" w:rsidP="0073448C">
      <w:pPr>
        <w:spacing w:after="0" w:line="240" w:lineRule="auto"/>
      </w:pPr>
      <w:r>
        <w:separator/>
      </w:r>
    </w:p>
  </w:footnote>
  <w:footnote w:type="continuationSeparator" w:id="0">
    <w:p w:rsidR="00473059" w:rsidRDefault="0047305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9149BB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8.6 - 9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>
      <w:rPr>
        <w:rFonts w:cs="Arial"/>
        <w:sz w:val="28"/>
        <w:szCs w:val="28"/>
        <w:lang w:val="es-ES" w:eastAsia="es-ES"/>
      </w:rPr>
      <w:t>INSPECCION DE EXTINTORE</w:t>
    </w:r>
    <w:r w:rsidR="001C0972" w:rsidRPr="001C0972">
      <w:rPr>
        <w:rFonts w:cs="Arial"/>
        <w:sz w:val="28"/>
        <w:szCs w:val="28"/>
        <w:lang w:val="es-ES" w:eastAsia="es-ES"/>
      </w:rPr>
      <w:t>S</w:t>
    </w:r>
    <w:r w:rsidR="00473059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985218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5"/>
  </w:num>
  <w:num w:numId="10">
    <w:abstractNumId w:val="34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13B08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53620"/>
    <w:rsid w:val="00060837"/>
    <w:rsid w:val="0006093B"/>
    <w:rsid w:val="00066963"/>
    <w:rsid w:val="00073738"/>
    <w:rsid w:val="00075B74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0C42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66DD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A6485"/>
    <w:rsid w:val="002B26A3"/>
    <w:rsid w:val="002B4791"/>
    <w:rsid w:val="002B5383"/>
    <w:rsid w:val="002B5894"/>
    <w:rsid w:val="002B7E96"/>
    <w:rsid w:val="002C57D7"/>
    <w:rsid w:val="002D265E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364DF"/>
    <w:rsid w:val="004364ED"/>
    <w:rsid w:val="00444506"/>
    <w:rsid w:val="00444B82"/>
    <w:rsid w:val="00461E0B"/>
    <w:rsid w:val="00462770"/>
    <w:rsid w:val="00462E27"/>
    <w:rsid w:val="004652D3"/>
    <w:rsid w:val="004712AD"/>
    <w:rsid w:val="00471C49"/>
    <w:rsid w:val="0047305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2E69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478A1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B5BFE"/>
    <w:rsid w:val="009C7F32"/>
    <w:rsid w:val="009E2E53"/>
    <w:rsid w:val="009E79FF"/>
    <w:rsid w:val="009F36BD"/>
    <w:rsid w:val="009F552C"/>
    <w:rsid w:val="009F794D"/>
    <w:rsid w:val="00A0506E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0F32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B7E7E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3BCE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CF3210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04A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70D07"/>
    <w:rsid w:val="00E70EE5"/>
    <w:rsid w:val="00E73310"/>
    <w:rsid w:val="00E85CED"/>
    <w:rsid w:val="00E86593"/>
    <w:rsid w:val="00E90306"/>
    <w:rsid w:val="00E90326"/>
    <w:rsid w:val="00E929EB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16814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CD35C-D3DC-4A65-A1FF-21FE4C35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20</cp:revision>
  <cp:lastPrinted>2016-06-23T16:01:00Z</cp:lastPrinted>
  <dcterms:created xsi:type="dcterms:W3CDTF">2016-05-19T19:20:00Z</dcterms:created>
  <dcterms:modified xsi:type="dcterms:W3CDTF">2016-07-12T21:10:00Z</dcterms:modified>
</cp:coreProperties>
</file>