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BF23C1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7507661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</w:p>
    <w:p w:rsidR="00A7177F" w:rsidRPr="00A7177F" w:rsidRDefault="00180050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NOMINA MINISTERIAL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180050" w:rsidRPr="005C18A4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180050" w:rsidRDefault="00180050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SE DETALLA A CONTINUACION LA NOMINA DE FUNCIONARIOS DEL SISTEMA FEDERAL DE MEDIOS Y CONTENIDOS PUBLICOS CON ACCESO AL CENTRO CULTURAL NO REQUERE ACREDITACION NI CONTROL, COMO EXCEPCION EXPRESAMENTE PREVISTA AL PROCEDIMIENTO GENERAL 8.6-6 CONTROL DE ACCESOS - DETALLE:</w:t>
      </w:r>
    </w:p>
    <w:p w:rsidR="00180050" w:rsidRDefault="00180050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180050" w:rsidRDefault="00180050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HERNAN LOMBARDI</w:t>
      </w: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GABRIELA RICARDES</w:t>
      </w: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JORGE SIGAL</w:t>
      </w: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GUNSTAVO GONZALEZ</w:t>
      </w: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GUSTAVO MOZZI</w:t>
      </w: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ALEJANDRO CUEVAS</w:t>
      </w: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ALBERTO LIGALUPPI</w:t>
      </w:r>
    </w:p>
    <w:p w:rsidR="00180050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</w:p>
    <w:p w:rsidR="00934EE6" w:rsidRDefault="00180050" w:rsidP="00180050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ADRIAN BORTHAGARAY</w:t>
      </w:r>
    </w:p>
    <w:p w:rsidR="00180050" w:rsidRDefault="00180050" w:rsidP="00A7177F"/>
    <w:p w:rsidR="00E968A0" w:rsidRDefault="00E968A0" w:rsidP="00A7177F"/>
    <w:p w:rsidR="00180050" w:rsidRPr="00180050" w:rsidRDefault="00E968A0" w:rsidP="00A7177F">
      <w:pPr>
        <w:rPr>
          <w:b/>
          <w:color w:val="44546A" w:themeColor="text2"/>
          <w:sz w:val="20"/>
          <w:szCs w:val="20"/>
        </w:rPr>
      </w:pPr>
      <w:r>
        <w:rPr>
          <w:b/>
          <w:color w:val="44546A" w:themeColor="text2"/>
          <w:sz w:val="20"/>
          <w:szCs w:val="20"/>
        </w:rPr>
        <w:t xml:space="preserve">NOTA: </w:t>
      </w:r>
      <w:r w:rsidR="00180050" w:rsidRPr="00180050">
        <w:rPr>
          <w:b/>
          <w:color w:val="44546A" w:themeColor="text2"/>
          <w:sz w:val="20"/>
          <w:szCs w:val="20"/>
        </w:rPr>
        <w:t xml:space="preserve">LA NOMINA ANTES DESCRIPTA INCLUYE A </w:t>
      </w:r>
      <w:r w:rsidR="00180050">
        <w:rPr>
          <w:b/>
          <w:color w:val="44546A" w:themeColor="text2"/>
          <w:sz w:val="20"/>
          <w:szCs w:val="20"/>
        </w:rPr>
        <w:t>SUS CHOFERES PERSONALES Y SUS</w:t>
      </w:r>
      <w:r w:rsidR="00180050" w:rsidRPr="00180050">
        <w:rPr>
          <w:b/>
          <w:color w:val="44546A" w:themeColor="text2"/>
          <w:sz w:val="20"/>
          <w:szCs w:val="20"/>
        </w:rPr>
        <w:t xml:space="preserve"> ACOMPAÑANTES</w:t>
      </w:r>
      <w:r w:rsidR="00180050">
        <w:rPr>
          <w:b/>
          <w:color w:val="44546A" w:themeColor="text2"/>
          <w:sz w:val="20"/>
          <w:szCs w:val="20"/>
        </w:rPr>
        <w:t>.</w:t>
      </w:r>
    </w:p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E72F7D" w:rsidRPr="005C18A4" w:rsidRDefault="00BF23C1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C1" w:rsidRDefault="00BF23C1" w:rsidP="00DB346D">
      <w:pPr>
        <w:spacing w:after="0" w:line="240" w:lineRule="auto"/>
      </w:pPr>
      <w:r>
        <w:separator/>
      </w:r>
    </w:p>
  </w:endnote>
  <w:endnote w:type="continuationSeparator" w:id="0">
    <w:p w:rsidR="00BF23C1" w:rsidRDefault="00BF23C1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C1" w:rsidRDefault="00BF23C1" w:rsidP="00DB346D">
      <w:pPr>
        <w:spacing w:after="0" w:line="240" w:lineRule="auto"/>
      </w:pPr>
      <w:r>
        <w:separator/>
      </w:r>
    </w:p>
  </w:footnote>
  <w:footnote w:type="continuationSeparator" w:id="0">
    <w:p w:rsidR="00BF23C1" w:rsidRDefault="00BF23C1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80050"/>
    <w:rsid w:val="001E0590"/>
    <w:rsid w:val="00223B6D"/>
    <w:rsid w:val="00254544"/>
    <w:rsid w:val="0025782E"/>
    <w:rsid w:val="00264F87"/>
    <w:rsid w:val="002E2CF2"/>
    <w:rsid w:val="00307061"/>
    <w:rsid w:val="00310427"/>
    <w:rsid w:val="0032090A"/>
    <w:rsid w:val="003700B5"/>
    <w:rsid w:val="0044524E"/>
    <w:rsid w:val="00475D48"/>
    <w:rsid w:val="004E79CE"/>
    <w:rsid w:val="00517160"/>
    <w:rsid w:val="00567252"/>
    <w:rsid w:val="005C18A4"/>
    <w:rsid w:val="005D6D5B"/>
    <w:rsid w:val="005F73EE"/>
    <w:rsid w:val="00667817"/>
    <w:rsid w:val="006A6411"/>
    <w:rsid w:val="006D4044"/>
    <w:rsid w:val="006F76F6"/>
    <w:rsid w:val="00792146"/>
    <w:rsid w:val="007A6C19"/>
    <w:rsid w:val="007F35A7"/>
    <w:rsid w:val="007F57D1"/>
    <w:rsid w:val="00850D13"/>
    <w:rsid w:val="008E7AF3"/>
    <w:rsid w:val="00912FB0"/>
    <w:rsid w:val="00934EE6"/>
    <w:rsid w:val="00935E0D"/>
    <w:rsid w:val="00937CFE"/>
    <w:rsid w:val="00953851"/>
    <w:rsid w:val="00966D6F"/>
    <w:rsid w:val="00995956"/>
    <w:rsid w:val="009E20E7"/>
    <w:rsid w:val="00A508CC"/>
    <w:rsid w:val="00A547E4"/>
    <w:rsid w:val="00A7177F"/>
    <w:rsid w:val="00A921AF"/>
    <w:rsid w:val="00AB1E7E"/>
    <w:rsid w:val="00B872F1"/>
    <w:rsid w:val="00BA4E47"/>
    <w:rsid w:val="00BE25D9"/>
    <w:rsid w:val="00BF23C1"/>
    <w:rsid w:val="00D14827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968A0"/>
    <w:rsid w:val="00ED67E2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221BD-B8B8-4BB7-9FAB-173DE372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5</cp:revision>
  <cp:lastPrinted>2016-06-15T17:54:00Z</cp:lastPrinted>
  <dcterms:created xsi:type="dcterms:W3CDTF">2016-06-15T17:28:00Z</dcterms:created>
  <dcterms:modified xsi:type="dcterms:W3CDTF">2016-06-15T17:55:00Z</dcterms:modified>
</cp:coreProperties>
</file>