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B0" w:rsidRDefault="00912FB0" w:rsidP="00912FB0">
      <w:pPr>
        <w:pStyle w:val="Encabezado"/>
        <w:jc w:val="right"/>
        <w:rPr>
          <w:rFonts w:ascii="Arial" w:hAnsi="Arial" w:cs="Arial"/>
          <w:color w:val="000000"/>
          <w:sz w:val="18"/>
        </w:rPr>
      </w:pPr>
      <w:bookmarkStart w:id="0" w:name="_GoBack"/>
      <w:bookmarkEnd w:id="0"/>
      <w:r w:rsidRPr="00F602CF">
        <w:rPr>
          <w:rFonts w:ascii="Arial" w:hAnsi="Arial" w:cs="Arial"/>
          <w:color w:val="000000"/>
          <w:sz w:val="18"/>
        </w:rPr>
        <w:t>“</w:t>
      </w:r>
      <w:r>
        <w:rPr>
          <w:rFonts w:ascii="Arial" w:hAnsi="Arial" w:cs="Arial"/>
          <w:color w:val="000000"/>
          <w:sz w:val="18"/>
        </w:rPr>
        <w:t xml:space="preserve">2016 - </w:t>
      </w:r>
      <w:r w:rsidRPr="00F602CF">
        <w:rPr>
          <w:rFonts w:ascii="Arial" w:hAnsi="Arial" w:cs="Arial"/>
          <w:color w:val="000000"/>
          <w:sz w:val="18"/>
        </w:rPr>
        <w:t>Año del Bicentenario de la Declaración de la Independencia Nacional”</w:t>
      </w:r>
    </w:p>
    <w:p w:rsidR="00912FB0" w:rsidRDefault="00912FB0" w:rsidP="00DB346D">
      <w:pPr>
        <w:spacing w:after="0" w:line="240" w:lineRule="auto"/>
        <w:ind w:left="7788" w:firstLine="708"/>
        <w:rPr>
          <w:color w:val="1F3864" w:themeColor="accent5" w:themeShade="80"/>
          <w:sz w:val="18"/>
          <w:szCs w:val="18"/>
        </w:rPr>
      </w:pPr>
    </w:p>
    <w:p w:rsidR="0032090A" w:rsidRDefault="005D3BD2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noProof/>
          <w:color w:val="1F3864" w:themeColor="accent5" w:themeShade="80"/>
          <w:sz w:val="18"/>
          <w:szCs w:val="18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  <v:fill color2="black"/>
            <v:imagedata r:id="rId8" o:title=""/>
            <w10:wrap anchorx="page" anchory="page"/>
          </v:shape>
          <o:OLEObject Type="Embed" ProgID="Word.Picture.8" ShapeID="_x0000_s1026" DrawAspect="Content" ObjectID="_1528107499" r:id="rId9"/>
        </w:pict>
      </w:r>
      <w:r w:rsidR="00912FB0"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</w:t>
      </w:r>
      <w:r w:rsidR="0032090A">
        <w:rPr>
          <w:color w:val="1F3864" w:themeColor="accent5" w:themeShade="80"/>
          <w:sz w:val="18"/>
          <w:szCs w:val="18"/>
        </w:rPr>
        <w:t xml:space="preserve">                              </w:t>
      </w:r>
    </w:p>
    <w:p w:rsidR="00180050" w:rsidRDefault="0018005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</w:p>
    <w:p w:rsidR="00180050" w:rsidRDefault="0018005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</w:p>
    <w:p w:rsidR="00935E0D" w:rsidRPr="005C18A4" w:rsidRDefault="00912FB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   </w:t>
      </w:r>
    </w:p>
    <w:p w:rsidR="00180050" w:rsidRDefault="00180050" w:rsidP="00A7177F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</w:p>
    <w:p w:rsidR="00A7177F" w:rsidRPr="00A7177F" w:rsidRDefault="00180050" w:rsidP="00A7177F">
      <w:pPr>
        <w:spacing w:after="0" w:line="240" w:lineRule="auto"/>
        <w:jc w:val="center"/>
        <w:rPr>
          <w:color w:val="1F3864" w:themeColor="accent5" w:themeShade="80"/>
          <w:u w:val="single"/>
        </w:rPr>
      </w:pPr>
      <w:r>
        <w:rPr>
          <w:color w:val="1F3864" w:themeColor="accent5" w:themeShade="80"/>
          <w:sz w:val="28"/>
          <w:szCs w:val="28"/>
        </w:rPr>
        <w:t xml:space="preserve">NOMINA </w:t>
      </w:r>
      <w:r w:rsidR="00F53776">
        <w:rPr>
          <w:color w:val="1F3864" w:themeColor="accent5" w:themeShade="80"/>
          <w:sz w:val="28"/>
          <w:szCs w:val="28"/>
        </w:rPr>
        <w:t>PROVEEDORES REGULARES</w:t>
      </w:r>
    </w:p>
    <w:p w:rsidR="00180050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</w:p>
    <w:p w:rsidR="00223B6D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>ANEXO I</w:t>
      </w:r>
      <w:r w:rsidR="00F53776">
        <w:rPr>
          <w:color w:val="1F3864" w:themeColor="accent5" w:themeShade="80"/>
        </w:rPr>
        <w:t>I</w:t>
      </w:r>
      <w:r w:rsidR="00AE20ED">
        <w:rPr>
          <w:color w:val="1F3864" w:themeColor="accent5" w:themeShade="80"/>
        </w:rPr>
        <w:t>I</w:t>
      </w:r>
      <w:r w:rsidR="00F53776">
        <w:rPr>
          <w:color w:val="1F3864" w:themeColor="accent5" w:themeShade="80"/>
        </w:rPr>
        <w:t xml:space="preserve"> -</w:t>
      </w:r>
      <w:r>
        <w:rPr>
          <w:color w:val="1F3864" w:themeColor="accent5" w:themeShade="80"/>
        </w:rPr>
        <w:t xml:space="preserve"> PG 8.6-6 CONTROL DE</w:t>
      </w:r>
      <w:r w:rsidR="00912FB0">
        <w:rPr>
          <w:color w:val="1F3864" w:themeColor="accent5" w:themeShade="80"/>
        </w:rPr>
        <w:t xml:space="preserve"> ACCESO</w:t>
      </w:r>
      <w:r>
        <w:rPr>
          <w:color w:val="1F3864" w:themeColor="accent5" w:themeShade="80"/>
        </w:rPr>
        <w:t>S</w:t>
      </w:r>
    </w:p>
    <w:p w:rsidR="00180050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</w:p>
    <w:p w:rsidR="00180050" w:rsidRPr="005C18A4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</w:p>
    <w:p w:rsidR="00F53776" w:rsidRDefault="00180050" w:rsidP="00F53776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 xml:space="preserve">SE DETALLA A CONTINUACION LA NOMINA DE </w:t>
      </w:r>
      <w:r w:rsidR="00F53776">
        <w:rPr>
          <w:color w:val="1F3864" w:themeColor="accent5" w:themeShade="80"/>
          <w:sz w:val="20"/>
          <w:szCs w:val="20"/>
        </w:rPr>
        <w:t xml:space="preserve">PROVEEDORES REGULARES </w:t>
      </w:r>
      <w:r>
        <w:rPr>
          <w:color w:val="1F3864" w:themeColor="accent5" w:themeShade="80"/>
          <w:sz w:val="20"/>
          <w:szCs w:val="20"/>
        </w:rPr>
        <w:t>DEL SISTEMA FEDERAL DE MEDIOS Y CONTENIDOS PUBLICOS CON ACCESO AL CENTRO CULTURAL</w:t>
      </w:r>
      <w:r w:rsidR="00F53776">
        <w:rPr>
          <w:color w:val="1F3864" w:themeColor="accent5" w:themeShade="80"/>
          <w:sz w:val="20"/>
          <w:szCs w:val="20"/>
        </w:rPr>
        <w:t>:</w:t>
      </w:r>
    </w:p>
    <w:p w:rsidR="00F53776" w:rsidRDefault="00F53776" w:rsidP="00F53776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</w:p>
    <w:p w:rsidR="00F53776" w:rsidRDefault="00F53776" w:rsidP="00F53776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ACQUALINE (AGUA POTABLE)</w:t>
      </w:r>
    </w:p>
    <w:p w:rsidR="00F53776" w:rsidRDefault="00F53776" w:rsidP="00F53776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IMPECABLE (LIMPIEZA)</w:t>
      </w:r>
    </w:p>
    <w:p w:rsidR="00F53776" w:rsidRDefault="00F53776" w:rsidP="00F53776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MURATA (SEGURIDAD PRIVADA)</w:t>
      </w:r>
    </w:p>
    <w:p w:rsidR="00F53776" w:rsidRDefault="00F53776" w:rsidP="00F53776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OTIS (MANTENIMIENTO DE ASCENSORES)</w:t>
      </w:r>
    </w:p>
    <w:p w:rsidR="00F53776" w:rsidRDefault="00F53776" w:rsidP="00F53776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TN GROUP (IMPRESORAS)</w:t>
      </w:r>
    </w:p>
    <w:p w:rsidR="00F53776" w:rsidRDefault="00F53776" w:rsidP="00F53776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U.T.E. ESCUSO-RIVA (OBRA CONSTRUCTORA Y SUS SUBCONTRATISTAS REGULARES)</w:t>
      </w:r>
    </w:p>
    <w:p w:rsidR="00F53776" w:rsidRDefault="00F53776" w:rsidP="00F53776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ZOLMACO (MANTENIMIENTO EDILICIO)</w:t>
      </w:r>
    </w:p>
    <w:p w:rsidR="00180050" w:rsidRPr="00F53776" w:rsidRDefault="00180050" w:rsidP="00F53776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</w:p>
    <w:p w:rsidR="00E968A0" w:rsidRDefault="00E968A0" w:rsidP="00A7177F"/>
    <w:p w:rsidR="00180050" w:rsidRPr="00180050" w:rsidRDefault="00E968A0" w:rsidP="00A7177F">
      <w:pPr>
        <w:rPr>
          <w:b/>
          <w:color w:val="44546A" w:themeColor="text2"/>
          <w:sz w:val="20"/>
          <w:szCs w:val="20"/>
        </w:rPr>
      </w:pPr>
      <w:r>
        <w:rPr>
          <w:b/>
          <w:color w:val="44546A" w:themeColor="text2"/>
          <w:sz w:val="20"/>
          <w:szCs w:val="20"/>
        </w:rPr>
        <w:t xml:space="preserve">NOTA: </w:t>
      </w:r>
      <w:r w:rsidR="00180050" w:rsidRPr="00180050">
        <w:rPr>
          <w:b/>
          <w:color w:val="44546A" w:themeColor="text2"/>
          <w:sz w:val="20"/>
          <w:szCs w:val="20"/>
        </w:rPr>
        <w:t xml:space="preserve">LA NOMINA ANTES DESCRIPTA INCLUYE A </w:t>
      </w:r>
      <w:r w:rsidR="00180050">
        <w:rPr>
          <w:b/>
          <w:color w:val="44546A" w:themeColor="text2"/>
          <w:sz w:val="20"/>
          <w:szCs w:val="20"/>
        </w:rPr>
        <w:t xml:space="preserve">SUS </w:t>
      </w:r>
      <w:r w:rsidR="00F53776">
        <w:rPr>
          <w:b/>
          <w:color w:val="44546A" w:themeColor="text2"/>
          <w:sz w:val="20"/>
          <w:szCs w:val="20"/>
        </w:rPr>
        <w:t>EMPLEADOS REGULARES ACREDITADOS Y CHOFERES</w:t>
      </w:r>
      <w:r w:rsidR="00DB59A1">
        <w:rPr>
          <w:b/>
          <w:color w:val="44546A" w:themeColor="text2"/>
          <w:sz w:val="20"/>
          <w:szCs w:val="20"/>
        </w:rPr>
        <w:t xml:space="preserve"> Y DEBERA SER ACTUALIZADA SEGÚN CORRESPONDA</w:t>
      </w:r>
      <w:r w:rsidR="00F53776">
        <w:rPr>
          <w:b/>
          <w:color w:val="44546A" w:themeColor="text2"/>
          <w:sz w:val="20"/>
          <w:szCs w:val="20"/>
        </w:rPr>
        <w:t>.</w:t>
      </w:r>
    </w:p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E72F7D" w:rsidRPr="005C18A4" w:rsidRDefault="005D3BD2" w:rsidP="00A7177F">
      <w:pPr>
        <w:rPr>
          <w:color w:val="1F3864" w:themeColor="accent5" w:themeShade="80"/>
        </w:rPr>
      </w:pPr>
      <w:sdt>
        <w:sdtPr>
          <w:id w:val="-1393414723"/>
          <w:docPartObj>
            <w:docPartGallery w:val="Page Numbers (Bottom of Page)"/>
            <w:docPartUnique/>
          </w:docPartObj>
        </w:sdtPr>
        <w:sdtEndPr/>
        <w:sdtContent>
          <w:r w:rsidR="00517160">
            <w:t>D</w:t>
          </w:r>
          <w:r w:rsidR="00517160">
            <w:rPr>
              <w:i/>
              <w:sz w:val="18"/>
              <w:szCs w:val="18"/>
            </w:rPr>
            <w:t>ocumento Controlada, verifique que sea la última versión antes de su uso.</w:t>
          </w:r>
          <w:r w:rsidR="00517160">
            <w:t xml:space="preserve">                 </w:t>
          </w:r>
        </w:sdtContent>
      </w:sdt>
      <w:r w:rsidR="00517160" w:rsidRPr="00517160">
        <w:rPr>
          <w:i/>
          <w:sz w:val="18"/>
          <w:szCs w:val="18"/>
        </w:rPr>
        <w:t>Fecha de Emisión:</w:t>
      </w:r>
      <w:r w:rsidR="00517160">
        <w:rPr>
          <w:i/>
          <w:sz w:val="18"/>
          <w:szCs w:val="18"/>
        </w:rPr>
        <w:t xml:space="preserve"> </w:t>
      </w:r>
      <w:r w:rsidR="00180050">
        <w:rPr>
          <w:i/>
          <w:sz w:val="18"/>
          <w:szCs w:val="18"/>
        </w:rPr>
        <w:tab/>
      </w:r>
      <w:r w:rsidR="00180050">
        <w:rPr>
          <w:i/>
          <w:sz w:val="18"/>
          <w:szCs w:val="18"/>
        </w:rPr>
        <w:tab/>
      </w:r>
      <w:r w:rsidR="00517160">
        <w:rPr>
          <w:i/>
          <w:sz w:val="18"/>
          <w:szCs w:val="18"/>
        </w:rPr>
        <w:t xml:space="preserve">  </w:t>
      </w:r>
      <w:r w:rsidR="00517160" w:rsidRPr="00517160">
        <w:rPr>
          <w:i/>
          <w:sz w:val="18"/>
          <w:szCs w:val="18"/>
        </w:rPr>
        <w:t>Fecha de Revisión:</w:t>
      </w:r>
    </w:p>
    <w:sectPr w:rsidR="00E72F7D" w:rsidRPr="005C18A4" w:rsidSect="003209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BD2" w:rsidRDefault="005D3BD2" w:rsidP="00DB346D">
      <w:pPr>
        <w:spacing w:after="0" w:line="240" w:lineRule="auto"/>
      </w:pPr>
      <w:r>
        <w:separator/>
      </w:r>
    </w:p>
  </w:endnote>
  <w:endnote w:type="continuationSeparator" w:id="0">
    <w:p w:rsidR="005D3BD2" w:rsidRDefault="005D3BD2" w:rsidP="00DB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BD2" w:rsidRDefault="005D3BD2" w:rsidP="00DB346D">
      <w:pPr>
        <w:spacing w:after="0" w:line="240" w:lineRule="auto"/>
      </w:pPr>
      <w:r>
        <w:separator/>
      </w:r>
    </w:p>
  </w:footnote>
  <w:footnote w:type="continuationSeparator" w:id="0">
    <w:p w:rsidR="005D3BD2" w:rsidRDefault="005D3BD2" w:rsidP="00DB3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EE"/>
    <w:rsid w:val="00017F9F"/>
    <w:rsid w:val="000B539D"/>
    <w:rsid w:val="000E074A"/>
    <w:rsid w:val="001767F4"/>
    <w:rsid w:val="00180050"/>
    <w:rsid w:val="001E0590"/>
    <w:rsid w:val="00223B6D"/>
    <w:rsid w:val="00254544"/>
    <w:rsid w:val="0025782E"/>
    <w:rsid w:val="00264F87"/>
    <w:rsid w:val="002E2CF2"/>
    <w:rsid w:val="00307061"/>
    <w:rsid w:val="00310427"/>
    <w:rsid w:val="0032090A"/>
    <w:rsid w:val="003700B5"/>
    <w:rsid w:val="0044524E"/>
    <w:rsid w:val="00475D48"/>
    <w:rsid w:val="004E79CE"/>
    <w:rsid w:val="00517160"/>
    <w:rsid w:val="00567252"/>
    <w:rsid w:val="00575E15"/>
    <w:rsid w:val="005C18A4"/>
    <w:rsid w:val="005D3BD2"/>
    <w:rsid w:val="005D6D5B"/>
    <w:rsid w:val="005F73EE"/>
    <w:rsid w:val="00667817"/>
    <w:rsid w:val="006A6411"/>
    <w:rsid w:val="006D4044"/>
    <w:rsid w:val="006F76F6"/>
    <w:rsid w:val="00792146"/>
    <w:rsid w:val="007A6C19"/>
    <w:rsid w:val="007F35A7"/>
    <w:rsid w:val="007F57D1"/>
    <w:rsid w:val="00850D13"/>
    <w:rsid w:val="00882D55"/>
    <w:rsid w:val="008A123C"/>
    <w:rsid w:val="008E7AF3"/>
    <w:rsid w:val="00912FB0"/>
    <w:rsid w:val="00934EE6"/>
    <w:rsid w:val="00935E0D"/>
    <w:rsid w:val="00937CFE"/>
    <w:rsid w:val="00953851"/>
    <w:rsid w:val="00966D6F"/>
    <w:rsid w:val="00995956"/>
    <w:rsid w:val="009E20E7"/>
    <w:rsid w:val="00A508CC"/>
    <w:rsid w:val="00A547E4"/>
    <w:rsid w:val="00A7177F"/>
    <w:rsid w:val="00A921AF"/>
    <w:rsid w:val="00AB1E7E"/>
    <w:rsid w:val="00AE20ED"/>
    <w:rsid w:val="00B872F1"/>
    <w:rsid w:val="00BA4E47"/>
    <w:rsid w:val="00BC0FCA"/>
    <w:rsid w:val="00BE25D9"/>
    <w:rsid w:val="00BF23C1"/>
    <w:rsid w:val="00D14827"/>
    <w:rsid w:val="00D96BCA"/>
    <w:rsid w:val="00DB346D"/>
    <w:rsid w:val="00DB416C"/>
    <w:rsid w:val="00DB59A1"/>
    <w:rsid w:val="00DE1726"/>
    <w:rsid w:val="00DF4B17"/>
    <w:rsid w:val="00E34FE8"/>
    <w:rsid w:val="00E35CD4"/>
    <w:rsid w:val="00E62156"/>
    <w:rsid w:val="00E62E5A"/>
    <w:rsid w:val="00E72F7D"/>
    <w:rsid w:val="00E745B5"/>
    <w:rsid w:val="00E968A0"/>
    <w:rsid w:val="00ED67E2"/>
    <w:rsid w:val="00F05616"/>
    <w:rsid w:val="00F22A94"/>
    <w:rsid w:val="00F53776"/>
    <w:rsid w:val="00F6123A"/>
    <w:rsid w:val="00FB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9E780-C143-4ACC-8E62-F2E952E3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Medios</dc:creator>
  <cp:lastModifiedBy>Usuario1</cp:lastModifiedBy>
  <cp:revision>11</cp:revision>
  <cp:lastPrinted>2016-06-22T16:32:00Z</cp:lastPrinted>
  <dcterms:created xsi:type="dcterms:W3CDTF">2016-06-20T18:44:00Z</dcterms:created>
  <dcterms:modified xsi:type="dcterms:W3CDTF">2016-06-22T16:32:00Z</dcterms:modified>
</cp:coreProperties>
</file>