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64" w:lineRule="auto"/>
        <w:jc w:val="center"/>
      </w:pPr>
      <w:r>
        <w:rPr>
          <w:rFonts w:ascii="Calibri" w:hAnsi="Calibri" w:cs="Calibri"/>
          <w:b/>
          <w:color w:val="1F3864"/>
          <w:sz w:val="30"/>
          <w:szCs w:val="30"/>
        </w:rPr>
        <w:t xml:space="preserve">Week 11 Reflection (Part 2) – Reliability on OptiView</w:t>
      </w:r>
    </w:p>
    <w:p>
      <w:pPr>
        <w:pBdr>
          <w:bottom w:val="single" w:sz="6" w:space="6" w:color="1F3864"/>
        </w:pBdr>
        <w:spacing w:before="0" w:after="200" w:line="264" w:lineRule="auto"/>
        <w:jc w:val="center"/>
      </w:pPr>
      <w:r>
        <w:rPr>
          <w:rFonts w:ascii="Calibri" w:hAnsi="Calibri" w:cs="Calibri"/>
          <w:color w:val="595959"/>
          <w:sz w:val="19"/>
          <w:szCs w:val="19"/>
        </w:rPr>
        <w:t xml:space="preserve">Juan Sebastian Sanchez Silva · Team opti (The Illusionists) · Distributed Systems 2026-B</w:t>
      </w:r>
    </w:p>
    <w:p>
      <w:pPr>
        <w:spacing w:before="0" w:after="110" w:line="264" w:lineRule="auto"/>
        <w:jc w:val="both"/>
      </w:pPr>
      <w:r>
        <w:rPr>
          <w:rFonts w:ascii="Calibri" w:hAnsi="Calibri" w:cs="Calibri"/>
          <w:b/>
          <w:color w:val="1F3864"/>
          <w:sz w:val="21"/>
          <w:szCs w:val="21"/>
        </w:rPr>
        <w:t xml:space="preserve">CP6 – SLOs and error budget. </w:t>
      </w:r>
      <w:r>
        <w:rPr>
          <w:rFonts w:ascii="Calibri" w:hAnsi="Calibri" w:cs="Calibri"/>
          <w:sz w:val="21"/>
          <w:szCs w:val="21"/>
        </w:rPr>
        <w:t xml:space="preserve">I learned that an SLI is the ratio of good events to valid events, an SLO is the target for that ratio over a time window, and the error budget is simply 100 % minus the SLO. For </w:t>
      </w:r>
      <w:r>
        <w:rPr>
          <w:rFonts w:ascii="Consolas" w:hAnsi="Consolas" w:cs="Consolas"/>
          <w:sz w:val="19"/>
          <w:szCs w:val="19"/>
        </w:rPr>
        <w:t xml:space="preserve">place-order</w:t>
      </w:r>
      <w:r>
        <w:rPr>
          <w:rFonts w:ascii="Calibri" w:hAnsi="Calibri" w:cs="Calibri"/>
          <w:sz w:val="21"/>
          <w:szCs w:val="21"/>
        </w:rPr>
        <w:t xml:space="preserve"> we estimated about 3,600 sagas per month for our pilot store, so an availability SLO of 99.5 % gives a budget of 18 failed sagas, or 78 minutes of outage during opening hours. An important decision was that business answers such as </w:t>
      </w:r>
      <w:r>
        <w:rPr>
          <w:rFonts w:ascii="Consolas" w:hAnsi="Consolas" w:cs="Consolas"/>
          <w:sz w:val="19"/>
          <w:szCs w:val="19"/>
        </w:rPr>
        <w:t xml:space="preserve">INSUFFICIENT_STOCK</w:t>
      </w:r>
      <w:r>
        <w:rPr>
          <w:rFonts w:ascii="Calibri" w:hAnsi="Calibri" w:cs="Calibri"/>
          <w:sz w:val="21"/>
          <w:szCs w:val="21"/>
        </w:rPr>
        <w:t xml:space="preserve"> count as good events, because the system worked and told the seller the truth. We chose 99.5 % instead of the 99.9 % of NFR-002 because, with so little traffic, 99.9 % allows only 3.6 failures a month, and a single restart of our only Docker host would spend it all. We also added a third SLO that fits our product: saga consistency, meaning that no frame is left reserved after a </w:t>
      </w:r>
      <w:r>
        <w:rPr>
          <w:rFonts w:ascii="Consolas" w:hAnsi="Consolas" w:cs="Consolas"/>
          <w:sz w:val="19"/>
          <w:szCs w:val="19"/>
        </w:rPr>
        <w:t xml:space="preserve">COMPENSATION_FAILED</w:t>
      </w:r>
      <w:r>
        <w:rPr>
          <w:rFonts w:ascii="Calibri" w:hAnsi="Calibri" w:cs="Calibri"/>
          <w:sz w:val="21"/>
          <w:szCs w:val="21"/>
        </w:rPr>
        <w:t xml:space="preserve">.</w:t>
      </w:r>
    </w:p>
    <w:p>
      <w:pPr>
        <w:spacing w:before="0" w:after="110" w:line="264" w:lineRule="auto"/>
        <w:jc w:val="both"/>
      </w:pPr>
      <w:r>
        <w:rPr>
          <w:rFonts w:ascii="Calibri" w:hAnsi="Calibri" w:cs="Calibri"/>
          <w:b/>
          <w:color w:val="1F3864"/>
          <w:sz w:val="21"/>
          <w:szCs w:val="21"/>
        </w:rPr>
        <w:t xml:space="preserve">CP7 – Burn-rate alerts. </w:t>
      </w:r>
      <w:r>
        <w:rPr>
          <w:rFonts w:ascii="Calibri" w:hAnsi="Calibri" w:cs="Calibri"/>
          <w:sz w:val="21"/>
          <w:szCs w:val="21"/>
        </w:rPr>
        <w:t xml:space="preserve">I learned to alert on how fast the budget is being spent instead of on causes like CPU. Our fast alert uses a burn rate of 14.4 over 1 hour, which fires after spending 2 % of the budget; the slow alert uses a rate of 6 over 6 hours, which means 5 %. If the fast alert were ignored, the whole budget would be gone in 50 hours. We decided not to create alerts for the CPU of products-api, for pending Hikari connections or for 4xx responses from products-api, because none of them proves that a seller is affected. The main problem today is low traffic: with only 12 sagas per hour, a single failure already crosses the 7.2 % threshold.</w:t>
      </w:r>
    </w:p>
    <w:p>
      <w:pPr>
        <w:spacing w:before="0" w:after="110" w:line="264" w:lineRule="auto"/>
        <w:jc w:val="both"/>
      </w:pPr>
      <w:r>
        <w:rPr>
          <w:rFonts w:ascii="Calibri" w:hAnsi="Calibri" w:cs="Calibri"/>
          <w:b/>
          <w:color w:val="1F3864"/>
          <w:sz w:val="21"/>
          <w:szCs w:val="21"/>
        </w:rPr>
        <w:t xml:space="preserve">CP8 – Runbook. </w:t>
      </w:r>
      <w:r>
        <w:rPr>
          <w:rFonts w:ascii="Calibri" w:hAnsi="Calibri" w:cs="Calibri"/>
          <w:sz w:val="21"/>
          <w:szCs w:val="21"/>
        </w:rPr>
        <w:t xml:space="preserve">I learned that a runbook turns a page at an inconvenient time into a checklist that anyone on the team can follow. Ours first confirms the problem with PromQL, then searches the logs of every service by </w:t>
      </w:r>
      <w:r>
        <w:rPr>
          <w:rFonts w:ascii="Consolas" w:hAnsi="Consolas" w:cs="Consolas"/>
          <w:sz w:val="19"/>
          <w:szCs w:val="19"/>
        </w:rPr>
        <w:t xml:space="preserve">trace_id</w:t>
      </w:r>
      <w:r>
        <w:rPr>
          <w:rFonts w:ascii="Calibri" w:hAnsi="Calibri" w:cs="Calibri"/>
          <w:sz w:val="21"/>
          <w:szCs w:val="21"/>
        </w:rPr>
        <w:t xml:space="preserve">, and finally applies the lowest-risk mitigation: a rollback, a restart of the container, or tuning </w:t>
      </w:r>
      <w:r>
        <w:rPr>
          <w:rFonts w:ascii="Consolas" w:hAnsi="Consolas" w:cs="Consolas"/>
          <w:sz w:val="19"/>
          <w:szCs w:val="19"/>
        </w:rPr>
        <w:t xml:space="preserve">HTTP_TIMEOUT</w:t>
      </w:r>
      <w:r>
        <w:rPr>
          <w:rFonts w:ascii="Calibri" w:hAnsi="Calibri" w:cs="Calibri"/>
          <w:sz w:val="21"/>
          <w:szCs w:val="21"/>
        </w:rPr>
        <w:t xml:space="preserve">. Writing it also showed me what we are missing: we have no feature flags, we cannot scale out because we run on one Docker host, and there is no circuit breaker.</w:t>
      </w:r>
    </w:p>
    <w:p>
      <w:pPr>
        <w:spacing w:before="0" w:after="110" w:line="264" w:lineRule="auto"/>
        <w:jc w:val="both"/>
      </w:pPr>
      <w:r>
        <w:rPr>
          <w:rFonts w:ascii="Calibri" w:hAnsi="Calibri" w:cs="Calibri"/>
          <w:b/>
          <w:color w:val="1F3864"/>
          <w:sz w:val="21"/>
          <w:szCs w:val="21"/>
        </w:rPr>
        <w:t xml:space="preserve">CP9 – Incident drill. </w:t>
      </w:r>
      <w:r>
        <w:rPr>
          <w:rFonts w:ascii="Calibri" w:hAnsi="Calibri" w:cs="Calibri"/>
          <w:sz w:val="21"/>
          <w:szCs w:val="21"/>
        </w:rPr>
        <w:t xml:space="preserve">In the drill, products-api answered in about 3 s for 25 % of the requests during 40 minutes. Availability stayed at 100 %, but the latency SLI fell to 75 %. The latency fast-burn alert fired only at minute 37, and the rollback to version 2.0.0 stopped the impact at minute 40. The root cause was a missing index on </w:t>
      </w:r>
      <w:r>
        <w:rPr>
          <w:rFonts w:ascii="Consolas" w:hAnsi="Consolas" w:cs="Consolas"/>
          <w:sz w:val="19"/>
          <w:szCs w:val="19"/>
        </w:rPr>
        <w:t xml:space="preserve">products.stock_movement</w:t>
      </w:r>
      <w:r>
        <w:rPr>
          <w:rFonts w:ascii="Calibri" w:hAnsi="Calibri" w:cs="Calibri"/>
          <w:sz w:val="21"/>
          <w:szCs w:val="21"/>
        </w:rPr>
        <w:t xml:space="preserve">, and the incident spent 11 % of the latency budget. The main lesson is that detection was too slow, which led to the action items HU-OBS-006, HU-OBS-007 and HU-OBS-008.</w:t>
      </w:r>
    </w:p>
    <w:p>
      <w:pPr>
        <w:pageBreakBefore/>
        <w:spacing w:before="0" w:after="80" w:line="264" w:lineRule="auto"/>
        <w:jc w:val="left"/>
      </w:pPr>
      <w:r>
        <w:rPr>
          <w:rFonts w:ascii="Calibri" w:hAnsi="Calibri" w:cs="Calibri"/>
          <w:b/>
          <w:color w:val="1F3864"/>
          <w:sz w:val="24"/>
          <w:szCs w:val="24"/>
        </w:rPr>
        <w:t xml:space="preserve">CP10 – Implementation plan</w:t>
      </w:r>
    </w:p>
    <w:p>
      <w:pPr>
        <w:spacing w:before="0" w:after="110" w:line="264" w:lineRule="auto"/>
        <w:jc w:val="both"/>
      </w:pPr>
      <w:r>
        <w:rPr>
          <w:rFonts w:ascii="Calibri" w:hAnsi="Calibri" w:cs="Calibri"/>
          <w:sz w:val="21"/>
          <w:szCs w:val="21"/>
        </w:rPr>
        <w:t xml:space="preserve">The goal of this plan is to move OptiView from a system where the only link between services is the </w:t>
      </w:r>
      <w:r>
        <w:rPr>
          <w:rFonts w:ascii="Consolas" w:hAnsi="Consolas" w:cs="Consolas"/>
          <w:sz w:val="19"/>
          <w:szCs w:val="19"/>
        </w:rPr>
        <w:t xml:space="preserve">X-Correlation-Id</w:t>
      </w:r>
      <w:r>
        <w:rPr>
          <w:rFonts w:ascii="Calibri" w:hAnsi="Calibri" w:cs="Calibri"/>
          <w:sz w:val="21"/>
          <w:szCs w:val="21"/>
        </w:rPr>
        <w:t xml:space="preserve"> to one where we can follow a quotation end to end, measure it against our SLOs and react before the sellers notice. The order matters: each step builds on the previous one, so I would not start with dashboards before the data that feeds them is reliable.</w:t>
      </w:r>
    </w:p>
    <w:p>
      <w:pPr>
        <w:spacing w:before="60" w:after="80" w:line="264" w:lineRule="auto"/>
        <w:jc w:val="left"/>
      </w:pPr>
      <w:r>
        <w:rPr>
          <w:rFonts w:ascii="Calibri" w:hAnsi="Calibri" w:cs="Calibri"/>
          <w:b/>
          <w:color w:val="1F3864"/>
          <w:sz w:val="24"/>
          <w:szCs w:val="24"/>
        </w:rPr>
        <w:t xml:space="preserve">Order of implementation</w:t>
      </w:r>
    </w:p>
    <w:p>
      <w:pPr>
        <w:spacing w:before="0" w:after="110" w:line="264" w:lineRule="auto"/>
        <w:ind w:left="300" w:hanging="300"/>
        <w:jc w:val="both"/>
      </w:pPr>
      <w:r>
        <w:rPr>
          <w:rFonts w:ascii="Calibri" w:hAnsi="Calibri" w:cs="Calibri"/>
          <w:b/>
          <w:color w:val="1F3864"/>
          <w:sz w:val="21"/>
          <w:szCs w:val="21"/>
        </w:rPr>
        <w:t xml:space="preserve">1.  </w:t>
      </w:r>
      <w:r>
        <w:rPr>
          <w:rFonts w:ascii="Calibri" w:hAnsi="Calibri" w:cs="Calibri"/>
          <w:b/>
          <w:sz w:val="21"/>
          <w:szCs w:val="21"/>
        </w:rPr>
        <w:t xml:space="preserve">Trace context. </w:t>
      </w:r>
      <w:r>
        <w:rPr>
          <w:rFonts w:ascii="Calibri" w:hAnsi="Calibri" w:cs="Calibri"/>
          <w:sz w:val="21"/>
          <w:szCs w:val="21"/>
        </w:rPr>
        <w:t xml:space="preserve">First, I would add the W3C </w:t>
      </w:r>
      <w:r>
        <w:rPr>
          <w:rFonts w:ascii="Consolas" w:hAnsi="Consolas" w:cs="Consolas"/>
          <w:sz w:val="19"/>
          <w:szCs w:val="19"/>
        </w:rPr>
        <w:t xml:space="preserve">traceparent</w:t>
      </w:r>
      <w:r>
        <w:rPr>
          <w:rFonts w:ascii="Calibri" w:hAnsi="Calibri" w:cs="Calibri"/>
          <w:sz w:val="21"/>
          <w:szCs w:val="21"/>
        </w:rPr>
        <w:t xml:space="preserve"> header to </w:t>
      </w:r>
      <w:r>
        <w:rPr>
          <w:rFonts w:ascii="Consolas" w:hAnsi="Consolas" w:cs="Consolas"/>
          <w:sz w:val="19"/>
          <w:szCs w:val="19"/>
        </w:rPr>
        <w:t xml:space="preserve">CorrelationFilter</w:t>
      </w:r>
      <w:r>
        <w:rPr>
          <w:rFonts w:ascii="Calibri" w:hAnsi="Calibri" w:cs="Calibri"/>
          <w:sz w:val="21"/>
          <w:szCs w:val="21"/>
        </w:rPr>
        <w:t xml:space="preserve"> (inbound) and to </w:t>
      </w:r>
      <w:r>
        <w:rPr>
          <w:rFonts w:ascii="Consolas" w:hAnsi="Consolas" w:cs="Consolas"/>
          <w:sz w:val="19"/>
          <w:szCs w:val="19"/>
        </w:rPr>
        <w:t xml:space="preserve">ParticipantClient</w:t>
      </w:r>
      <w:r>
        <w:rPr>
          <w:rFonts w:ascii="Calibri" w:hAnsi="Calibri" w:cs="Calibri"/>
          <w:sz w:val="21"/>
          <w:szCs w:val="21"/>
        </w:rPr>
        <w:t xml:space="preserve"> (outbound) in </w:t>
      </w:r>
      <w:r>
        <w:rPr>
          <w:rFonts w:ascii="Consolas" w:hAnsi="Consolas" w:cs="Consolas"/>
          <w:sz w:val="19"/>
          <w:szCs w:val="19"/>
        </w:rPr>
        <w:t xml:space="preserve">opti-workflow</w:t>
      </w:r>
      <w:r>
        <w:rPr>
          <w:rFonts w:ascii="Calibri" w:hAnsi="Calibri" w:cs="Calibri"/>
          <w:sz w:val="21"/>
          <w:szCs w:val="21"/>
        </w:rPr>
        <w:t xml:space="preserve">, next to the </w:t>
      </w:r>
      <w:r>
        <w:rPr>
          <w:rFonts w:ascii="Consolas" w:hAnsi="Consolas" w:cs="Consolas"/>
          <w:sz w:val="19"/>
          <w:szCs w:val="19"/>
        </w:rPr>
        <w:t xml:space="preserve">X-Correlation-Id</w:t>
      </w:r>
      <w:r>
        <w:rPr>
          <w:rFonts w:ascii="Calibri" w:hAnsi="Calibri" w:cs="Calibri"/>
          <w:sz w:val="21"/>
          <w:szCs w:val="21"/>
        </w:rPr>
        <w:t xml:space="preserve"> that already exists, and store it in the saga state in Redis so the resume task keeps the same trace. This is the smallest change with the biggest effect, and the propagation test from CP3 already proves it works.</w:t>
      </w:r>
    </w:p>
    <w:p>
      <w:pPr>
        <w:spacing w:before="0" w:after="110" w:line="264" w:lineRule="auto"/>
        <w:ind w:left="300" w:hanging="300"/>
        <w:jc w:val="both"/>
      </w:pPr>
      <w:r>
        <w:rPr>
          <w:rFonts w:ascii="Calibri" w:hAnsi="Calibri" w:cs="Calibri"/>
          <w:b/>
          <w:color w:val="1F3864"/>
          <w:sz w:val="21"/>
          <w:szCs w:val="21"/>
        </w:rPr>
        <w:t xml:space="preserve">2.  </w:t>
      </w:r>
      <w:r>
        <w:rPr>
          <w:rFonts w:ascii="Calibri" w:hAnsi="Calibri" w:cs="Calibri"/>
          <w:b/>
          <w:sz w:val="21"/>
          <w:szCs w:val="21"/>
        </w:rPr>
        <w:t xml:space="preserve">JSON log contract. </w:t>
      </w:r>
      <w:r>
        <w:rPr>
          <w:rFonts w:ascii="Calibri" w:hAnsi="Calibri" w:cs="Calibri"/>
          <w:sz w:val="21"/>
          <w:szCs w:val="21"/>
        </w:rPr>
        <w:t xml:space="preserve">Second, I would apply the log contract in the five services of the journey: rename </w:t>
      </w:r>
      <w:r>
        <w:rPr>
          <w:rFonts w:ascii="Consolas" w:hAnsi="Consolas" w:cs="Consolas"/>
          <w:sz w:val="19"/>
          <w:szCs w:val="19"/>
        </w:rPr>
        <w:t xml:space="preserve">correlationId</w:t>
      </w:r>
      <w:r>
        <w:rPr>
          <w:rFonts w:ascii="Calibri" w:hAnsi="Calibri" w:cs="Calibri"/>
          <w:sz w:val="21"/>
          <w:szCs w:val="21"/>
        </w:rPr>
        <w:t xml:space="preserve"> to </w:t>
      </w:r>
      <w:r>
        <w:rPr>
          <w:rFonts w:ascii="Consolas" w:hAnsi="Consolas" w:cs="Consolas"/>
          <w:sz w:val="19"/>
          <w:szCs w:val="19"/>
        </w:rPr>
        <w:t xml:space="preserve">correlation_id</w:t>
      </w:r>
      <w:r>
        <w:rPr>
          <w:rFonts w:ascii="Calibri" w:hAnsi="Calibri" w:cs="Calibri"/>
          <w:sz w:val="21"/>
          <w:szCs w:val="21"/>
        </w:rPr>
        <w:t xml:space="preserve"> in the </w:t>
      </w:r>
      <w:r>
        <w:rPr>
          <w:rFonts w:ascii="Consolas" w:hAnsi="Consolas" w:cs="Consolas"/>
          <w:sz w:val="19"/>
          <w:szCs w:val="19"/>
        </w:rPr>
        <w:t xml:space="preserve">LogstashEncoder</w:t>
      </w:r>
      <w:r>
        <w:rPr>
          <w:rFonts w:ascii="Calibri" w:hAnsi="Calibri" w:cs="Calibri"/>
          <w:sz w:val="21"/>
          <w:szCs w:val="21"/>
        </w:rPr>
        <w:t xml:space="preserve">, add </w:t>
      </w:r>
      <w:r>
        <w:rPr>
          <w:rFonts w:ascii="Consolas" w:hAnsi="Consolas" w:cs="Consolas"/>
          <w:sz w:val="19"/>
          <w:szCs w:val="19"/>
        </w:rPr>
        <w:t xml:space="preserve">trace_id</w:t>
      </w:r>
      <w:r>
        <w:rPr>
          <w:rFonts w:ascii="Calibri" w:hAnsi="Calibri" w:cs="Calibri"/>
          <w:sz w:val="21"/>
          <w:szCs w:val="21"/>
        </w:rPr>
        <w:t xml:space="preserve"> and </w:t>
      </w:r>
      <w:r>
        <w:rPr>
          <w:rFonts w:ascii="Consolas" w:hAnsi="Consolas" w:cs="Consolas"/>
          <w:sz w:val="19"/>
          <w:szCs w:val="19"/>
        </w:rPr>
        <w:t xml:space="preserve">span_id</w:t>
      </w:r>
      <w:r>
        <w:rPr>
          <w:rFonts w:ascii="Calibri" w:hAnsi="Calibri" w:cs="Calibri"/>
          <w:sz w:val="21"/>
          <w:szCs w:val="21"/>
        </w:rPr>
        <w:t xml:space="preserve">, and agree on stable event names. At the same time, we must make sure that no personal data, such as document numbers or the optical formula, is ever written to the logs.</w:t>
      </w:r>
    </w:p>
    <w:p>
      <w:pPr>
        <w:spacing w:before="0" w:after="110" w:line="264" w:lineRule="auto"/>
        <w:ind w:left="300" w:hanging="300"/>
        <w:jc w:val="both"/>
      </w:pPr>
      <w:r>
        <w:rPr>
          <w:rFonts w:ascii="Calibri" w:hAnsi="Calibri" w:cs="Calibri"/>
          <w:b/>
          <w:color w:val="1F3864"/>
          <w:sz w:val="21"/>
          <w:szCs w:val="21"/>
        </w:rPr>
        <w:t xml:space="preserve">3.  </w:t>
      </w:r>
      <w:r>
        <w:rPr>
          <w:rFonts w:ascii="Calibri" w:hAnsi="Calibri" w:cs="Calibri"/>
          <w:b/>
          <w:sz w:val="21"/>
          <w:szCs w:val="21"/>
        </w:rPr>
        <w:t xml:space="preserve">Micrometer and metrics. </w:t>
      </w:r>
      <w:r>
        <w:rPr>
          <w:rFonts w:ascii="Calibri" w:hAnsi="Calibri" w:cs="Calibri"/>
          <w:sz w:val="21"/>
          <w:szCs w:val="21"/>
        </w:rPr>
        <w:t xml:space="preserve">Third, I would add Micrometer with the Prometheus registry and expose </w:t>
      </w:r>
      <w:r>
        <w:rPr>
          <w:rFonts w:ascii="Consolas" w:hAnsi="Consolas" w:cs="Consolas"/>
          <w:sz w:val="19"/>
          <w:szCs w:val="19"/>
        </w:rPr>
        <w:t xml:space="preserve">/actuator/prometheus</w:t>
      </w:r>
      <w:r>
        <w:rPr>
          <w:rFonts w:ascii="Calibri" w:hAnsi="Calibri" w:cs="Calibri"/>
          <w:sz w:val="21"/>
          <w:szCs w:val="21"/>
        </w:rPr>
        <w:t xml:space="preserve">, starting with </w:t>
      </w:r>
      <w:r>
        <w:rPr>
          <w:rFonts w:ascii="Consolas" w:hAnsi="Consolas" w:cs="Consolas"/>
          <w:sz w:val="19"/>
          <w:szCs w:val="19"/>
        </w:rPr>
        <w:t xml:space="preserve">opti-workflow</w:t>
      </w:r>
      <w:r>
        <w:rPr>
          <w:rFonts w:ascii="Calibri" w:hAnsi="Calibri" w:cs="Calibri"/>
          <w:sz w:val="21"/>
          <w:szCs w:val="21"/>
        </w:rPr>
        <w:t xml:space="preserve"> and its two metrics, </w:t>
      </w:r>
      <w:r>
        <w:rPr>
          <w:rFonts w:ascii="Consolas" w:hAnsi="Consolas" w:cs="Consolas"/>
          <w:sz w:val="19"/>
          <w:szCs w:val="19"/>
        </w:rPr>
        <w:t xml:space="preserve">workflow_sagas_total</w:t>
      </w:r>
      <w:r>
        <w:rPr>
          <w:rFonts w:ascii="Calibri" w:hAnsi="Calibri" w:cs="Calibri"/>
          <w:sz w:val="21"/>
          <w:szCs w:val="21"/>
        </w:rPr>
        <w:t xml:space="preserve"> and </w:t>
      </w:r>
      <w:r>
        <w:rPr>
          <w:rFonts w:ascii="Consolas" w:hAnsi="Consolas" w:cs="Consolas"/>
          <w:sz w:val="19"/>
          <w:szCs w:val="19"/>
        </w:rPr>
        <w:t xml:space="preserve">workflow_http_request_duration_seconds</w:t>
      </w:r>
      <w:r>
        <w:rPr>
          <w:rFonts w:ascii="Calibri" w:hAnsi="Calibri" w:cs="Calibri"/>
          <w:sz w:val="21"/>
          <w:szCs w:val="21"/>
        </w:rPr>
        <w:t xml:space="preserve">, using route templates and bounded labels only.</w:t>
      </w:r>
    </w:p>
    <w:p>
      <w:pPr>
        <w:spacing w:before="0" w:after="110" w:line="264" w:lineRule="auto"/>
        <w:ind w:left="300" w:hanging="300"/>
        <w:jc w:val="both"/>
      </w:pPr>
      <w:r>
        <w:rPr>
          <w:rFonts w:ascii="Calibri" w:hAnsi="Calibri" w:cs="Calibri"/>
          <w:b/>
          <w:color w:val="1F3864"/>
          <w:sz w:val="21"/>
          <w:szCs w:val="21"/>
        </w:rPr>
        <w:t xml:space="preserve">4.  </w:t>
      </w:r>
      <w:r>
        <w:rPr>
          <w:rFonts w:ascii="Calibri" w:hAnsi="Calibri" w:cs="Calibri"/>
          <w:b/>
          <w:sz w:val="21"/>
          <w:szCs w:val="21"/>
        </w:rPr>
        <w:t xml:space="preserve">SLO dashboard and alerts. </w:t>
      </w:r>
      <w:r>
        <w:rPr>
          <w:rFonts w:ascii="Calibri" w:hAnsi="Calibri" w:cs="Calibri"/>
          <w:sz w:val="21"/>
          <w:szCs w:val="21"/>
        </w:rPr>
        <w:t xml:space="preserve">Finally, with real metrics available, I would build the SLO dashboard and load the burn-rate alerts from CP7, together with the runbook from CP8, so that every page leads directly to a checklist.</w:t>
      </w:r>
    </w:p>
    <w:p>
      <w:pPr>
        <w:spacing w:before="60" w:after="80" w:line="264" w:lineRule="auto"/>
        <w:jc w:val="left"/>
      </w:pPr>
      <w:r>
        <w:rPr>
          <w:rFonts w:ascii="Calibri" w:hAnsi="Calibri" w:cs="Calibri"/>
          <w:b/>
          <w:color w:val="1F3864"/>
          <w:sz w:val="24"/>
          <w:szCs w:val="24"/>
        </w:rPr>
        <w:t xml:space="preserve">User stories for the next sprint</w:t>
      </w:r>
    </w:p>
    <w:p>
      <w:pPr>
        <w:spacing w:before="0" w:after="110" w:line="264" w:lineRule="auto"/>
        <w:ind w:left="300" w:hanging="300"/>
        <w:jc w:val="both"/>
      </w:pPr>
      <w:r>
        <w:rPr>
          <w:rFonts w:ascii="Calibri" w:hAnsi="Calibri" w:cs="Calibri"/>
          <w:b/>
          <w:color w:val="1F3864"/>
          <w:sz w:val="21"/>
          <w:szCs w:val="21"/>
        </w:rPr>
        <w:t xml:space="preserve">1.  </w:t>
      </w:r>
      <w:r>
        <w:rPr>
          <w:rFonts w:ascii="Calibri" w:hAnsi="Calibri" w:cs="Calibri"/>
          <w:b/>
          <w:sz w:val="21"/>
          <w:szCs w:val="21"/>
        </w:rPr>
        <w:t xml:space="preserve">HU-OBS-006 – Index on stock movements: </w:t>
      </w:r>
      <w:r>
        <w:rPr>
          <w:rFonts w:ascii="Calibri" w:hAnsi="Calibri" w:cs="Calibri"/>
          <w:sz w:val="21"/>
          <w:szCs w:val="21"/>
        </w:rPr>
        <w:t xml:space="preserve">add an index on </w:t>
      </w:r>
      <w:r>
        <w:rPr>
          <w:rFonts w:ascii="Consolas" w:hAnsi="Consolas" w:cs="Consolas"/>
          <w:sz w:val="19"/>
          <w:szCs w:val="19"/>
        </w:rPr>
        <w:t xml:space="preserve">products.stock_movement(frame_id, created_at)</w:t>
      </w:r>
      <w:r>
        <w:rPr>
          <w:rFonts w:ascii="Calibri" w:hAnsi="Calibri" w:cs="Calibri"/>
          <w:sz w:val="21"/>
          <w:szCs w:val="21"/>
        </w:rPr>
        <w:t xml:space="preserve"> so the stock check stays under 150 ms even for best-selling frames.</w:t>
      </w:r>
    </w:p>
    <w:p>
      <w:pPr>
        <w:spacing w:before="0" w:after="110" w:line="264" w:lineRule="auto"/>
        <w:ind w:left="300" w:hanging="300"/>
        <w:jc w:val="both"/>
      </w:pPr>
      <w:r>
        <w:rPr>
          <w:rFonts w:ascii="Calibri" w:hAnsi="Calibri" w:cs="Calibri"/>
          <w:b/>
          <w:color w:val="1F3864"/>
          <w:sz w:val="21"/>
          <w:szCs w:val="21"/>
        </w:rPr>
        <w:t xml:space="preserve">2.  </w:t>
      </w:r>
      <w:r>
        <w:rPr>
          <w:rFonts w:ascii="Calibri" w:hAnsi="Calibri" w:cs="Calibri"/>
          <w:b/>
          <w:sz w:val="21"/>
          <w:szCs w:val="21"/>
        </w:rPr>
        <w:t xml:space="preserve">HU-OBS-007 – Faster latency alert: </w:t>
      </w:r>
      <w:r>
        <w:rPr>
          <w:rFonts w:ascii="Calibri" w:hAnsi="Calibri" w:cs="Calibri"/>
          <w:sz w:val="21"/>
          <w:szCs w:val="21"/>
        </w:rPr>
        <w:t xml:space="preserve">add a latency alert with 5-minute and 30-minute windows so that a partial slowdown pages the on-call in under 10 minutes instead of 37.</w:t>
      </w:r>
    </w:p>
    <w:p>
      <w:pPr>
        <w:spacing w:before="0" w:after="110" w:line="264" w:lineRule="auto"/>
        <w:ind w:left="300" w:hanging="300"/>
        <w:jc w:val="both"/>
      </w:pPr>
      <w:r>
        <w:rPr>
          <w:rFonts w:ascii="Calibri" w:hAnsi="Calibri" w:cs="Calibri"/>
          <w:b/>
          <w:color w:val="1F3864"/>
          <w:sz w:val="21"/>
          <w:szCs w:val="21"/>
        </w:rPr>
        <w:t xml:space="preserve">3.  </w:t>
      </w:r>
      <w:r>
        <w:rPr>
          <w:rFonts w:ascii="Calibri" w:hAnsi="Calibri" w:cs="Calibri"/>
          <w:b/>
          <w:sz w:val="21"/>
          <w:szCs w:val="21"/>
        </w:rPr>
        <w:t xml:space="preserve">HU-OBS-008 – k6 load test: </w:t>
      </w:r>
      <w:r>
        <w:rPr>
          <w:rFonts w:ascii="Calibri" w:hAnsi="Calibri" w:cs="Calibri"/>
          <w:sz w:val="21"/>
          <w:szCs w:val="21"/>
        </w:rPr>
        <w:t xml:space="preserve">run a k6 test of </w:t>
      </w:r>
      <w:r>
        <w:rPr>
          <w:rFonts w:ascii="Consolas" w:hAnsi="Consolas" w:cs="Consolas"/>
          <w:sz w:val="19"/>
          <w:szCs w:val="19"/>
        </w:rPr>
        <w:t xml:space="preserve">place-order</w:t>
      </w:r>
      <w:r>
        <w:rPr>
          <w:rFonts w:ascii="Calibri" w:hAnsi="Calibri" w:cs="Calibri"/>
          <w:sz w:val="21"/>
          <w:szCs w:val="21"/>
        </w:rPr>
        <w:t xml:space="preserve"> against a QA database with production-like data volume before every release, so slow queries appear before Saturday and not during it.</w:t>
      </w:r>
    </w:p>
    <w:p>
      <w:pPr>
        <w:spacing w:before="60" w:after="80" w:line="264" w:lineRule="auto"/>
        <w:jc w:val="left"/>
      </w:pPr>
      <w:r>
        <w:rPr>
          <w:rFonts w:ascii="Calibri" w:hAnsi="Calibri" w:cs="Calibri"/>
          <w:b/>
          <w:color w:val="1F3864"/>
          <w:sz w:val="24"/>
          <w:szCs w:val="24"/>
        </w:rPr>
        <w:t xml:space="preserve">Risks and blockers</w:t>
      </w:r>
    </w:p>
    <w:p>
      <w:pPr>
        <w:spacing w:before="0" w:after="110" w:line="264" w:lineRule="auto"/>
        <w:jc w:val="both"/>
      </w:pPr>
      <w:r>
        <w:rPr>
          <w:rFonts w:ascii="Calibri" w:hAnsi="Calibri" w:cs="Calibri"/>
          <w:sz w:val="21"/>
          <w:szCs w:val="21"/>
        </w:rPr>
        <w:t xml:space="preserve">Several things stop us today. The actuator endpoints are disabled in the APIs (</w:t>
      </w:r>
      <w:r>
        <w:rPr>
          <w:rFonts w:ascii="Consolas" w:hAnsi="Consolas" w:cs="Consolas"/>
          <w:sz w:val="19"/>
          <w:szCs w:val="19"/>
        </w:rPr>
        <w:t xml:space="preserve">enabled-by-default: false</w:t>
      </w:r>
      <w:r>
        <w:rPr>
          <w:rFonts w:ascii="Calibri" w:hAnsi="Calibri" w:cs="Calibri"/>
          <w:sz w:val="21"/>
          <w:szCs w:val="21"/>
        </w:rPr>
        <w:t xml:space="preserve">), so exposing metrics needs a team agreement. There is no Prometheus or Grafana in </w:t>
      </w:r>
      <w:r>
        <w:rPr>
          <w:rFonts w:ascii="Consolas" w:hAnsi="Consolas" w:cs="Consolas"/>
          <w:sz w:val="19"/>
          <w:szCs w:val="19"/>
        </w:rPr>
        <w:t xml:space="preserve">opti-infra</w:t>
      </w:r>
      <w:r>
        <w:rPr>
          <w:rFonts w:ascii="Calibri" w:hAnsi="Calibri" w:cs="Calibri"/>
          <w:sz w:val="21"/>
          <w:szCs w:val="21"/>
        </w:rPr>
        <w:t xml:space="preserve"> yet, so the alerts and dashboards have nowhere to run. The message broker for the </w:t>
      </w:r>
      <w:r>
        <w:rPr>
          <w:rFonts w:ascii="Consolas" w:hAnsi="Consolas" w:cs="Consolas"/>
          <w:sz w:val="19"/>
          <w:szCs w:val="19"/>
        </w:rPr>
        <w:t xml:space="preserve">OrdenCreada</w:t>
      </w:r>
      <w:r>
        <w:rPr>
          <w:rFonts w:ascii="Calibri" w:hAnsi="Calibri" w:cs="Calibri"/>
          <w:sz w:val="21"/>
          <w:szCs w:val="21"/>
        </w:rPr>
        <w:t xml:space="preserve"> event has not been chosen, so the asynchronous hop to billing cannot be traced. Finally, we run everything on a single Docker host, which limits our mitigations to rollback and restart and makes a 99.9 % target unrealistic for now.</w:t>
      </w:r>
    </w:p>
    <w:p>
      <w:pPr>
        <w:spacing w:before="60" w:after="80" w:line="264" w:lineRule="auto"/>
        <w:jc w:val="left"/>
      </w:pPr>
      <w:r>
        <w:rPr>
          <w:rFonts w:ascii="Calibri" w:hAnsi="Calibri" w:cs="Calibri"/>
          <w:b/>
          <w:color w:val="1F3864"/>
          <w:sz w:val="24"/>
          <w:szCs w:val="24"/>
        </w:rPr>
        <w:t xml:space="preserve">What I personally learned</w:t>
      </w:r>
    </w:p>
    <w:p>
      <w:pPr>
        <w:spacing w:before="0" w:after="110" w:line="264" w:lineRule="auto"/>
        <w:jc w:val="both"/>
      </w:pPr>
      <w:r>
        <w:rPr>
          <w:rFonts w:ascii="Calibri" w:hAnsi="Calibri" w:cs="Calibri"/>
          <w:sz w:val="21"/>
          <w:szCs w:val="21"/>
        </w:rPr>
        <w:t xml:space="preserve">Personally, the biggest change for me was understanding that observability is not something you add at the end, but code and decisions that must be designed together with the service. Before this week, if a seller said that a quotation failed, I would have opened the logs of each service one by one and tried to match them by time. Now I know that a single </w:t>
      </w:r>
      <w:r>
        <w:rPr>
          <w:rFonts w:ascii="Consolas" w:hAnsi="Consolas" w:cs="Consolas"/>
          <w:sz w:val="19"/>
          <w:szCs w:val="19"/>
        </w:rPr>
        <w:t xml:space="preserve">trace_id</w:t>
      </w:r>
      <w:r>
        <w:rPr>
          <w:rFonts w:ascii="Calibri" w:hAnsi="Calibri" w:cs="Calibri"/>
          <w:sz w:val="21"/>
          <w:szCs w:val="21"/>
        </w:rPr>
        <w:t xml:space="preserve"> can tell the whole story across five services, and that this only works if every team agrees on the same fields.</w:t>
      </w:r>
    </w:p>
    <w:p>
      <w:pPr>
        <w:spacing w:before="0" w:after="110" w:line="264" w:lineRule="auto"/>
        <w:jc w:val="both"/>
      </w:pPr>
      <w:r>
        <w:rPr>
          <w:rFonts w:ascii="Calibri" w:hAnsi="Calibri" w:cs="Calibri"/>
          <w:sz w:val="21"/>
          <w:szCs w:val="21"/>
        </w:rPr>
        <w:t xml:space="preserve">I also learned that numbers must come from our real context. Choosing 99.5 % instead of 99.9 % felt strange at first, but calculating the budget with our own traffic showed me that a stricter target would only produce noise. In the same way, the incident drill taught me that an alert can be technically correct and still too slow to be useful: 37 minutes is a long time for a seller standing in front of a patient. For me, the most valuable part of the work was connecting every technical decision to that person at the counter.</w:t>
      </w:r>
    </w:p>
    <w:sectPr>
      <w:pgSz w:w="12240" w:h="15840"/>
      <w:pgMar w:top="1080" w:right="1200" w:bottom="1080" w:left="1200" w:header="708" w:footer="708" w:gutter="0"/>
    </w:sectPr>
  </w:body>
</w:document>
</file>