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7C3516" w14:textId="77777777" w:rsidR="00ED76CA" w:rsidRDefault="00ED76CA" w:rsidP="00CE72E3">
      <w:pPr>
        <w:autoSpaceDE w:val="0"/>
        <w:autoSpaceDN w:val="0"/>
        <w:adjustRightInd w:val="0"/>
        <w:spacing w:before="180" w:after="0" w:line="240" w:lineRule="auto"/>
        <w:ind w:firstLine="360"/>
        <w:jc w:val="both"/>
        <w:rPr>
          <w:rFonts w:ascii="Open Sans" w:hAnsi="Open Sans" w:cs="Times New Roman"/>
          <w:b/>
          <w:szCs w:val="24"/>
        </w:rPr>
      </w:pPr>
      <w:bookmarkStart w:id="0" w:name="_GoBack"/>
      <w:bookmarkEnd w:id="0"/>
    </w:p>
    <w:p w14:paraId="7D532475" w14:textId="57BBFD33" w:rsidR="00ED76CA" w:rsidRDefault="004041F1" w:rsidP="00CE72E3">
      <w:pPr>
        <w:autoSpaceDE w:val="0"/>
        <w:autoSpaceDN w:val="0"/>
        <w:adjustRightInd w:val="0"/>
        <w:spacing w:before="180" w:after="0" w:line="240" w:lineRule="auto"/>
        <w:ind w:firstLine="360"/>
        <w:jc w:val="both"/>
        <w:rPr>
          <w:rFonts w:ascii="Open Sans" w:hAnsi="Open Sans" w:cs="Times New Roman"/>
          <w:b/>
          <w:szCs w:val="24"/>
        </w:rPr>
      </w:pPr>
      <w:r>
        <w:rPr>
          <w:rFonts w:ascii="Arial" w:hAnsi="Arial" w:cs="Arial"/>
          <w:sz w:val="30"/>
          <w:szCs w:val="30"/>
        </w:rPr>
        <w:t>5. Interpretive Paper</w:t>
      </w:r>
      <w:r>
        <w:rPr>
          <w:rFonts w:ascii="Arial" w:hAnsi="Arial" w:cs="Arial"/>
          <w:sz w:val="30"/>
          <w:szCs w:val="30"/>
        </w:rPr>
        <w:br/>
        <w:t xml:space="preserve">An exegetical paper on 2 Timothy 4:1–5 will be required. This paper will allow the student to apply the rules exegesis in determining the meaning a text. The paper will be 10–12 </w:t>
      </w:r>
      <w:proofErr w:type="spellStart"/>
      <w:proofErr w:type="gramStart"/>
      <w:r>
        <w:rPr>
          <w:rFonts w:ascii="Arial" w:hAnsi="Arial" w:cs="Arial"/>
          <w:sz w:val="30"/>
          <w:szCs w:val="30"/>
        </w:rPr>
        <w:t>pages,doublespaced</w:t>
      </w:r>
      <w:proofErr w:type="spellEnd"/>
      <w:proofErr w:type="gramEnd"/>
      <w:r>
        <w:rPr>
          <w:rFonts w:ascii="Arial" w:hAnsi="Arial" w:cs="Arial"/>
          <w:sz w:val="30"/>
          <w:szCs w:val="30"/>
        </w:rPr>
        <w:t xml:space="preserve">. Use the most current version of Turabian as your style </w:t>
      </w:r>
      <w:proofErr w:type="spellStart"/>
      <w:proofErr w:type="gramStart"/>
      <w:r>
        <w:rPr>
          <w:rFonts w:ascii="Arial" w:hAnsi="Arial" w:cs="Arial"/>
          <w:sz w:val="30"/>
          <w:szCs w:val="30"/>
        </w:rPr>
        <w:t>guide.Each</w:t>
      </w:r>
      <w:proofErr w:type="spellEnd"/>
      <w:proofErr w:type="gramEnd"/>
      <w:r>
        <w:rPr>
          <w:rFonts w:ascii="Arial" w:hAnsi="Arial" w:cs="Arial"/>
          <w:sz w:val="30"/>
          <w:szCs w:val="30"/>
        </w:rPr>
        <w:t xml:space="preserve"> paper should include a section on the contextual background of the passage, an analytical study of the passage, and an interpretation of the </w:t>
      </w:r>
      <w:proofErr w:type="spellStart"/>
      <w:r>
        <w:rPr>
          <w:rFonts w:ascii="Arial" w:hAnsi="Arial" w:cs="Arial"/>
          <w:sz w:val="30"/>
          <w:szCs w:val="30"/>
        </w:rPr>
        <w:t>passage,along</w:t>
      </w:r>
      <w:proofErr w:type="spellEnd"/>
      <w:r>
        <w:rPr>
          <w:rFonts w:ascii="Arial" w:hAnsi="Arial" w:cs="Arial"/>
          <w:sz w:val="30"/>
          <w:szCs w:val="30"/>
        </w:rPr>
        <w:t xml:space="preserve"> with the central idea </w:t>
      </w:r>
      <w:proofErr w:type="spellStart"/>
      <w:r>
        <w:rPr>
          <w:rFonts w:ascii="Arial" w:hAnsi="Arial" w:cs="Arial"/>
          <w:sz w:val="30"/>
          <w:szCs w:val="30"/>
        </w:rPr>
        <w:t>ofthe</w:t>
      </w:r>
      <w:proofErr w:type="spellEnd"/>
      <w:r>
        <w:rPr>
          <w:rFonts w:ascii="Arial" w:hAnsi="Arial" w:cs="Arial"/>
          <w:sz w:val="30"/>
          <w:szCs w:val="30"/>
        </w:rPr>
        <w:t xml:space="preserve"> text. Provide useful cross references and show where this passage fits into biblical theology. Do not forget to show where Christ is revealed in this passage and offer some points of </w:t>
      </w:r>
      <w:proofErr w:type="spellStart"/>
      <w:proofErr w:type="gramStart"/>
      <w:r>
        <w:rPr>
          <w:rFonts w:ascii="Arial" w:hAnsi="Arial" w:cs="Arial"/>
          <w:sz w:val="30"/>
          <w:szCs w:val="30"/>
        </w:rPr>
        <w:t>application.This</w:t>
      </w:r>
      <w:proofErr w:type="spellEnd"/>
      <w:proofErr w:type="gramEnd"/>
      <w:r>
        <w:rPr>
          <w:rFonts w:ascii="Arial" w:hAnsi="Arial" w:cs="Arial"/>
          <w:sz w:val="30"/>
          <w:szCs w:val="30"/>
        </w:rPr>
        <w:t xml:space="preserve"> paper will be due </w:t>
      </w:r>
      <w:proofErr w:type="spellStart"/>
      <w:r>
        <w:rPr>
          <w:rFonts w:ascii="Arial" w:hAnsi="Arial" w:cs="Arial"/>
          <w:sz w:val="30"/>
          <w:szCs w:val="30"/>
        </w:rPr>
        <w:t>aroundthe</w:t>
      </w:r>
      <w:proofErr w:type="spellEnd"/>
      <w:r>
        <w:rPr>
          <w:rFonts w:ascii="Arial" w:hAnsi="Arial" w:cs="Arial"/>
          <w:sz w:val="30"/>
          <w:szCs w:val="30"/>
        </w:rPr>
        <w:t xml:space="preserve"> mid-</w:t>
      </w:r>
      <w:proofErr w:type="spellStart"/>
      <w:r>
        <w:rPr>
          <w:rFonts w:ascii="Arial" w:hAnsi="Arial" w:cs="Arial"/>
          <w:sz w:val="30"/>
          <w:szCs w:val="30"/>
        </w:rPr>
        <w:t>termof</w:t>
      </w:r>
      <w:proofErr w:type="spellEnd"/>
      <w:r>
        <w:rPr>
          <w:rFonts w:ascii="Arial" w:hAnsi="Arial" w:cs="Arial"/>
          <w:sz w:val="30"/>
          <w:szCs w:val="30"/>
        </w:rPr>
        <w:t xml:space="preserve"> the semester(See Moodle)</w:t>
      </w:r>
    </w:p>
    <w:p w14:paraId="233F921C" w14:textId="220D8FD2" w:rsidR="00CE72E3" w:rsidRPr="00CE72E3" w:rsidRDefault="00CE72E3" w:rsidP="00CE72E3">
      <w:pPr>
        <w:autoSpaceDE w:val="0"/>
        <w:autoSpaceDN w:val="0"/>
        <w:adjustRightInd w:val="0"/>
        <w:spacing w:before="180" w:after="0" w:line="240" w:lineRule="auto"/>
        <w:ind w:firstLine="360"/>
        <w:jc w:val="both"/>
        <w:rPr>
          <w:rFonts w:ascii="Times New Roman" w:hAnsi="Times New Roman" w:cs="Times New Roman"/>
          <w:sz w:val="24"/>
          <w:szCs w:val="24"/>
        </w:rPr>
      </w:pPr>
      <w:r w:rsidRPr="00CE72E3">
        <w:rPr>
          <w:rFonts w:ascii="Open Sans" w:hAnsi="Open Sans" w:cs="Times New Roman"/>
          <w:b/>
          <w:szCs w:val="24"/>
        </w:rPr>
        <w:t>In season</w:t>
      </w:r>
      <w:r w:rsidRPr="00CE72E3">
        <w:rPr>
          <w:rFonts w:ascii="Times New Roman" w:hAnsi="Times New Roman" w:cs="Times New Roman"/>
          <w:sz w:val="24"/>
          <w:szCs w:val="24"/>
        </w:rPr>
        <w:t xml:space="preserve"> (</w:t>
      </w:r>
      <w:r w:rsidRPr="00CE72E3">
        <w:rPr>
          <w:rFonts w:ascii="Times New Roman" w:hAnsi="Times New Roman" w:cs="Times New Roman"/>
          <w:sz w:val="24"/>
          <w:szCs w:val="24"/>
          <w:lang w:val="el-GR"/>
        </w:rPr>
        <w:t>εὐκαίρως</w:t>
      </w:r>
      <w:r w:rsidRPr="00CE72E3">
        <w:rPr>
          <w:rFonts w:ascii="Times New Roman" w:hAnsi="Times New Roman" w:cs="Times New Roman"/>
          <w:sz w:val="24"/>
          <w:szCs w:val="24"/>
        </w:rPr>
        <w:t xml:space="preserve">). Only here and Mk. 14:11. LXX once, Sir. 18:22. Comp. </w:t>
      </w:r>
      <w:r w:rsidRPr="00CE72E3">
        <w:rPr>
          <w:rFonts w:ascii="Times New Roman" w:hAnsi="Times New Roman" w:cs="Times New Roman"/>
          <w:sz w:val="24"/>
          <w:szCs w:val="24"/>
          <w:lang w:val="el-GR"/>
        </w:rPr>
        <w:t>εὐκαιρεῖν</w:t>
      </w:r>
      <w:r w:rsidRPr="00CE72E3">
        <w:rPr>
          <w:rFonts w:ascii="Times New Roman" w:hAnsi="Times New Roman" w:cs="Times New Roman"/>
          <w:sz w:val="24"/>
          <w:szCs w:val="24"/>
        </w:rPr>
        <w:t xml:space="preserve"> </w:t>
      </w:r>
      <w:r w:rsidRPr="00CE72E3">
        <w:rPr>
          <w:rFonts w:ascii="Times New Roman" w:hAnsi="Times New Roman" w:cs="Times New Roman"/>
          <w:i/>
          <w:sz w:val="24"/>
          <w:szCs w:val="24"/>
        </w:rPr>
        <w:t>to have leisure</w:t>
      </w:r>
      <w:r w:rsidRPr="00CE72E3">
        <w:rPr>
          <w:rFonts w:ascii="Times New Roman" w:hAnsi="Times New Roman" w:cs="Times New Roman"/>
          <w:sz w:val="24"/>
          <w:szCs w:val="24"/>
        </w:rPr>
        <w:t xml:space="preserve"> or </w:t>
      </w:r>
      <w:r w:rsidRPr="00CE72E3">
        <w:rPr>
          <w:rFonts w:ascii="Times New Roman" w:hAnsi="Times New Roman" w:cs="Times New Roman"/>
          <w:i/>
          <w:sz w:val="24"/>
          <w:szCs w:val="24"/>
        </w:rPr>
        <w:t>opportunity</w:t>
      </w:r>
      <w:r w:rsidRPr="00CE72E3">
        <w:rPr>
          <w:rFonts w:ascii="Times New Roman" w:hAnsi="Times New Roman" w:cs="Times New Roman"/>
          <w:sz w:val="24"/>
          <w:szCs w:val="24"/>
        </w:rPr>
        <w:t xml:space="preserve">, Mk. 6:31; 1 Cor. 16:12: </w:t>
      </w:r>
      <w:r w:rsidRPr="00CE72E3">
        <w:rPr>
          <w:rFonts w:ascii="Times New Roman" w:hAnsi="Times New Roman" w:cs="Times New Roman"/>
          <w:sz w:val="24"/>
          <w:szCs w:val="24"/>
          <w:lang w:val="el-GR"/>
        </w:rPr>
        <w:t>εὐκαιρία</w:t>
      </w:r>
      <w:r w:rsidRPr="00CE72E3">
        <w:rPr>
          <w:rFonts w:ascii="Times New Roman" w:hAnsi="Times New Roman" w:cs="Times New Roman"/>
          <w:sz w:val="24"/>
          <w:szCs w:val="24"/>
        </w:rPr>
        <w:t xml:space="preserve"> </w:t>
      </w:r>
      <w:r w:rsidRPr="00CE72E3">
        <w:rPr>
          <w:rFonts w:ascii="Times New Roman" w:hAnsi="Times New Roman" w:cs="Times New Roman"/>
          <w:i/>
          <w:sz w:val="24"/>
          <w:szCs w:val="24"/>
        </w:rPr>
        <w:t>opportunity</w:t>
      </w:r>
      <w:r w:rsidRPr="00CE72E3">
        <w:rPr>
          <w:rFonts w:ascii="Times New Roman" w:hAnsi="Times New Roman" w:cs="Times New Roman"/>
          <w:sz w:val="24"/>
          <w:szCs w:val="24"/>
        </w:rPr>
        <w:t xml:space="preserve">, Matt. 26:16: </w:t>
      </w:r>
      <w:r w:rsidRPr="00CE72E3">
        <w:rPr>
          <w:rFonts w:ascii="Times New Roman" w:hAnsi="Times New Roman" w:cs="Times New Roman"/>
          <w:sz w:val="24"/>
          <w:szCs w:val="24"/>
          <w:lang w:val="el-GR"/>
        </w:rPr>
        <w:t>εὔκαιρος</w:t>
      </w:r>
      <w:r w:rsidRPr="00CE72E3">
        <w:rPr>
          <w:rFonts w:ascii="Times New Roman" w:hAnsi="Times New Roman" w:cs="Times New Roman"/>
          <w:sz w:val="24"/>
          <w:szCs w:val="24"/>
        </w:rPr>
        <w:t xml:space="preserve"> </w:t>
      </w:r>
      <w:r w:rsidRPr="00CE72E3">
        <w:rPr>
          <w:rFonts w:ascii="Times New Roman" w:hAnsi="Times New Roman" w:cs="Times New Roman"/>
          <w:i/>
          <w:sz w:val="24"/>
          <w:szCs w:val="24"/>
        </w:rPr>
        <w:t>seasonable, convenient</w:t>
      </w:r>
      <w:r w:rsidRPr="00CE72E3">
        <w:rPr>
          <w:rFonts w:ascii="Times New Roman" w:hAnsi="Times New Roman" w:cs="Times New Roman"/>
          <w:sz w:val="24"/>
          <w:szCs w:val="24"/>
        </w:rPr>
        <w:t>, Mk. 6:21; Heb. 4:16.</w:t>
      </w:r>
    </w:p>
    <w:p w14:paraId="58D4F604" w14:textId="77777777" w:rsidR="00CE72E3" w:rsidRPr="00CE72E3" w:rsidRDefault="00CE72E3" w:rsidP="00CE72E3">
      <w:pPr>
        <w:autoSpaceDE w:val="0"/>
        <w:autoSpaceDN w:val="0"/>
        <w:adjustRightInd w:val="0"/>
        <w:spacing w:before="180" w:after="0" w:line="240" w:lineRule="auto"/>
        <w:ind w:firstLine="360"/>
        <w:jc w:val="both"/>
        <w:rPr>
          <w:rFonts w:ascii="Times New Roman" w:hAnsi="Times New Roman" w:cs="Times New Roman"/>
          <w:sz w:val="24"/>
          <w:szCs w:val="24"/>
        </w:rPr>
      </w:pPr>
      <w:r w:rsidRPr="00CE72E3">
        <w:rPr>
          <w:rFonts w:ascii="Open Sans" w:hAnsi="Open Sans" w:cs="Times New Roman"/>
          <w:b/>
          <w:szCs w:val="24"/>
        </w:rPr>
        <w:t>Out of season</w:t>
      </w:r>
      <w:r w:rsidRPr="00CE72E3">
        <w:rPr>
          <w:rFonts w:ascii="Times New Roman" w:hAnsi="Times New Roman" w:cs="Times New Roman"/>
          <w:sz w:val="24"/>
          <w:szCs w:val="24"/>
        </w:rPr>
        <w:t xml:space="preserve"> (</w:t>
      </w:r>
      <w:r w:rsidRPr="00CE72E3">
        <w:rPr>
          <w:rFonts w:ascii="Times New Roman" w:hAnsi="Times New Roman" w:cs="Times New Roman"/>
          <w:sz w:val="24"/>
          <w:szCs w:val="24"/>
          <w:lang w:val="el-GR"/>
        </w:rPr>
        <w:t>ἀκαίρως</w:t>
      </w:r>
      <w:r w:rsidRPr="00CE72E3">
        <w:rPr>
          <w:rFonts w:ascii="Times New Roman" w:hAnsi="Times New Roman" w:cs="Times New Roman"/>
          <w:sz w:val="24"/>
          <w:szCs w:val="24"/>
        </w:rPr>
        <w:t>). N. </w:t>
      </w:r>
      <w:proofErr w:type="spellStart"/>
      <w:r w:rsidRPr="00CE72E3">
        <w:rPr>
          <w:rFonts w:ascii="Times New Roman" w:hAnsi="Times New Roman" w:cs="Times New Roman"/>
          <w:sz w:val="24"/>
          <w:szCs w:val="24"/>
        </w:rPr>
        <w:t>T.</w:t>
      </w:r>
      <w:r w:rsidRPr="00CE72E3">
        <w:rPr>
          <w:rFonts w:ascii="Times New Roman" w:hAnsi="Times New Roman" w:cs="Times New Roman"/>
          <w:sz w:val="24"/>
          <w:szCs w:val="24"/>
          <w:vertAlign w:val="superscript"/>
        </w:rPr>
        <w:t>o</w:t>
      </w:r>
      <w:proofErr w:type="spellEnd"/>
      <w:r w:rsidRPr="00CE72E3">
        <w:rPr>
          <w:rFonts w:ascii="Times New Roman" w:hAnsi="Times New Roman" w:cs="Times New Roman"/>
          <w:sz w:val="24"/>
          <w:szCs w:val="24"/>
        </w:rPr>
        <w:t xml:space="preserve">. LXX once, Sir. 35:4. Comp. </w:t>
      </w:r>
      <w:r w:rsidRPr="00CE72E3">
        <w:rPr>
          <w:rFonts w:ascii="Times New Roman" w:hAnsi="Times New Roman" w:cs="Times New Roman"/>
          <w:sz w:val="24"/>
          <w:szCs w:val="24"/>
          <w:lang w:val="el-GR"/>
        </w:rPr>
        <w:t>ἀκαιρεῖσθαι</w:t>
      </w:r>
      <w:r w:rsidRPr="00CE72E3">
        <w:rPr>
          <w:rFonts w:ascii="Times New Roman" w:hAnsi="Times New Roman" w:cs="Times New Roman"/>
          <w:sz w:val="24"/>
          <w:szCs w:val="24"/>
        </w:rPr>
        <w:t xml:space="preserve"> </w:t>
      </w:r>
      <w:r w:rsidRPr="00CE72E3">
        <w:rPr>
          <w:rFonts w:ascii="Times New Roman" w:hAnsi="Times New Roman" w:cs="Times New Roman"/>
          <w:i/>
          <w:sz w:val="24"/>
          <w:szCs w:val="24"/>
        </w:rPr>
        <w:t>to lack opportunity</w:t>
      </w:r>
      <w:r w:rsidRPr="00CE72E3">
        <w:rPr>
          <w:rFonts w:ascii="Times New Roman" w:hAnsi="Times New Roman" w:cs="Times New Roman"/>
          <w:sz w:val="24"/>
          <w:szCs w:val="24"/>
        </w:rPr>
        <w:t>, Philip. 4:10. Timothy is not advised to disregard opportuneness, but to discharge his duty to those with whom he deals, whether it be welcome or not.</w:t>
      </w:r>
      <w:r w:rsidRPr="00CE72E3">
        <w:rPr>
          <w:rFonts w:ascii="Times New Roman" w:hAnsi="Times New Roman" w:cs="Times New Roman"/>
          <w:sz w:val="24"/>
          <w:szCs w:val="24"/>
          <w:vertAlign w:val="superscript"/>
        </w:rPr>
        <w:footnoteReference w:id="1"/>
      </w:r>
    </w:p>
    <w:p w14:paraId="2D4F4A76" w14:textId="0324B10F" w:rsidR="002E1BE5" w:rsidRDefault="002E1BE5" w:rsidP="00CE72E3"/>
    <w:p w14:paraId="31A94FF6" w14:textId="5B5B78B4" w:rsidR="003C59E0" w:rsidRDefault="003C59E0" w:rsidP="00CE72E3">
      <w:pPr>
        <w:rPr>
          <w:rFonts w:ascii="Times New Roman" w:hAnsi="Times New Roman" w:cs="Times New Roman"/>
          <w:sz w:val="24"/>
          <w:szCs w:val="24"/>
        </w:rPr>
      </w:pPr>
      <w:r w:rsidRPr="003C59E0">
        <w:rPr>
          <w:rFonts w:ascii="Times New Roman" w:hAnsi="Times New Roman" w:cs="Times New Roman"/>
          <w:sz w:val="24"/>
          <w:szCs w:val="24"/>
        </w:rPr>
        <w:t>The second time would have been during the reign of Nero. Second Timothy could, accordingly, be dated from A.D. 65 to early autumn of 67.</w:t>
      </w:r>
      <w:r w:rsidRPr="003C59E0">
        <w:rPr>
          <w:rFonts w:ascii="Times New Roman" w:hAnsi="Times New Roman" w:cs="Times New Roman"/>
          <w:sz w:val="24"/>
          <w:szCs w:val="24"/>
          <w:vertAlign w:val="superscript"/>
        </w:rPr>
        <w:footnoteReference w:id="2"/>
      </w:r>
    </w:p>
    <w:p w14:paraId="7E41CC0C" w14:textId="62B70098" w:rsidR="00426311" w:rsidRPr="00426311" w:rsidRDefault="00426311" w:rsidP="00426311">
      <w:pPr>
        <w:autoSpaceDE w:val="0"/>
        <w:autoSpaceDN w:val="0"/>
        <w:adjustRightInd w:val="0"/>
        <w:spacing w:before="180" w:after="0" w:line="240" w:lineRule="auto"/>
        <w:rPr>
          <w:rFonts w:ascii="Times New Roman" w:hAnsi="Times New Roman" w:cs="Times New Roman"/>
          <w:b/>
          <w:bCs/>
          <w:i/>
          <w:iCs/>
          <w:sz w:val="24"/>
          <w:szCs w:val="24"/>
          <w:u w:val="single"/>
        </w:rPr>
      </w:pPr>
      <w:r w:rsidRPr="00426311">
        <w:rPr>
          <w:rFonts w:ascii="Times New Roman" w:hAnsi="Times New Roman" w:cs="Times New Roman"/>
          <w:b/>
          <w:bCs/>
          <w:i/>
          <w:iCs/>
          <w:sz w:val="24"/>
          <w:szCs w:val="24"/>
          <w:u w:val="single"/>
        </w:rPr>
        <w:t>Paul knew the time would come when some of Timothy’s hearers would pay more attention to novelty and error than they would the truth. In these difficult situations, Timothy was to remain alert and carry out his responsibilities.</w:t>
      </w:r>
      <w:r w:rsidRPr="00426311">
        <w:rPr>
          <w:rFonts w:ascii="Open Sans" w:hAnsi="Open Sans" w:cs="Times New Roman"/>
          <w:b/>
          <w:bCs/>
          <w:i/>
          <w:iCs/>
          <w:sz w:val="24"/>
          <w:szCs w:val="24"/>
          <w:u w:val="single"/>
          <w:vertAlign w:val="superscript"/>
        </w:rPr>
        <w:footnoteReference w:id="3"/>
      </w:r>
    </w:p>
    <w:p w14:paraId="5F327066" w14:textId="35D86F7E" w:rsidR="003C59E0" w:rsidRPr="00426311" w:rsidRDefault="003C59E0" w:rsidP="00CE72E3">
      <w:pPr>
        <w:rPr>
          <w:b/>
          <w:bCs/>
          <w:i/>
          <w:iCs/>
          <w:u w:val="single"/>
        </w:rPr>
      </w:pPr>
    </w:p>
    <w:p w14:paraId="4B3A0EFD" w14:textId="5F1B9ED3" w:rsidR="00426311" w:rsidRDefault="00426311" w:rsidP="00CE72E3">
      <w:pPr>
        <w:rPr>
          <w:rFonts w:ascii="Times New Roman" w:hAnsi="Times New Roman" w:cs="Times New Roman"/>
          <w:sz w:val="24"/>
          <w:szCs w:val="24"/>
        </w:rPr>
      </w:pPr>
      <w:r w:rsidRPr="00426311">
        <w:rPr>
          <w:rFonts w:ascii="Times New Roman" w:hAnsi="Times New Roman" w:cs="Times New Roman"/>
          <w:sz w:val="24"/>
          <w:szCs w:val="24"/>
        </w:rPr>
        <w:t xml:space="preserve">Tacitus also describes the excruciating torments inflicted on the Roman Christians by Nero. He says that they were subjected to the derision of the people; dressed in the skins of wild beasts, and exposed to be torn to pieces by dogs in the public games, that they were crucified, or </w:t>
      </w:r>
      <w:r w:rsidRPr="00426311">
        <w:rPr>
          <w:rFonts w:ascii="Times New Roman" w:hAnsi="Times New Roman" w:cs="Times New Roman"/>
          <w:sz w:val="24"/>
          <w:szCs w:val="24"/>
        </w:rPr>
        <w:lastRenderedPageBreak/>
        <w:t>condemned to be burnt; and at night-fall served in place of lamps to lighten the darkness, Nero’s own gardens being used for the spectacle. Annal. xv. 44.</w:t>
      </w:r>
      <w:r w:rsidRPr="00426311">
        <w:rPr>
          <w:rFonts w:ascii="Times New Roman" w:hAnsi="Times New Roman" w:cs="Times New Roman"/>
          <w:sz w:val="24"/>
          <w:szCs w:val="24"/>
          <w:vertAlign w:val="superscript"/>
        </w:rPr>
        <w:footnoteReference w:id="4"/>
      </w:r>
    </w:p>
    <w:p w14:paraId="41A8EF20" w14:textId="08EA7CBD" w:rsidR="00B46CCB" w:rsidRDefault="00B46CCB" w:rsidP="00CE72E3">
      <w:pPr>
        <w:rPr>
          <w:rFonts w:ascii="Times New Roman" w:hAnsi="Times New Roman" w:cs="Times New Roman"/>
          <w:sz w:val="24"/>
          <w:szCs w:val="24"/>
        </w:rPr>
      </w:pPr>
    </w:p>
    <w:p w14:paraId="26C01788" w14:textId="673E79FE" w:rsidR="00B46CCB" w:rsidRDefault="00B46CCB" w:rsidP="00CE72E3">
      <w:pPr>
        <w:rPr>
          <w:rFonts w:ascii="Times New Roman" w:hAnsi="Times New Roman" w:cs="Times New Roman"/>
          <w:sz w:val="24"/>
          <w:szCs w:val="24"/>
        </w:rPr>
      </w:pPr>
      <w:r w:rsidRPr="00B46CCB">
        <w:rPr>
          <w:rFonts w:ascii="Times New Roman" w:hAnsi="Times New Roman" w:cs="Times New Roman"/>
          <w:sz w:val="24"/>
          <w:szCs w:val="24"/>
        </w:rPr>
        <w:t xml:space="preserve">A missionary associate, fellow worker, and trusted emissary of Paul over an extended </w:t>
      </w:r>
      <w:proofErr w:type="gramStart"/>
      <w:r w:rsidRPr="00B46CCB">
        <w:rPr>
          <w:rFonts w:ascii="Times New Roman" w:hAnsi="Times New Roman" w:cs="Times New Roman"/>
          <w:sz w:val="24"/>
          <w:szCs w:val="24"/>
        </w:rPr>
        <w:t>period of time</w:t>
      </w:r>
      <w:proofErr w:type="gramEnd"/>
      <w:r w:rsidRPr="00B46CCB">
        <w:rPr>
          <w:rFonts w:ascii="Times New Roman" w:hAnsi="Times New Roman" w:cs="Times New Roman"/>
          <w:sz w:val="24"/>
          <w:szCs w:val="24"/>
          <w:vertAlign w:val="superscript"/>
        </w:rPr>
        <w:footnoteReference w:id="5"/>
      </w:r>
    </w:p>
    <w:p w14:paraId="62DAFCA2" w14:textId="252C714D" w:rsidR="00B46CCB" w:rsidRDefault="006E763D" w:rsidP="00CE72E3">
      <w:pPr>
        <w:rPr>
          <w:rFonts w:ascii="Times New Roman" w:hAnsi="Times New Roman" w:cs="Times New Roman"/>
          <w:sz w:val="24"/>
          <w:szCs w:val="24"/>
        </w:rPr>
      </w:pPr>
      <w:r w:rsidRPr="006E763D">
        <w:rPr>
          <w:rFonts w:ascii="Times New Roman" w:hAnsi="Times New Roman" w:cs="Times New Roman"/>
          <w:sz w:val="24"/>
          <w:szCs w:val="24"/>
        </w:rPr>
        <w:t>Timothy, indeed, is recorded as having first received the episcopate at Ephesus (</w:t>
      </w:r>
      <w:r w:rsidRPr="006E763D">
        <w:rPr>
          <w:rFonts w:ascii="Times New Roman" w:hAnsi="Times New Roman" w:cs="Times New Roman"/>
          <w:sz w:val="24"/>
          <w:szCs w:val="24"/>
          <w:lang w:val="el-GR"/>
        </w:rPr>
        <w:t>εν</w:t>
      </w:r>
      <w:r w:rsidRPr="006E763D">
        <w:rPr>
          <w:rFonts w:ascii="Times New Roman" w:hAnsi="Times New Roman" w:cs="Times New Roman"/>
          <w:sz w:val="24"/>
          <w:szCs w:val="24"/>
        </w:rPr>
        <w:t xml:space="preserve"> </w:t>
      </w:r>
      <w:proofErr w:type="spellStart"/>
      <w:r w:rsidRPr="006E763D">
        <w:rPr>
          <w:rFonts w:ascii="Times New Roman" w:hAnsi="Times New Roman" w:cs="Times New Roman"/>
          <w:i/>
          <w:sz w:val="24"/>
          <w:szCs w:val="24"/>
        </w:rPr>
        <w:t>Epheso</w:t>
      </w:r>
      <w:proofErr w:type="spellEnd"/>
      <w:r w:rsidRPr="006E763D">
        <w:rPr>
          <w:rFonts w:ascii="Times New Roman" w:hAnsi="Times New Roman" w:cs="Times New Roman"/>
          <w:i/>
          <w:sz w:val="24"/>
          <w:szCs w:val="24"/>
        </w:rPr>
        <w:t xml:space="preserve"> </w:t>
      </w:r>
      <w:r w:rsidRPr="006E763D">
        <w:rPr>
          <w:rFonts w:ascii="Times New Roman" w:hAnsi="Times New Roman" w:cs="Times New Roman"/>
          <w:sz w:val="24"/>
          <w:szCs w:val="24"/>
          <w:lang w:val="el-GR"/>
        </w:rPr>
        <w:t>παροικιας</w:t>
      </w:r>
      <w:r w:rsidRPr="006E763D">
        <w:rPr>
          <w:rFonts w:ascii="Times New Roman" w:hAnsi="Times New Roman" w:cs="Times New Roman"/>
          <w:sz w:val="24"/>
          <w:szCs w:val="24"/>
        </w:rPr>
        <w:t>)</w:t>
      </w:r>
      <w:r w:rsidRPr="006E763D">
        <w:rPr>
          <w:rFonts w:ascii="Times New Roman" w:hAnsi="Times New Roman" w:cs="Times New Roman"/>
          <w:sz w:val="24"/>
          <w:szCs w:val="24"/>
          <w:vertAlign w:val="superscript"/>
        </w:rPr>
        <w:footnoteReference w:id="6"/>
      </w:r>
    </w:p>
    <w:p w14:paraId="35036B32" w14:textId="5F342DEF" w:rsidR="0058180E" w:rsidRDefault="0058180E" w:rsidP="00CE72E3">
      <w:pPr>
        <w:rPr>
          <w:rFonts w:ascii="Times New Roman" w:hAnsi="Times New Roman" w:cs="Times New Roman"/>
          <w:sz w:val="24"/>
          <w:szCs w:val="24"/>
        </w:rPr>
      </w:pPr>
    </w:p>
    <w:p w14:paraId="6FD322AE" w14:textId="0F2D22CB" w:rsidR="0058180E" w:rsidRDefault="0058180E" w:rsidP="00CE72E3">
      <w:pPr>
        <w:rPr>
          <w:rFonts w:ascii="Times New Roman" w:hAnsi="Times New Roman" w:cs="Times New Roman"/>
          <w:sz w:val="24"/>
          <w:szCs w:val="24"/>
        </w:rPr>
      </w:pPr>
      <w:r w:rsidRPr="0058180E">
        <w:rPr>
          <w:rFonts w:ascii="Times New Roman" w:hAnsi="Times New Roman" w:cs="Times New Roman"/>
          <w:sz w:val="24"/>
          <w:szCs w:val="24"/>
        </w:rPr>
        <w:t>almost reluctant successor</w:t>
      </w:r>
      <w:r w:rsidRPr="0058180E">
        <w:rPr>
          <w:rFonts w:ascii="Times New Roman" w:hAnsi="Times New Roman" w:cs="Times New Roman"/>
          <w:sz w:val="24"/>
          <w:szCs w:val="24"/>
          <w:vertAlign w:val="superscript"/>
        </w:rPr>
        <w:footnoteReference w:id="7"/>
      </w:r>
    </w:p>
    <w:p w14:paraId="519C7B3F" w14:textId="42A80D65" w:rsidR="0058180E" w:rsidRDefault="00CC1894" w:rsidP="00CE72E3">
      <w:r w:rsidRPr="00CC1894">
        <w:rPr>
          <w:rFonts w:ascii="Times New Roman" w:hAnsi="Times New Roman" w:cs="Times New Roman"/>
          <w:sz w:val="24"/>
          <w:szCs w:val="24"/>
        </w:rPr>
        <w:t xml:space="preserve">The Gr. has the idea of issuing a forceful order or directive (cf. 2:14; 1Ti 1:18; 5:21). </w:t>
      </w:r>
      <w:r w:rsidRPr="00CC1894">
        <w:rPr>
          <w:rFonts w:ascii="Times New Roman" w:hAnsi="Times New Roman" w:cs="Times New Roman"/>
          <w:b/>
          <w:sz w:val="24"/>
          <w:szCs w:val="24"/>
        </w:rPr>
        <w:t>in the presence of God and of Christ Jesus</w:t>
      </w:r>
      <w:r w:rsidRPr="00CC1894">
        <w:rPr>
          <w:rFonts w:ascii="Times New Roman" w:hAnsi="Times New Roman" w:cs="Times New Roman"/>
          <w:sz w:val="24"/>
          <w:szCs w:val="24"/>
          <w:vertAlign w:val="superscript"/>
        </w:rPr>
        <w:footnoteReference w:id="8"/>
      </w:r>
      <w:r>
        <w:rPr>
          <w:rFonts w:ascii="Times New Roman" w:hAnsi="Times New Roman" w:cs="Times New Roman"/>
          <w:b/>
          <w:sz w:val="24"/>
          <w:szCs w:val="24"/>
        </w:rPr>
        <w:br/>
      </w:r>
      <w:r>
        <w:rPr>
          <w:rFonts w:ascii="Times New Roman" w:hAnsi="Times New Roman" w:cs="Times New Roman"/>
          <w:b/>
          <w:sz w:val="24"/>
          <w:szCs w:val="24"/>
        </w:rPr>
        <w:br/>
      </w:r>
      <w:r>
        <w:t>to state something in such a way that the auditor is to be impressed with its seriousness.</w:t>
      </w:r>
      <w:r>
        <w:rPr>
          <w:vertAlign w:val="superscript"/>
        </w:rPr>
        <w:footnoteReference w:id="9"/>
      </w:r>
    </w:p>
    <w:p w14:paraId="4416A1E6" w14:textId="334DD5F6" w:rsidR="00AA553C" w:rsidRDefault="00AA553C" w:rsidP="00CE72E3"/>
    <w:p w14:paraId="4C161D4D" w14:textId="441BADDB" w:rsidR="00AA553C" w:rsidRDefault="00AA553C" w:rsidP="00CE72E3">
      <w:r>
        <w:t xml:space="preserve">Everyone who ministers the Word of God is under the omniscient scrutiny of Christ </w:t>
      </w:r>
      <w:r>
        <w:rPr>
          <w:vertAlign w:val="superscript"/>
        </w:rPr>
        <w:footnoteReference w:id="10"/>
      </w:r>
    </w:p>
    <w:p w14:paraId="74E97329" w14:textId="5F2688F1" w:rsidR="00730B3B" w:rsidRDefault="00730B3B" w:rsidP="00CE72E3">
      <w:pPr>
        <w:rPr>
          <w:rFonts w:ascii="Times New Roman" w:hAnsi="Times New Roman" w:cs="Times New Roman"/>
          <w:sz w:val="24"/>
          <w:szCs w:val="24"/>
        </w:rPr>
      </w:pPr>
      <w:r w:rsidRPr="00730B3B">
        <w:rPr>
          <w:rFonts w:ascii="Times New Roman" w:hAnsi="Times New Roman" w:cs="Times New Roman"/>
          <w:b/>
          <w:sz w:val="24"/>
          <w:szCs w:val="24"/>
        </w:rPr>
        <w:lastRenderedPageBreak/>
        <w:t>to express strong disapproval of someone,</w:t>
      </w:r>
      <w:r w:rsidRPr="00730B3B">
        <w:rPr>
          <w:rFonts w:ascii="Times New Roman" w:hAnsi="Times New Roman" w:cs="Times New Roman"/>
          <w:sz w:val="24"/>
          <w:szCs w:val="24"/>
        </w:rPr>
        <w:t xml:space="preserve"> </w:t>
      </w:r>
      <w:r w:rsidRPr="00730B3B">
        <w:rPr>
          <w:rFonts w:ascii="Times New Roman" w:hAnsi="Times New Roman" w:cs="Times New Roman"/>
          <w:b/>
          <w:i/>
          <w:sz w:val="24"/>
          <w:szCs w:val="24"/>
        </w:rPr>
        <w:t>rebuke, reprove, censure</w:t>
      </w:r>
      <w:r w:rsidRPr="00730B3B">
        <w:rPr>
          <w:rFonts w:ascii="Times New Roman" w:hAnsi="Times New Roman" w:cs="Times New Roman"/>
          <w:sz w:val="24"/>
          <w:szCs w:val="24"/>
        </w:rPr>
        <w:t xml:space="preserve"> also </w:t>
      </w:r>
      <w:r w:rsidRPr="00730B3B">
        <w:rPr>
          <w:rFonts w:ascii="Times New Roman" w:hAnsi="Times New Roman" w:cs="Times New Roman"/>
          <w:b/>
          <w:i/>
          <w:sz w:val="24"/>
          <w:szCs w:val="24"/>
        </w:rPr>
        <w:t>speak seriously, warn</w:t>
      </w:r>
      <w:r w:rsidRPr="00730B3B">
        <w:rPr>
          <w:rFonts w:ascii="Times New Roman" w:hAnsi="Times New Roman" w:cs="Times New Roman"/>
          <w:sz w:val="24"/>
          <w:szCs w:val="24"/>
        </w:rPr>
        <w:t xml:space="preserve"> in order to prevent an action or bring one to an end</w:t>
      </w:r>
      <w:r w:rsidRPr="00730B3B">
        <w:rPr>
          <w:rFonts w:ascii="Times New Roman" w:hAnsi="Times New Roman" w:cs="Times New Roman"/>
          <w:sz w:val="24"/>
          <w:szCs w:val="24"/>
          <w:vertAlign w:val="superscript"/>
        </w:rPr>
        <w:footnoteReference w:id="11"/>
      </w:r>
    </w:p>
    <w:p w14:paraId="64607F02" w14:textId="64F55A6C" w:rsidR="00541118" w:rsidRDefault="00541118" w:rsidP="00CE72E3">
      <w:pPr>
        <w:rPr>
          <w:rFonts w:ascii="Times New Roman" w:hAnsi="Times New Roman" w:cs="Times New Roman"/>
          <w:sz w:val="24"/>
          <w:szCs w:val="24"/>
        </w:rPr>
      </w:pPr>
    </w:p>
    <w:p w14:paraId="339AD440" w14:textId="69E65A31" w:rsidR="00541118" w:rsidRDefault="00541118" w:rsidP="00CE72E3">
      <w:r w:rsidRPr="00541118">
        <w:rPr>
          <w:rFonts w:ascii="Times New Roman" w:hAnsi="Times New Roman" w:cs="Times New Roman"/>
          <w:b/>
          <w:sz w:val="24"/>
          <w:szCs w:val="24"/>
        </w:rPr>
        <w:t>to express strong disapproval of someone</w:t>
      </w:r>
      <w:r w:rsidRPr="00541118">
        <w:rPr>
          <w:rFonts w:ascii="Times New Roman" w:hAnsi="Times New Roman" w:cs="Times New Roman"/>
          <w:sz w:val="24"/>
          <w:szCs w:val="24"/>
          <w:vertAlign w:val="superscript"/>
        </w:rPr>
        <w:footnoteReference w:id="12"/>
      </w:r>
    </w:p>
    <w:p w14:paraId="7F498F5C" w14:textId="71365ECE" w:rsidR="00AA553C" w:rsidRPr="00426311" w:rsidRDefault="00A82C29" w:rsidP="00CE72E3">
      <w:pPr>
        <w:rPr>
          <w:b/>
          <w:bCs/>
          <w:i/>
          <w:iCs/>
          <w:u w:val="single"/>
        </w:rPr>
      </w:pPr>
      <w:r w:rsidRPr="00A82C29">
        <w:rPr>
          <w:rFonts w:ascii="Times New Roman" w:hAnsi="Times New Roman" w:cs="Times New Roman"/>
          <w:sz w:val="24"/>
          <w:szCs w:val="24"/>
        </w:rPr>
        <w:t>‘The blood of the martyrs is the seed of the church.’</w:t>
      </w:r>
      <w:r w:rsidRPr="00A82C29">
        <w:rPr>
          <w:rFonts w:ascii="Times New Roman" w:hAnsi="Times New Roman" w:cs="Times New Roman"/>
          <w:sz w:val="24"/>
          <w:szCs w:val="24"/>
          <w:vertAlign w:val="superscript"/>
        </w:rPr>
        <w:footnoteReference w:id="13"/>
      </w:r>
      <w:r>
        <w:rPr>
          <w:rFonts w:ascii="Times New Roman" w:hAnsi="Times New Roman" w:cs="Times New Roman"/>
          <w:sz w:val="24"/>
          <w:szCs w:val="24"/>
        </w:rPr>
        <w:br/>
      </w:r>
      <w:r>
        <w:rPr>
          <w:rFonts w:ascii="Times New Roman" w:hAnsi="Times New Roman" w:cs="Times New Roman"/>
          <w:sz w:val="24"/>
          <w:szCs w:val="24"/>
        </w:rPr>
        <w:br/>
      </w:r>
      <w:r w:rsidRPr="00A82C29">
        <w:rPr>
          <w:rFonts w:ascii="Times New Roman" w:hAnsi="Times New Roman" w:cs="Times New Roman"/>
          <w:sz w:val="24"/>
          <w:szCs w:val="24"/>
        </w:rPr>
        <w:t>spell out the reason for the seriousness of v 1 and the urgency of v 2.</w:t>
      </w:r>
      <w:r w:rsidRPr="00A82C29">
        <w:rPr>
          <w:rFonts w:ascii="Times New Roman" w:hAnsi="Times New Roman" w:cs="Times New Roman"/>
          <w:sz w:val="24"/>
          <w:szCs w:val="24"/>
          <w:vertAlign w:val="superscript"/>
        </w:rPr>
        <w:footnoteReference w:id="14"/>
      </w:r>
    </w:p>
    <w:sectPr w:rsidR="00AA553C" w:rsidRPr="00426311" w:rsidSect="002E1BE5">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F6B1C9" w14:textId="77777777" w:rsidR="00CE72E3" w:rsidRDefault="00CE72E3" w:rsidP="00CE72E3">
      <w:pPr>
        <w:spacing w:after="0" w:line="240" w:lineRule="auto"/>
      </w:pPr>
      <w:r>
        <w:separator/>
      </w:r>
    </w:p>
  </w:endnote>
  <w:endnote w:type="continuationSeparator" w:id="0">
    <w:p w14:paraId="20E2BDB6" w14:textId="77777777" w:rsidR="00CE72E3" w:rsidRDefault="00CE72E3" w:rsidP="00CE7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Segoe UI"/>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FEC291" w14:textId="77777777" w:rsidR="00CE72E3" w:rsidRDefault="00CE72E3" w:rsidP="00CE72E3">
      <w:pPr>
        <w:spacing w:after="0" w:line="240" w:lineRule="auto"/>
      </w:pPr>
      <w:r>
        <w:separator/>
      </w:r>
    </w:p>
  </w:footnote>
  <w:footnote w:type="continuationSeparator" w:id="0">
    <w:p w14:paraId="38A2BEC5" w14:textId="77777777" w:rsidR="00CE72E3" w:rsidRDefault="00CE72E3" w:rsidP="00CE72E3">
      <w:pPr>
        <w:spacing w:after="0" w:line="240" w:lineRule="auto"/>
      </w:pPr>
      <w:r>
        <w:continuationSeparator/>
      </w:r>
    </w:p>
  </w:footnote>
  <w:footnote w:id="1">
    <w:p w14:paraId="7CEED9FB" w14:textId="77777777" w:rsidR="00CE72E3" w:rsidRDefault="00CE72E3" w:rsidP="00CE72E3">
      <w:r>
        <w:rPr>
          <w:vertAlign w:val="superscript"/>
        </w:rPr>
        <w:footnoteRef/>
      </w:r>
      <w:r>
        <w:t xml:space="preserve"> Marvin Richardson Vincent, </w:t>
      </w:r>
      <w:hyperlink r:id="rId1" w:history="1">
        <w:r>
          <w:rPr>
            <w:i/>
            <w:color w:val="0000FF"/>
            <w:u w:val="single"/>
          </w:rPr>
          <w:t>Word Studies in the New Testament</w:t>
        </w:r>
      </w:hyperlink>
      <w:r>
        <w:t>, vol. 4 (New York: Charles Scribner’s Sons, 1887), 319.</w:t>
      </w:r>
    </w:p>
  </w:footnote>
  <w:footnote w:id="2">
    <w:p w14:paraId="3C144BA5" w14:textId="77777777" w:rsidR="003C59E0" w:rsidRDefault="003C59E0" w:rsidP="003C59E0">
      <w:r>
        <w:rPr>
          <w:vertAlign w:val="superscript"/>
        </w:rPr>
        <w:footnoteRef/>
      </w:r>
      <w:r>
        <w:t xml:space="preserve"> Dale </w:t>
      </w:r>
      <w:proofErr w:type="spellStart"/>
      <w:r>
        <w:t>Leschert</w:t>
      </w:r>
      <w:proofErr w:type="spellEnd"/>
      <w:r>
        <w:t xml:space="preserve">, </w:t>
      </w:r>
      <w:hyperlink r:id="rId2" w:history="1">
        <w:r>
          <w:rPr>
            <w:i/>
            <w:color w:val="0000FF"/>
            <w:u w:val="single"/>
          </w:rPr>
          <w:t>The Flow of the New Testament</w:t>
        </w:r>
      </w:hyperlink>
      <w:r>
        <w:t xml:space="preserve"> (</w:t>
      </w:r>
      <w:proofErr w:type="spellStart"/>
      <w:r>
        <w:t>Fearn</w:t>
      </w:r>
      <w:proofErr w:type="spellEnd"/>
      <w:r>
        <w:t>, Great Britain: Christian Focus Publications, 2002), 391.</w:t>
      </w:r>
    </w:p>
  </w:footnote>
  <w:footnote w:id="3">
    <w:p w14:paraId="3D3DE843" w14:textId="77777777" w:rsidR="00426311" w:rsidRDefault="00426311" w:rsidP="00426311">
      <w:r>
        <w:rPr>
          <w:vertAlign w:val="superscript"/>
        </w:rPr>
        <w:footnoteRef/>
      </w:r>
      <w:r>
        <w:t xml:space="preserve"> Thomas D. Lea and David Alan Black, </w:t>
      </w:r>
      <w:hyperlink r:id="rId3" w:history="1">
        <w:r>
          <w:rPr>
            <w:i/>
            <w:color w:val="0000FF"/>
            <w:u w:val="single"/>
          </w:rPr>
          <w:t>The New Testament: Its Background and Message</w:t>
        </w:r>
      </w:hyperlink>
      <w:r>
        <w:t>, 2nd ed. (Nashville, TN: Broadman &amp; Holman Publishers, 2003), 485.</w:t>
      </w:r>
    </w:p>
  </w:footnote>
  <w:footnote w:id="4">
    <w:p w14:paraId="03265ED4" w14:textId="77777777" w:rsidR="00426311" w:rsidRDefault="00426311" w:rsidP="00426311">
      <w:r>
        <w:rPr>
          <w:vertAlign w:val="superscript"/>
        </w:rPr>
        <w:footnoteRef/>
      </w:r>
      <w:r>
        <w:t xml:space="preserve"> C. Suetonius </w:t>
      </w:r>
      <w:proofErr w:type="spellStart"/>
      <w:r>
        <w:t>Tranquillus</w:t>
      </w:r>
      <w:proofErr w:type="spellEnd"/>
      <w:r>
        <w:t xml:space="preserve">, </w:t>
      </w:r>
      <w:hyperlink r:id="rId4" w:history="1">
        <w:r>
          <w:rPr>
            <w:i/>
            <w:color w:val="0000FF"/>
            <w:u w:val="single"/>
          </w:rPr>
          <w:t>Suetonius: The Lives of the Twelve Caesars; An English Translation, Augmented with the Biographies of Contemporary Statesmen, Orators, Poets, and Other Associates</w:t>
        </w:r>
      </w:hyperlink>
      <w:r>
        <w:t xml:space="preserve">, ed. Alexander Thomson (Medford, MA: </w:t>
      </w:r>
      <w:proofErr w:type="spellStart"/>
      <w:r>
        <w:t>Gebbie</w:t>
      </w:r>
      <w:proofErr w:type="spellEnd"/>
      <w:r>
        <w:t xml:space="preserve"> &amp; Co., 1889).</w:t>
      </w:r>
    </w:p>
  </w:footnote>
  <w:footnote w:id="5">
    <w:p w14:paraId="715648C8" w14:textId="77777777" w:rsidR="00B46CCB" w:rsidRDefault="00B46CCB" w:rsidP="00B46CCB">
      <w:r>
        <w:rPr>
          <w:vertAlign w:val="superscript"/>
        </w:rPr>
        <w:footnoteRef/>
      </w:r>
      <w:r>
        <w:t xml:space="preserve"> John Gillman, </w:t>
      </w:r>
      <w:hyperlink r:id="rId5" w:history="1">
        <w:r>
          <w:rPr>
            <w:color w:val="0000FF"/>
            <w:u w:val="single"/>
          </w:rPr>
          <w:t>“Timothy (Person),”</w:t>
        </w:r>
      </w:hyperlink>
      <w:r>
        <w:t xml:space="preserve"> ed. David Noel Freedman, </w:t>
      </w:r>
      <w:r>
        <w:rPr>
          <w:i/>
        </w:rPr>
        <w:t>The Anchor Yale Bible Dictionary</w:t>
      </w:r>
      <w:r>
        <w:t xml:space="preserve"> (New York: Doubleday, 1992), 558.</w:t>
      </w:r>
    </w:p>
  </w:footnote>
  <w:footnote w:id="6">
    <w:p w14:paraId="0BEDF529" w14:textId="77777777" w:rsidR="006E763D" w:rsidRDefault="006E763D" w:rsidP="006E763D">
      <w:r>
        <w:rPr>
          <w:vertAlign w:val="superscript"/>
        </w:rPr>
        <w:footnoteRef/>
      </w:r>
      <w:r>
        <w:t xml:space="preserve"> </w:t>
      </w:r>
      <w:proofErr w:type="spellStart"/>
      <w:r>
        <w:t>Valesius</w:t>
      </w:r>
      <w:proofErr w:type="spellEnd"/>
      <w:r>
        <w:t xml:space="preserve">, </w:t>
      </w:r>
      <w:hyperlink r:id="rId6" w:history="1">
        <w:r>
          <w:rPr>
            <w:color w:val="0000FF"/>
            <w:u w:val="single"/>
          </w:rPr>
          <w:t xml:space="preserve">“Life of Eusebius </w:t>
        </w:r>
        <w:proofErr w:type="spellStart"/>
        <w:r>
          <w:rPr>
            <w:color w:val="0000FF"/>
            <w:u w:val="single"/>
          </w:rPr>
          <w:t>Pamphilus</w:t>
        </w:r>
        <w:proofErr w:type="spellEnd"/>
        <w:r>
          <w:rPr>
            <w:color w:val="0000FF"/>
            <w:u w:val="single"/>
          </w:rPr>
          <w:t>,”</w:t>
        </w:r>
      </w:hyperlink>
      <w:r>
        <w:t xml:space="preserve"> in </w:t>
      </w:r>
      <w:r>
        <w:rPr>
          <w:i/>
        </w:rPr>
        <w:t>An Ecclesiastical History to the 20th Year of the Reign of Constantine</w:t>
      </w:r>
      <w:r>
        <w:t xml:space="preserve">, trans. Parker S.E. (London: Samuel </w:t>
      </w:r>
      <w:proofErr w:type="spellStart"/>
      <w:r>
        <w:t>Bagster</w:t>
      </w:r>
      <w:proofErr w:type="spellEnd"/>
      <w:r>
        <w:t xml:space="preserve"> and Sons, 1847), 103.</w:t>
      </w:r>
    </w:p>
  </w:footnote>
  <w:footnote w:id="7">
    <w:p w14:paraId="175364A8" w14:textId="77777777" w:rsidR="0058180E" w:rsidRDefault="0058180E" w:rsidP="0058180E">
      <w:r>
        <w:rPr>
          <w:vertAlign w:val="superscript"/>
        </w:rPr>
        <w:footnoteRef/>
      </w:r>
      <w:r>
        <w:t xml:space="preserve"> D. Guthrie, </w:t>
      </w:r>
      <w:hyperlink r:id="rId7" w:history="1">
        <w:r>
          <w:rPr>
            <w:color w:val="0000FF"/>
            <w:u w:val="single"/>
          </w:rPr>
          <w:t>“Timothy,”</w:t>
        </w:r>
      </w:hyperlink>
      <w:r>
        <w:t xml:space="preserve"> ed. D. R. W. Wood et al., </w:t>
      </w:r>
      <w:r>
        <w:rPr>
          <w:i/>
        </w:rPr>
        <w:t>New Bible Dictionary</w:t>
      </w:r>
      <w:r>
        <w:t xml:space="preserve"> (Leicester, England; Downers Grove, IL: InterVarsity Press, 1996), 1189.</w:t>
      </w:r>
    </w:p>
  </w:footnote>
  <w:footnote w:id="8">
    <w:p w14:paraId="3A342ED7" w14:textId="77777777" w:rsidR="00CC1894" w:rsidRDefault="00CC1894" w:rsidP="00CC1894">
      <w:r>
        <w:rPr>
          <w:vertAlign w:val="superscript"/>
        </w:rPr>
        <w:footnoteRef/>
      </w:r>
      <w:r>
        <w:t xml:space="preserve"> John F. MacArthur Jr., </w:t>
      </w:r>
      <w:hyperlink r:id="rId8" w:history="1">
        <w:r>
          <w:rPr>
            <w:i/>
            <w:color w:val="0000FF"/>
            <w:u w:val="single"/>
          </w:rPr>
          <w:t>The MacArthur Study Bible: New American Standard Bible.</w:t>
        </w:r>
      </w:hyperlink>
      <w:r>
        <w:t xml:space="preserve"> (Nashville, TN: Thomas Nelson Publishers, 2006), 2 </w:t>
      </w:r>
      <w:proofErr w:type="spellStart"/>
      <w:r>
        <w:t>Ti</w:t>
      </w:r>
      <w:proofErr w:type="spellEnd"/>
      <w:r>
        <w:t xml:space="preserve"> 4:1.</w:t>
      </w:r>
    </w:p>
  </w:footnote>
  <w:footnote w:id="9">
    <w:p w14:paraId="37F06B0B" w14:textId="77777777" w:rsidR="00CC1894" w:rsidRDefault="00CC1894" w:rsidP="00CC1894">
      <w:r>
        <w:rPr>
          <w:vertAlign w:val="superscript"/>
        </w:rPr>
        <w:footnoteRef/>
      </w:r>
      <w:r>
        <w:t xml:space="preserve"> William Arndt et al., </w:t>
      </w:r>
      <w:hyperlink r:id="rId9" w:history="1">
        <w:r>
          <w:rPr>
            <w:i/>
            <w:color w:val="0000FF"/>
            <w:u w:val="single"/>
          </w:rPr>
          <w:t>A Greek-English Lexicon of the New Testament and Other Early Christian Literature</w:t>
        </w:r>
      </w:hyperlink>
      <w:r>
        <w:t xml:space="preserve"> (Chicago: University of Chicago Press, 2000), 233.</w:t>
      </w:r>
    </w:p>
  </w:footnote>
  <w:footnote w:id="10">
    <w:p w14:paraId="2BC70FB6" w14:textId="77777777" w:rsidR="00AA553C" w:rsidRDefault="00AA553C" w:rsidP="00AA553C">
      <w:r>
        <w:rPr>
          <w:vertAlign w:val="superscript"/>
        </w:rPr>
        <w:footnoteRef/>
      </w:r>
      <w:r>
        <w:t xml:space="preserve"> John F. MacArthur Jr., </w:t>
      </w:r>
      <w:hyperlink r:id="rId10" w:history="1">
        <w:r>
          <w:rPr>
            <w:i/>
            <w:color w:val="0000FF"/>
            <w:u w:val="single"/>
          </w:rPr>
          <w:t>The MacArthur Study Bible: New American Standard Bible.</w:t>
        </w:r>
      </w:hyperlink>
      <w:r>
        <w:t xml:space="preserve"> (Nashville, TN: Thomas Nelson Publishers, 2006), 2 </w:t>
      </w:r>
      <w:proofErr w:type="spellStart"/>
      <w:r>
        <w:t>Ti</w:t>
      </w:r>
      <w:proofErr w:type="spellEnd"/>
      <w:r>
        <w:t xml:space="preserve"> 4:1.</w:t>
      </w:r>
    </w:p>
  </w:footnote>
  <w:footnote w:id="11">
    <w:p w14:paraId="4E90128D" w14:textId="77777777" w:rsidR="00730B3B" w:rsidRDefault="00730B3B" w:rsidP="00730B3B">
      <w:r>
        <w:rPr>
          <w:vertAlign w:val="superscript"/>
        </w:rPr>
        <w:footnoteRef/>
      </w:r>
      <w:r>
        <w:t xml:space="preserve"> William Arndt et al., </w:t>
      </w:r>
      <w:hyperlink r:id="rId11" w:history="1">
        <w:r>
          <w:rPr>
            <w:i/>
            <w:color w:val="0000FF"/>
            <w:u w:val="single"/>
          </w:rPr>
          <w:t>A Greek-English Lexicon of the New Testament and Other Early Christian Literature</w:t>
        </w:r>
      </w:hyperlink>
      <w:r>
        <w:t xml:space="preserve"> (Chicago: University of Chicago Press, 2000), 384.</w:t>
      </w:r>
    </w:p>
  </w:footnote>
  <w:footnote w:id="12">
    <w:p w14:paraId="451EEA29" w14:textId="77777777" w:rsidR="00541118" w:rsidRDefault="00541118" w:rsidP="00541118">
      <w:r>
        <w:rPr>
          <w:vertAlign w:val="superscript"/>
        </w:rPr>
        <w:footnoteRef/>
      </w:r>
      <w:r>
        <w:t xml:space="preserve"> William Arndt et al., </w:t>
      </w:r>
      <w:hyperlink r:id="rId12" w:history="1">
        <w:r>
          <w:rPr>
            <w:i/>
            <w:color w:val="0000FF"/>
            <w:u w:val="single"/>
          </w:rPr>
          <w:t>A Greek-English Lexicon of the New Testament and Other Early Christian Literature</w:t>
        </w:r>
      </w:hyperlink>
      <w:r>
        <w:t xml:space="preserve"> (Chicago: University of Chicago Press, 2000), 384.</w:t>
      </w:r>
    </w:p>
  </w:footnote>
  <w:footnote w:id="13">
    <w:p w14:paraId="75689A76" w14:textId="77777777" w:rsidR="00A82C29" w:rsidRDefault="00A82C29" w:rsidP="00A82C29">
      <w:r>
        <w:rPr>
          <w:vertAlign w:val="superscript"/>
        </w:rPr>
        <w:footnoteRef/>
      </w:r>
      <w:r>
        <w:t xml:space="preserve"> Mark Water, </w:t>
      </w:r>
      <w:hyperlink r:id="rId13" w:history="1">
        <w:r>
          <w:rPr>
            <w:i/>
            <w:color w:val="0000FF"/>
            <w:u w:val="single"/>
          </w:rPr>
          <w:t>The Christian Book of Records</w:t>
        </w:r>
      </w:hyperlink>
      <w:r>
        <w:t xml:space="preserve"> (Alresford, Hants, UK: John Hunt Pub., 2002), 66.</w:t>
      </w:r>
    </w:p>
  </w:footnote>
  <w:footnote w:id="14">
    <w:p w14:paraId="4DDFE8F1" w14:textId="77777777" w:rsidR="00A82C29" w:rsidRDefault="00A82C29" w:rsidP="00A82C29">
      <w:r>
        <w:rPr>
          <w:vertAlign w:val="superscript"/>
        </w:rPr>
        <w:footnoteRef/>
      </w:r>
      <w:r>
        <w:t xml:space="preserve"> William D. Mounce, </w:t>
      </w:r>
      <w:hyperlink r:id="rId14" w:history="1">
        <w:r>
          <w:rPr>
            <w:i/>
            <w:color w:val="0000FF"/>
            <w:u w:val="single"/>
          </w:rPr>
          <w:t>Pastoral Epistles</w:t>
        </w:r>
      </w:hyperlink>
      <w:r>
        <w:t>, vol. 46, Word Biblical Commentary (Dallas: Word, Incorporated, 2000), 574.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E3"/>
    <w:rsid w:val="002E1BE5"/>
    <w:rsid w:val="0033370D"/>
    <w:rsid w:val="003C59E0"/>
    <w:rsid w:val="004041F1"/>
    <w:rsid w:val="00414E0A"/>
    <w:rsid w:val="00426311"/>
    <w:rsid w:val="00541118"/>
    <w:rsid w:val="0058180E"/>
    <w:rsid w:val="006E763D"/>
    <w:rsid w:val="00730B3B"/>
    <w:rsid w:val="008808C0"/>
    <w:rsid w:val="00A82C29"/>
    <w:rsid w:val="00AA553C"/>
    <w:rsid w:val="00B46CCB"/>
    <w:rsid w:val="00CC1894"/>
    <w:rsid w:val="00CE72E3"/>
    <w:rsid w:val="00ED7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C759FEA"/>
  <w15:chartTrackingRefBased/>
  <w15:docId w15:val="{FE216847-87E0-4867-B3E7-B1FA0938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8" Type="http://schemas.openxmlformats.org/officeDocument/2006/relationships/hyperlink" Target="https://ref.ly/logosres/macartsbnasb?ref=Bible.2Ti4.1&amp;off=48&amp;ctx=r+better+%E2%80%9Ccommand.%E2%80%9D+~The+Gr.+has+the+idea" TargetMode="External"/><Relationship Id="rId13" Type="http://schemas.openxmlformats.org/officeDocument/2006/relationships/hyperlink" Target="https://ref.ly/logosres/chrbkrec?ref=Page.p+66&amp;off=1728&amp;ctx=%E2%9C%A3TERTULLIAN%0a~%E2%80%98The+blood+of+the+martyrs+is" TargetMode="External"/><Relationship Id="rId3" Type="http://schemas.openxmlformats.org/officeDocument/2006/relationships/hyperlink" Target="https://ref.ly/logosres/newtstbck?ref=Page.p+485&amp;off=1018&amp;ctx=+patience+and+care.+~Paul+knew+the+time+w" TargetMode="External"/><Relationship Id="rId7" Type="http://schemas.openxmlformats.org/officeDocument/2006/relationships/hyperlink" Target="https://ref.ly/logosres/nbd?ref=biblio.at%3dTimothy%7Cau%3dGuthrie%2c%2520D.%7Ced%3dWood%2c%2520D.%2520R.%2520W.%3bMarshall%2c%2520I.%2520H.%3bMillard%2c%2520A.%2520R.%3bPacker%2c%2520J.%2520I.%3bWiseman%2c%2520D.%2520J.&amp;off=3979&amp;ctx=ectionately+to+this+~almost+reluctant+suc" TargetMode="External"/><Relationship Id="rId12" Type="http://schemas.openxmlformats.org/officeDocument/2006/relationships/hyperlink" Target="https://ref.ly/logosres/bdag?ref=Page.p+384&amp;off=5418&amp;ctx=%CC%81%CF%89%5d+Thu.%2c+Pla.%2b).%0a%E2%91%A0+~to+express+strong+di" TargetMode="External"/><Relationship Id="rId2" Type="http://schemas.openxmlformats.org/officeDocument/2006/relationships/hyperlink" Target="https://ref.ly/logosres/flownt?ref=Page.p+391&amp;off=1860&amp;ctx=oned+twice+at+Rome.+~The+second+time+woul" TargetMode="External"/><Relationship Id="rId1" Type="http://schemas.openxmlformats.org/officeDocument/2006/relationships/hyperlink" Target="https://ref.ly/logosres/vincents?ref=Bible.2Ti4.2&amp;off=383&amp;ctx=instant+in+prayer.%E2%80%9D%0a~In+season+(%CE%B5%CF%85%CC%93%CE%BA%CE%B1%CE%B9%CC%81%CF%81%CF%89" TargetMode="External"/><Relationship Id="rId6" Type="http://schemas.openxmlformats.org/officeDocument/2006/relationships/hyperlink" Target="https://ref.ly/logosres/eusecchist02?ref=biblio.at%3dLife%2520of%2520Eusebius%2520Pamphilus%7Cau%3dValesius%7Ctr%3dParker%2520S.E.&amp;off=186400&amp;ctx=ntions+them+by+name.~+Timothy%2c+indeed%2c+is" TargetMode="External"/><Relationship Id="rId11" Type="http://schemas.openxmlformats.org/officeDocument/2006/relationships/hyperlink" Target="https://ref.ly/logosres/bdag?ref=Page.p+384&amp;off=5418&amp;ctx=%CC%81%CF%89%5d+Thu.%2c+Pla.%2b).%0a%E2%91%A0+~to+express+strong+di" TargetMode="External"/><Relationship Id="rId5" Type="http://schemas.openxmlformats.org/officeDocument/2006/relationships/hyperlink" Target="https://ref.ly/logosres/anch?ref=biblio.at%3dTimothy%2520(Person)%7Cau%3dGillman%2c%2520John%7Ced%3dFreedman%2c%2520David%2520Noel&amp;off=44&amp;ctx=otheos+(%CE%A4%CE%B9%CE%BC%CE%BF%CE%B8%CE%B5%CE%BF%CF%82)%5d.+~A+missionary+associa" TargetMode="External"/><Relationship Id="rId10" Type="http://schemas.openxmlformats.org/officeDocument/2006/relationships/hyperlink" Target="https://ref.ly/logosres/macartsbnasb?ref=Bible.2Ti4.1&amp;off=376&amp;ctx=udge+(cf.+Jn+5:22).+~Everyone+who+ministe" TargetMode="External"/><Relationship Id="rId4" Type="http://schemas.openxmlformats.org/officeDocument/2006/relationships/hyperlink" Target="https://ref.ly/logosres/suetthomsoneng?art=fn.547&amp;off=480&amp;ctx=ion.%E2%80%9D+EPist.+x.+97.%0a~Tacitus+also+describ" TargetMode="External"/><Relationship Id="rId9" Type="http://schemas.openxmlformats.org/officeDocument/2006/relationships/hyperlink" Target="https://ref.ly/logosres/bdag?ref=Page.p+233&amp;off=2705&amp;ctx=TestZeb+7:1)+gener.+~to+state+something+i" TargetMode="External"/><Relationship Id="rId14" Type="http://schemas.openxmlformats.org/officeDocument/2006/relationships/hyperlink" Target="https://ref.ly/logosres/wbc46?ref=Bible.2Ti4.3a&amp;off=159&amp;ctx=y+teaching.%E2%80%9D+Vv+3%E2%80%934+~spell+out+the+rea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884</TotalTime>
  <Pages>3</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2020-04-10T15:20:00Z</dcterms:created>
  <dcterms:modified xsi:type="dcterms:W3CDTF">2020-04-12T23:11:00Z</dcterms:modified>
</cp:coreProperties>
</file>