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D1D201" w14:textId="77777777" w:rsidR="00AC4ECB" w:rsidRPr="00AC4ECB" w:rsidRDefault="00AC4ECB" w:rsidP="00AC4ECB">
      <w:pPr>
        <w:autoSpaceDE w:val="0"/>
        <w:autoSpaceDN w:val="0"/>
        <w:adjustRightInd w:val="0"/>
        <w:spacing w:after="180" w:line="276" w:lineRule="auto"/>
        <w:rPr>
          <w:rFonts w:ascii="Verdana" w:eastAsia="Times New Roman" w:hAnsi="Verdana" w:cs="Times New Roman"/>
          <w:color w:val="000000"/>
          <w:sz w:val="32"/>
          <w:szCs w:val="24"/>
          <w:u w:color="000000"/>
          <w14:ligatures w14:val="none"/>
        </w:rPr>
      </w:pPr>
      <w:r w:rsidRPr="00AC4ECB">
        <w:rPr>
          <w:rFonts w:ascii="Verdana" w:eastAsia="Times New Roman" w:hAnsi="Verdana" w:cs="Times New Roman"/>
          <w:color w:val="000000"/>
          <w:sz w:val="32"/>
          <w:szCs w:val="24"/>
          <w:u w:color="000000"/>
          <w14:ligatures w14:val="none"/>
        </w:rPr>
        <w:t>New App specification:</w:t>
      </w:r>
    </w:p>
    <w:p w14:paraId="35723A3E" w14:textId="77777777" w:rsidR="00AC4ECB" w:rsidRPr="00AC4ECB" w:rsidRDefault="00AC4ECB" w:rsidP="00AC4ECB">
      <w:pPr>
        <w:numPr>
          <w:ilvl w:val="0"/>
          <w:numId w:val="1"/>
        </w:numPr>
        <w:autoSpaceDE w:val="0"/>
        <w:autoSpaceDN w:val="0"/>
        <w:adjustRightInd w:val="0"/>
        <w:spacing w:after="180" w:line="276" w:lineRule="auto"/>
        <w:rPr>
          <w:rFonts w:ascii="Verdana" w:eastAsia="Times New Roman" w:hAnsi="Verdana" w:cs="Times New Roman"/>
          <w:color w:val="000000"/>
          <w:sz w:val="24"/>
          <w:szCs w:val="24"/>
          <w:u w:color="000000"/>
          <w14:ligatures w14:val="none"/>
        </w:rPr>
      </w:pPr>
      <w:r w:rsidRPr="00AC4ECB">
        <w:rPr>
          <w:rFonts w:ascii="Verdana" w:eastAsia="Times New Roman" w:hAnsi="Verdana" w:cs="Times New Roman"/>
          <w:color w:val="000000"/>
          <w:sz w:val="24"/>
          <w:szCs w:val="24"/>
          <w:u w:color="000000"/>
          <w14:ligatures w14:val="none"/>
        </w:rPr>
        <w:t xml:space="preserve">I would suggest using Telerik UI for WinForms  </w:t>
      </w:r>
    </w:p>
    <w:p w14:paraId="7A313A1B" w14:textId="77777777" w:rsidR="00AC4ECB" w:rsidRPr="00AC4ECB" w:rsidRDefault="00AC4ECB" w:rsidP="00AC4ECB">
      <w:pPr>
        <w:autoSpaceDE w:val="0"/>
        <w:autoSpaceDN w:val="0"/>
        <w:adjustRightInd w:val="0"/>
        <w:spacing w:after="180" w:line="276" w:lineRule="auto"/>
        <w:ind w:left="720"/>
        <w:jc w:val="both"/>
        <w:rPr>
          <w:rFonts w:ascii="Verdana" w:eastAsia="Times New Roman" w:hAnsi="Verdana" w:cs="Times New Roman"/>
          <w:color w:val="000000"/>
          <w:sz w:val="24"/>
          <w:szCs w:val="24"/>
          <w:u w:color="000000"/>
          <w14:ligatures w14:val="none"/>
        </w:rPr>
      </w:pPr>
    </w:p>
    <w:p w14:paraId="4D8F18FD" w14:textId="77777777" w:rsidR="00AC4ECB" w:rsidRPr="00AC4ECB" w:rsidRDefault="00AC4ECB" w:rsidP="00AC4ECB">
      <w:pPr>
        <w:autoSpaceDE w:val="0"/>
        <w:autoSpaceDN w:val="0"/>
        <w:adjustRightInd w:val="0"/>
        <w:spacing w:after="180" w:line="276" w:lineRule="auto"/>
        <w:ind w:left="720"/>
        <w:rPr>
          <w:rFonts w:ascii="Verdana" w:eastAsia="Times New Roman" w:hAnsi="Verdana" w:cs="Times New Roman"/>
          <w:color w:val="000000"/>
          <w:sz w:val="24"/>
          <w:szCs w:val="24"/>
          <w:u w:color="000000"/>
          <w14:ligatures w14:val="none"/>
        </w:rPr>
      </w:pPr>
      <w:r w:rsidRPr="00AC4ECB">
        <w:rPr>
          <w:rFonts w:ascii="Verdana" w:eastAsia="Times New Roman" w:hAnsi="Verdana" w:cs="Times New Roman"/>
          <w:color w:val="000000"/>
          <w:sz w:val="24"/>
          <w:szCs w:val="24"/>
          <w:u w:color="000000"/>
          <w14:ligatures w14:val="none"/>
        </w:rPr>
        <w:t>Great suggestion! Telerik UI for WinForms is a part of the comprehensive Telerik DevCraft suite, providing modern, feature-rich UI components for desktop applications. With Telerik UI for WinForms, developers can create engaging and user-friendly interfaces for their Windows desktop applications. It offers a wide range of controls and themes to standardize the look and feel, while also allowing for limitless customization options. This can significantly reduce development time and effort, increasing productivity. If you are interested, you can start a 30-day free trial to explore all the features and benefits of Telerik UI for WinForms.</w:t>
      </w:r>
    </w:p>
    <w:p w14:paraId="05BE936E" w14:textId="77777777" w:rsidR="00AC4ECB" w:rsidRPr="00AC4ECB" w:rsidRDefault="00AC4ECB" w:rsidP="00AC4ECB">
      <w:pPr>
        <w:numPr>
          <w:ilvl w:val="0"/>
          <w:numId w:val="1"/>
        </w:numPr>
        <w:autoSpaceDE w:val="0"/>
        <w:autoSpaceDN w:val="0"/>
        <w:adjustRightInd w:val="0"/>
        <w:spacing w:after="180" w:line="256" w:lineRule="auto"/>
        <w:rPr>
          <w:rFonts w:ascii="Verdana" w:eastAsia="Times New Roman" w:hAnsi="Verdana" w:cs="Times New Roman"/>
          <w:color w:val="000000"/>
          <w:sz w:val="24"/>
          <w:szCs w:val="24"/>
          <w:u w:color="000000"/>
          <w14:ligatures w14:val="none"/>
        </w:rPr>
      </w:pPr>
      <w:r w:rsidRPr="00AC4ECB">
        <w:rPr>
          <w:rFonts w:ascii="Verdana" w:eastAsia="Times New Roman" w:hAnsi="Verdana" w:cs="Times New Roman"/>
          <w:color w:val="000000"/>
          <w:sz w:val="24"/>
          <w:szCs w:val="24"/>
          <w:u w:color="000000"/>
          <w14:ligatures w14:val="none"/>
        </w:rPr>
        <w:t xml:space="preserve">What about the Telerik support? </w:t>
      </w:r>
    </w:p>
    <w:p w14:paraId="7B2A9D8D" w14:textId="77777777" w:rsidR="00AC4ECB" w:rsidRPr="00AC4ECB" w:rsidRDefault="00AC4ECB" w:rsidP="00AC4ECB">
      <w:pPr>
        <w:autoSpaceDE w:val="0"/>
        <w:autoSpaceDN w:val="0"/>
        <w:adjustRightInd w:val="0"/>
        <w:spacing w:after="180" w:line="256" w:lineRule="auto"/>
        <w:ind w:left="709"/>
        <w:rPr>
          <w:rFonts w:ascii="Verdana" w:eastAsia="Times New Roman" w:hAnsi="Verdana" w:cs="Times New Roman"/>
          <w:color w:val="000000"/>
          <w:sz w:val="24"/>
          <w:szCs w:val="24"/>
          <w:u w:color="000000"/>
          <w14:ligatures w14:val="none"/>
        </w:rPr>
      </w:pPr>
    </w:p>
    <w:p w14:paraId="2CEB2C13" w14:textId="77777777" w:rsidR="00AC4ECB" w:rsidRPr="00AC4ECB" w:rsidRDefault="00AC4ECB" w:rsidP="00AC4ECB">
      <w:pPr>
        <w:autoSpaceDE w:val="0"/>
        <w:autoSpaceDN w:val="0"/>
        <w:adjustRightInd w:val="0"/>
        <w:spacing w:after="180" w:line="276" w:lineRule="auto"/>
        <w:ind w:left="709"/>
        <w:rPr>
          <w:rFonts w:ascii="Verdana" w:eastAsia="Times New Roman" w:hAnsi="Verdana" w:cs="Times New Roman"/>
          <w:color w:val="000000"/>
          <w:sz w:val="24"/>
          <w:szCs w:val="24"/>
          <w:u w:color="000000"/>
          <w14:ligatures w14:val="none"/>
        </w:rPr>
      </w:pPr>
      <w:r w:rsidRPr="00AC4ECB">
        <w:rPr>
          <w:rFonts w:ascii="Verdana" w:eastAsia="Times New Roman" w:hAnsi="Verdana" w:cs="Times New Roman"/>
          <w:color w:val="000000"/>
          <w:sz w:val="24"/>
          <w:szCs w:val="24"/>
          <w:u w:color="000000"/>
          <w14:ligatures w14:val="none"/>
        </w:rPr>
        <w:t>Telerik offers industry-leading and flexible technical support resources to simplify everyday tasks for developers. With this support, developers can save up to 50% of their time, increase productivity, and stay up to date with the latest technology and user experience trends. Additionally, Telerik provides standardization of look and feel across different applications, out-of-the-box themes, and limitless customization options to quickly present to users. If you are interested, you can start a 30-day FREE trial to experience the support and other benefits firsthand.</w:t>
      </w:r>
    </w:p>
    <w:p w14:paraId="15B20DCD" w14:textId="77777777" w:rsidR="00042B40" w:rsidRDefault="00042B40"/>
    <w:sectPr w:rsidR="00042B40" w:rsidSect="00AC4ECB">
      <w:pgSz w:w="12240" w:h="15840"/>
      <w:pgMar w:top="1425" w:right="1425" w:bottom="1425" w:left="142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multiLevelType w:val="hybridMultilevel"/>
    <w:tmpl w:val="FFFFFFFF"/>
    <w:lvl w:ilvl="0" w:tplc="FFFFFFFF">
      <w:start w:val="1"/>
      <w:numFmt w:val="bullet"/>
      <w:lvlText w:val=""/>
      <w:lvlJc w:val="left"/>
      <w:pPr>
        <w:ind w:left="720" w:hanging="360"/>
      </w:pPr>
      <w:rPr>
        <w:rFonts w:ascii="Symbol" w:hAnsi="Symbol"/>
        <w:b w:val="0"/>
        <w:i w:val="0"/>
        <w:strike w:val="0"/>
        <w:color w:val="000000"/>
        <w:sz w:val="24"/>
        <w:u w:val="none" w:color="000000"/>
      </w:rPr>
    </w:lvl>
    <w:lvl w:ilvl="1" w:tplc="FFFFFFFF">
      <w:start w:val="1"/>
      <w:numFmt w:val="bullet"/>
      <w:lvlText w:val="o"/>
      <w:lvlJc w:val="left"/>
      <w:pPr>
        <w:ind w:left="1440" w:hanging="360"/>
      </w:pPr>
      <w:rPr>
        <w:rFonts w:ascii="Courier New" w:hAnsi="Courier New"/>
        <w:b w:val="0"/>
        <w:i w:val="0"/>
        <w:strike w:val="0"/>
        <w:color w:val="000000"/>
        <w:sz w:val="24"/>
        <w:u w:val="none" w:color="000000"/>
      </w:rPr>
    </w:lvl>
    <w:lvl w:ilvl="2" w:tplc="FFFFFFFF">
      <w:start w:val="1"/>
      <w:numFmt w:val="bullet"/>
      <w:lvlText w:val=""/>
      <w:lvlJc w:val="left"/>
      <w:pPr>
        <w:ind w:left="2160" w:hanging="360"/>
      </w:pPr>
      <w:rPr>
        <w:rFonts w:ascii="Wingdings" w:hAnsi="Wingdings"/>
        <w:b w:val="0"/>
        <w:i w:val="0"/>
        <w:strike w:val="0"/>
        <w:color w:val="000000"/>
        <w:sz w:val="24"/>
        <w:u w:val="none" w:color="000000"/>
      </w:rPr>
    </w:lvl>
    <w:lvl w:ilvl="3" w:tplc="FFFFFFFF">
      <w:start w:val="1"/>
      <w:numFmt w:val="bullet"/>
      <w:lvlText w:val=""/>
      <w:lvlJc w:val="left"/>
      <w:pPr>
        <w:ind w:left="2880" w:hanging="360"/>
      </w:pPr>
      <w:rPr>
        <w:rFonts w:ascii="Symbol" w:hAnsi="Symbol"/>
        <w:b w:val="0"/>
        <w:i w:val="0"/>
        <w:strike w:val="0"/>
        <w:color w:val="000000"/>
        <w:sz w:val="24"/>
        <w:u w:val="none" w:color="000000"/>
      </w:rPr>
    </w:lvl>
    <w:lvl w:ilvl="4" w:tplc="FFFFFFFF">
      <w:start w:val="1"/>
      <w:numFmt w:val="bullet"/>
      <w:lvlText w:val="o"/>
      <w:lvlJc w:val="left"/>
      <w:pPr>
        <w:ind w:left="3600" w:hanging="360"/>
      </w:pPr>
      <w:rPr>
        <w:rFonts w:ascii="Courier New" w:hAnsi="Courier New"/>
        <w:b w:val="0"/>
        <w:i w:val="0"/>
        <w:strike w:val="0"/>
        <w:color w:val="000000"/>
        <w:sz w:val="24"/>
        <w:u w:val="none" w:color="000000"/>
      </w:rPr>
    </w:lvl>
    <w:lvl w:ilvl="5" w:tplc="FFFFFFFF">
      <w:start w:val="1"/>
      <w:numFmt w:val="bullet"/>
      <w:lvlText w:val=""/>
      <w:lvlJc w:val="left"/>
      <w:pPr>
        <w:ind w:left="4320" w:hanging="360"/>
      </w:pPr>
      <w:rPr>
        <w:rFonts w:ascii="Wingdings" w:hAnsi="Wingdings"/>
        <w:b w:val="0"/>
        <w:i w:val="0"/>
        <w:strike w:val="0"/>
        <w:color w:val="000000"/>
        <w:sz w:val="24"/>
        <w:u w:val="none" w:color="000000"/>
      </w:rPr>
    </w:lvl>
    <w:lvl w:ilvl="6" w:tplc="FFFFFFFF">
      <w:start w:val="1"/>
      <w:numFmt w:val="bullet"/>
      <w:lvlText w:val=""/>
      <w:lvlJc w:val="left"/>
      <w:pPr>
        <w:ind w:left="5040" w:hanging="360"/>
      </w:pPr>
      <w:rPr>
        <w:rFonts w:ascii="Symbol" w:hAnsi="Symbol"/>
        <w:b w:val="0"/>
        <w:i w:val="0"/>
        <w:strike w:val="0"/>
        <w:color w:val="000000"/>
        <w:sz w:val="24"/>
        <w:u w:val="none" w:color="000000"/>
      </w:rPr>
    </w:lvl>
    <w:lvl w:ilvl="7" w:tplc="FFFFFFFF">
      <w:start w:val="1"/>
      <w:numFmt w:val="bullet"/>
      <w:lvlText w:val="o"/>
      <w:lvlJc w:val="left"/>
      <w:pPr>
        <w:ind w:left="5760" w:hanging="360"/>
      </w:pPr>
      <w:rPr>
        <w:rFonts w:ascii="Courier New" w:hAnsi="Courier New"/>
        <w:b w:val="0"/>
        <w:i w:val="0"/>
        <w:strike w:val="0"/>
        <w:color w:val="000000"/>
        <w:sz w:val="24"/>
        <w:u w:val="none" w:color="000000"/>
      </w:rPr>
    </w:lvl>
    <w:lvl w:ilvl="8" w:tplc="FFFFFFFF">
      <w:start w:val="1"/>
      <w:numFmt w:val="bullet"/>
      <w:lvlText w:val=""/>
      <w:lvlJc w:val="left"/>
      <w:pPr>
        <w:ind w:left="6480" w:hanging="360"/>
      </w:pPr>
      <w:rPr>
        <w:rFonts w:ascii="Wingdings" w:hAnsi="Wingdings"/>
        <w:b w:val="0"/>
        <w:i w:val="0"/>
        <w:strike w:val="0"/>
        <w:color w:val="000000"/>
        <w:sz w:val="24"/>
        <w:u w:val="none" w:color="000000"/>
      </w:rPr>
    </w:lvl>
  </w:abstractNum>
  <w:num w:numId="1" w16cid:durableId="10816385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hyphenationZone w:val="425"/>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0MzayNDUyMTW1NDVW0lEKTi0uzszPAykwrAUAeDsxMiwAAAA="/>
  </w:docVars>
  <w:rsids>
    <w:rsidRoot w:val="00C71AF6"/>
    <w:rsid w:val="00042B40"/>
    <w:rsid w:val="002A46B0"/>
    <w:rsid w:val="003A1804"/>
    <w:rsid w:val="003E3956"/>
    <w:rsid w:val="005366AB"/>
    <w:rsid w:val="00AC4ECB"/>
    <w:rsid w:val="00B342FE"/>
    <w:rsid w:val="00BC5EDE"/>
    <w:rsid w:val="00C71AF6"/>
    <w:rsid w:val="00FE7E78"/>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109B32-F00A-4D66-8760-201C1945A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71A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71A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71A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71A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71A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71A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71A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71A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71AF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71AF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71AF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71AF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71AF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71AF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71AF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71AF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71AF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71AF6"/>
    <w:rPr>
      <w:rFonts w:eastAsiaTheme="majorEastAsia" w:cstheme="majorBidi"/>
      <w:color w:val="272727" w:themeColor="text1" w:themeTint="D8"/>
    </w:rPr>
  </w:style>
  <w:style w:type="paragraph" w:styleId="Ttulo">
    <w:name w:val="Title"/>
    <w:basedOn w:val="Normal"/>
    <w:next w:val="Normal"/>
    <w:link w:val="TtuloChar"/>
    <w:uiPriority w:val="10"/>
    <w:qFormat/>
    <w:rsid w:val="00C71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71A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71AF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71AF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71AF6"/>
    <w:pPr>
      <w:spacing w:before="160"/>
      <w:jc w:val="center"/>
    </w:pPr>
    <w:rPr>
      <w:i/>
      <w:iCs/>
      <w:color w:val="404040" w:themeColor="text1" w:themeTint="BF"/>
    </w:rPr>
  </w:style>
  <w:style w:type="character" w:customStyle="1" w:styleId="CitaoChar">
    <w:name w:val="Citação Char"/>
    <w:basedOn w:val="Fontepargpadro"/>
    <w:link w:val="Citao"/>
    <w:uiPriority w:val="29"/>
    <w:rsid w:val="00C71AF6"/>
    <w:rPr>
      <w:i/>
      <w:iCs/>
      <w:color w:val="404040" w:themeColor="text1" w:themeTint="BF"/>
    </w:rPr>
  </w:style>
  <w:style w:type="paragraph" w:styleId="PargrafodaLista">
    <w:name w:val="List Paragraph"/>
    <w:basedOn w:val="Normal"/>
    <w:uiPriority w:val="34"/>
    <w:qFormat/>
    <w:rsid w:val="00C71AF6"/>
    <w:pPr>
      <w:ind w:left="720"/>
      <w:contextualSpacing/>
    </w:pPr>
  </w:style>
  <w:style w:type="character" w:styleId="nfaseIntensa">
    <w:name w:val="Intense Emphasis"/>
    <w:basedOn w:val="Fontepargpadro"/>
    <w:uiPriority w:val="21"/>
    <w:qFormat/>
    <w:rsid w:val="00C71AF6"/>
    <w:rPr>
      <w:i/>
      <w:iCs/>
      <w:color w:val="0F4761" w:themeColor="accent1" w:themeShade="BF"/>
    </w:rPr>
  </w:style>
  <w:style w:type="paragraph" w:styleId="CitaoIntensa">
    <w:name w:val="Intense Quote"/>
    <w:basedOn w:val="Normal"/>
    <w:next w:val="Normal"/>
    <w:link w:val="CitaoIntensaChar"/>
    <w:uiPriority w:val="30"/>
    <w:qFormat/>
    <w:rsid w:val="00C71A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71AF6"/>
    <w:rPr>
      <w:i/>
      <w:iCs/>
      <w:color w:val="0F4761" w:themeColor="accent1" w:themeShade="BF"/>
    </w:rPr>
  </w:style>
  <w:style w:type="character" w:styleId="RefernciaIntensa">
    <w:name w:val="Intense Reference"/>
    <w:basedOn w:val="Fontepargpadro"/>
    <w:uiPriority w:val="32"/>
    <w:qFormat/>
    <w:rsid w:val="00C71A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193</Words>
  <Characters>1133</Characters>
  <Application>Microsoft Office Word</Application>
  <DocSecurity>0</DocSecurity>
  <Lines>23</Lines>
  <Paragraphs>5</Paragraphs>
  <ScaleCrop>false</ScaleCrop>
  <Company/>
  <LinksUpToDate>false</LinksUpToDate>
  <CharactersWithSpaces>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Jefferson S. Motta</dc:creator>
  <cp:keywords/>
  <dc:description/>
  <cp:lastModifiedBy>Jefferson S. Motta</cp:lastModifiedBy>
  <cp:revision>2</cp:revision>
  <dcterms:created xsi:type="dcterms:W3CDTF">2024-06-29T19:34:00Z</dcterms:created>
  <dcterms:modified xsi:type="dcterms:W3CDTF">2024-06-29T19:35:00Z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61c1231c4ceb6e03d8817a804536b404b2118948ba6822efbee891a66e9d4e02</vt:lpwstr>
  </property>
</Properties>
</file>