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rPr/>
      </w:pPr>
      <w:r w:rsidRPr="00000000" w:rsidR="00000000" w:rsidDel="00000000">
        <w:rPr>
          <w:rtl w:val="0"/>
        </w:rPr>
        <w:t xml:space="preserve">The problem with this problem is that the girl does not use a method of counting that utilizes each finger equally. If she counted 1-5 from thumb to pinky and 6-10 from pinky to thumb (or thumb to pinky again), we could easily divide each number by 5 and figure out which finger the number would land on. Instead we have to figure out what equation will work in the same manner with her odd counting style. If we can figure this out on a small scale, we should then be able to apply it on a larger scale.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