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rFonts w:ascii="Calibri" w:cs="Calibri" w:eastAsia="Calibri" w:hAnsi="Calibri"/>
          <w:b/>
          <w:bCs/>
          <w:color w:val="21A143"/>
          <w:spacing w:val="40"/>
          <w:sz w:val="22"/>
          <w:szCs w:val="22"/>
        </w:rPr>
        <w:t xml:space="preserve">GPUaaS Offtaker</w:t>
      </w:r>
    </w:p>
    <w:p>
      <w:pPr>
        <w:spacing w:after="100"/>
      </w:pPr>
      <w:r>
        <w:rPr>
          <w:rFonts w:ascii="Calibri" w:cs="Calibri" w:eastAsia="Calibri" w:hAnsi="Calibri"/>
          <w:b/>
          <w:bCs/>
          <w:color w:val="000000"/>
          <w:sz w:val="40"/>
          <w:szCs w:val="40"/>
        </w:rPr>
        <w:t xml:space="preserve">Creditworthy Qualification Sheet</w:t>
      </w:r>
    </w:p>
    <w:p>
      <w:pPr>
        <w:spacing w:after="160"/>
      </w:pPr>
      <w:r>
        <w:rPr>
          <w:rFonts w:ascii="Calibri" w:cs="Calibri" w:eastAsia="Calibri" w:hAnsi="Calibri"/>
          <w:color w:val="1F2933"/>
          <w:sz w:val="20"/>
          <w:szCs w:val="20"/>
        </w:rPr>
        <w:t xml:space="preserve">Thank you for your interest in securing GPU compute capacity through Nodestream. To structure a commitment that works for both parties, we ask prospective offtakers to complete the three qualification sections below and attach supporting documents. Responses are treated as confidential and used solely to assess counterparty credit and commitment structure.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cantSplit/>
        </w:trPr>
        <w:tc>
          <w:tcPr>
            <w:tcW w:type="dxa" w:w="3600"/>
            <w:tcBorders>
              <w:top w:val="single" w:color="C0C0C0" w:sz="4"/>
              <w:left w:val="single" w:color="C0C0C0" w:sz="4"/>
              <w:bottom w:val="single" w:color="C0C0C0" w:sz="4"/>
              <w:right w:val="single" w:color="C0C0C0" w:sz="4"/>
            </w:tcBorders>
            <w:shd w:fill="E9F6EC" w:color="auto" w:val="clear"/>
            <w:tcMar>
              <w:top w:type="dxa" w:w="80"/>
              <w:left w:type="dxa" w:w="120"/>
              <w:bottom w:type="dxa" w:w="80"/>
              <w:right w:type="dxa" w:w="120"/>
            </w:tcMar>
            <w:vAlign w:val="top"/>
          </w:tcPr>
          <w:p>
            <w:pPr>
              <w:spacing w:after="80"/>
            </w:pPr>
            <w:r>
              <w:rPr>
                <w:rFonts w:ascii="Calibri" w:cs="Calibri" w:eastAsia="Calibri" w:hAnsi="Calibri"/>
                <w:b/>
                <w:bCs/>
                <w:color w:val="000000"/>
                <w:sz w:val="19"/>
                <w:szCs w:val="19"/>
              </w:rPr>
              <w:t xml:space="preserve">Legal entity name</w:t>
            </w:r>
          </w:p>
          <w:p>
            <w:pPr>
              <w:spacing w:after="0"/>
            </w:pPr>
            <w:r>
              <w:rPr>
                <w:rFonts w:ascii="Calibri" w:cs="Calibri" w:eastAsia="Calibri" w:hAnsi="Calibri"/>
                <w:i/>
                <w:iCs/>
                <w:color w:val="5A6270"/>
                <w:sz w:val="17"/>
                <w:szCs w:val="17"/>
              </w:rPr>
              <w:t xml:space="preserve">As it will appear on the agreement</w:t>
            </w:r>
          </w:p>
        </w:tc>
        <w:tc>
          <w:tcPr>
            <w:tcW w:type="dxa" w:w="6480"/>
            <w:tcBorders>
              <w:top w:val="single" w:color="C0C0C0" w:sz="4"/>
              <w:left w:val="single" w:color="C0C0C0" w:sz="4"/>
              <w:bottom w:val="single" w:color="C0C0C0" w:sz="4"/>
              <w:right w:val="single" w:color="C0C0C0" w:sz="4"/>
            </w:tcBorders>
            <w:shd w:fill="FFFFFF" w:color="auto" w:val="clear"/>
            <w:tcMar>
              <w:top w:type="dxa" w:w="80"/>
              <w:left w:type="dxa" w:w="120"/>
              <w:bottom w:type="dxa" w:w="80"/>
              <w:right w:type="dxa" w:w="120"/>
            </w:tcMar>
            <w:vAlign w:val="top"/>
          </w:tcPr>
          <w:p>
            <w:pPr>
              <w:spacing w:after="80"/>
            </w:pPr>
            <w:r>
              <w:rPr>
                <w:rFonts w:ascii="Calibri" w:cs="Calibri" w:eastAsia="Calibri" w:hAnsi="Calibri"/>
                <w:color w:val="1F2933"/>
                <w:sz w:val="20"/>
                <w:szCs w:val="20"/>
              </w:rPr>
              <w:t xml:space="preserve"/>
            </w:r>
          </w:p>
        </w:tc>
      </w:tr>
      <w:tr>
        <w:trPr>
          <w:cantSplit/>
        </w:trPr>
        <w:tc>
          <w:tcPr>
            <w:tcW w:type="dxa" w:w="3600"/>
            <w:tcBorders>
              <w:top w:val="single" w:color="C0C0C0" w:sz="4"/>
              <w:left w:val="single" w:color="C0C0C0" w:sz="4"/>
              <w:bottom w:val="single" w:color="C0C0C0" w:sz="4"/>
              <w:right w:val="single" w:color="C0C0C0" w:sz="4"/>
            </w:tcBorders>
            <w:shd w:fill="E9F6EC" w:color="auto" w:val="clear"/>
            <w:tcMar>
              <w:top w:type="dxa" w:w="80"/>
              <w:left w:type="dxa" w:w="120"/>
              <w:bottom w:type="dxa" w:w="80"/>
              <w:right w:type="dxa" w:w="120"/>
            </w:tcMar>
            <w:vAlign w:val="top"/>
          </w:tcPr>
          <w:p>
            <w:pPr>
              <w:spacing w:after="80"/>
            </w:pPr>
            <w:r>
              <w:rPr>
                <w:rFonts w:ascii="Calibri" w:cs="Calibri" w:eastAsia="Calibri" w:hAnsi="Calibri"/>
                <w:b/>
                <w:bCs/>
                <w:color w:val="000000"/>
                <w:sz w:val="19"/>
                <w:szCs w:val="19"/>
              </w:rPr>
              <w:t xml:space="preserve">Jurisdiction of incorporation</w:t>
            </w:r>
          </w:p>
        </w:tc>
        <w:tc>
          <w:tcPr>
            <w:tcW w:type="dxa" w:w="6480"/>
            <w:tcBorders>
              <w:top w:val="single" w:color="C0C0C0" w:sz="4"/>
              <w:left w:val="single" w:color="C0C0C0" w:sz="4"/>
              <w:bottom w:val="single" w:color="C0C0C0" w:sz="4"/>
              <w:right w:val="single" w:color="C0C0C0" w:sz="4"/>
            </w:tcBorders>
            <w:shd w:fill="FFFFFF" w:color="auto" w:val="clear"/>
            <w:tcMar>
              <w:top w:type="dxa" w:w="80"/>
              <w:left w:type="dxa" w:w="120"/>
              <w:bottom w:type="dxa" w:w="80"/>
              <w:right w:type="dxa" w:w="120"/>
            </w:tcMar>
            <w:vAlign w:val="top"/>
          </w:tcPr>
          <w:p>
            <w:pPr>
              <w:spacing w:after="80"/>
            </w:pPr>
            <w:r>
              <w:rPr>
                <w:rFonts w:ascii="Calibri" w:cs="Calibri" w:eastAsia="Calibri" w:hAnsi="Calibri"/>
                <w:color w:val="1F2933"/>
                <w:sz w:val="20"/>
                <w:szCs w:val="20"/>
              </w:rPr>
              <w:t xml:space="preserve"/>
            </w:r>
          </w:p>
        </w:tc>
      </w:tr>
      <w:tr>
        <w:trPr>
          <w:cantSplit/>
        </w:trPr>
        <w:tc>
          <w:tcPr>
            <w:tcW w:type="dxa" w:w="3600"/>
            <w:tcBorders>
              <w:top w:val="single" w:color="C0C0C0" w:sz="4"/>
              <w:left w:val="single" w:color="C0C0C0" w:sz="4"/>
              <w:bottom w:val="single" w:color="C0C0C0" w:sz="4"/>
              <w:right w:val="single" w:color="C0C0C0" w:sz="4"/>
            </w:tcBorders>
            <w:shd w:fill="E9F6EC" w:color="auto" w:val="clear"/>
            <w:tcMar>
              <w:top w:type="dxa" w:w="80"/>
              <w:left w:type="dxa" w:w="120"/>
              <w:bottom w:type="dxa" w:w="80"/>
              <w:right w:type="dxa" w:w="120"/>
            </w:tcMar>
            <w:vAlign w:val="top"/>
          </w:tcPr>
          <w:p>
            <w:pPr>
              <w:spacing w:after="80"/>
            </w:pPr>
            <w:r>
              <w:rPr>
                <w:rFonts w:ascii="Calibri" w:cs="Calibri" w:eastAsia="Calibri" w:hAnsi="Calibri"/>
                <w:b/>
                <w:bCs/>
                <w:color w:val="000000"/>
                <w:sz w:val="19"/>
                <w:szCs w:val="19"/>
              </w:rPr>
              <w:t xml:space="preserve">Primary contact</w:t>
            </w:r>
          </w:p>
          <w:p>
            <w:pPr>
              <w:spacing w:after="0"/>
            </w:pPr>
            <w:r>
              <w:rPr>
                <w:rFonts w:ascii="Calibri" w:cs="Calibri" w:eastAsia="Calibri" w:hAnsi="Calibri"/>
                <w:i/>
                <w:iCs/>
                <w:color w:val="5A6270"/>
                <w:sz w:val="17"/>
                <w:szCs w:val="17"/>
              </w:rPr>
              <w:t xml:space="preserve">Name, title, email, phone</w:t>
            </w:r>
          </w:p>
        </w:tc>
        <w:tc>
          <w:tcPr>
            <w:tcW w:type="dxa" w:w="6480"/>
            <w:tcBorders>
              <w:top w:val="single" w:color="C0C0C0" w:sz="4"/>
              <w:left w:val="single" w:color="C0C0C0" w:sz="4"/>
              <w:bottom w:val="single" w:color="C0C0C0" w:sz="4"/>
              <w:right w:val="single" w:color="C0C0C0" w:sz="4"/>
            </w:tcBorders>
            <w:shd w:fill="FFFFFF" w:color="auto" w:val="clear"/>
            <w:tcMar>
              <w:top w:type="dxa" w:w="80"/>
              <w:left w:type="dxa" w:w="120"/>
              <w:bottom w:type="dxa" w:w="80"/>
              <w:right w:type="dxa" w:w="120"/>
            </w:tcMar>
            <w:vAlign w:val="top"/>
          </w:tcPr>
          <w:p>
            <w:pPr>
              <w:spacing w:after="80"/>
            </w:pPr>
            <w:r>
              <w:rPr>
                <w:rFonts w:ascii="Calibri" w:cs="Calibri" w:eastAsia="Calibri" w:hAnsi="Calibri"/>
                <w:color w:val="1F2933"/>
                <w:sz w:val="20"/>
                <w:szCs w:val="20"/>
              </w:rPr>
              <w:t xml:space="preserve"/>
            </w:r>
          </w:p>
        </w:tc>
      </w:tr>
      <w:tr>
        <w:trPr>
          <w:cantSplit/>
          <w:trHeight w:val="500" w:hRule="atLeast"/>
        </w:trPr>
        <w:tc>
          <w:tcPr>
            <w:tcW w:type="dxa" w:w="3600"/>
            <w:tcBorders>
              <w:top w:val="single" w:color="C0C0C0" w:sz="4"/>
              <w:left w:val="single" w:color="C0C0C0" w:sz="4"/>
              <w:bottom w:val="single" w:color="C0C0C0" w:sz="4"/>
              <w:right w:val="single" w:color="C0C0C0" w:sz="4"/>
            </w:tcBorders>
            <w:shd w:fill="E9F6EC" w:color="auto" w:val="clear"/>
            <w:tcMar>
              <w:top w:type="dxa" w:w="80"/>
              <w:left w:type="dxa" w:w="120"/>
              <w:bottom w:type="dxa" w:w="80"/>
              <w:right w:type="dxa" w:w="120"/>
            </w:tcMar>
            <w:vAlign w:val="top"/>
          </w:tcPr>
          <w:p>
            <w:pPr>
              <w:spacing w:after="80"/>
            </w:pPr>
            <w:r>
              <w:rPr>
                <w:rFonts w:ascii="Calibri" w:cs="Calibri" w:eastAsia="Calibri" w:hAnsi="Calibri"/>
                <w:b/>
                <w:bCs/>
                <w:color w:val="000000"/>
                <w:sz w:val="19"/>
                <w:szCs w:val="19"/>
              </w:rPr>
              <w:t xml:space="preserve">Anticipated commitment</w:t>
            </w:r>
          </w:p>
          <w:p>
            <w:pPr>
              <w:spacing w:after="0"/>
            </w:pPr>
            <w:r>
              <w:rPr>
                <w:rFonts w:ascii="Calibri" w:cs="Calibri" w:eastAsia="Calibri" w:hAnsi="Calibri"/>
                <w:i/>
                <w:iCs/>
                <w:color w:val="5A6270"/>
                <w:sz w:val="17"/>
                <w:szCs w:val="17"/>
              </w:rPr>
              <w:t xml:space="preserve">GPU type, quantity, term, est. contract value</w:t>
            </w:r>
          </w:p>
        </w:tc>
        <w:tc>
          <w:tcPr>
            <w:tcW w:type="dxa" w:w="6480"/>
            <w:tcBorders>
              <w:top w:val="single" w:color="C0C0C0" w:sz="4"/>
              <w:left w:val="single" w:color="C0C0C0" w:sz="4"/>
              <w:bottom w:val="single" w:color="C0C0C0" w:sz="4"/>
              <w:right w:val="single" w:color="C0C0C0" w:sz="4"/>
            </w:tcBorders>
            <w:shd w:fill="FFFFFF" w:color="auto" w:val="clear"/>
            <w:tcMar>
              <w:top w:type="dxa" w:w="80"/>
              <w:left w:type="dxa" w:w="120"/>
              <w:bottom w:type="dxa" w:w="80"/>
              <w:right w:type="dxa" w:w="120"/>
            </w:tcMar>
            <w:vAlign w:val="top"/>
          </w:tcPr>
          <w:p>
            <w:pPr>
              <w:spacing w:after="80"/>
            </w:pPr>
            <w:r>
              <w:rPr>
                <w:rFonts w:ascii="Calibri" w:cs="Calibri" w:eastAsia="Calibri" w:hAnsi="Calibri"/>
                <w:color w:val="1F2933"/>
                <w:sz w:val="20"/>
                <w:szCs w:val="20"/>
              </w:rPr>
              <w:t xml:space="preserve"/>
            </w:r>
          </w:p>
        </w:tc>
      </w:tr>
      <w:tr>
        <w:trPr>
          <w:cantSplit/>
        </w:trPr>
        <w:tc>
          <w:tcPr>
            <w:tcW w:type="dxa" w:w="3600"/>
            <w:tcBorders>
              <w:top w:val="single" w:color="C0C0C0" w:sz="4"/>
              <w:left w:val="single" w:color="C0C0C0" w:sz="4"/>
              <w:bottom w:val="single" w:color="C0C0C0" w:sz="4"/>
              <w:right w:val="single" w:color="C0C0C0" w:sz="4"/>
            </w:tcBorders>
            <w:shd w:fill="E9F6EC" w:color="auto" w:val="clear"/>
            <w:tcMar>
              <w:top w:type="dxa" w:w="80"/>
              <w:left w:type="dxa" w:w="120"/>
              <w:bottom w:type="dxa" w:w="80"/>
              <w:right w:type="dxa" w:w="120"/>
            </w:tcMar>
            <w:vAlign w:val="top"/>
          </w:tcPr>
          <w:p>
            <w:pPr>
              <w:spacing w:after="80"/>
            </w:pPr>
            <w:r>
              <w:rPr>
                <w:rFonts w:ascii="Calibri" w:cs="Calibri" w:eastAsia="Calibri" w:hAnsi="Calibri"/>
                <w:b/>
                <w:bCs/>
                <w:color w:val="000000"/>
                <w:sz w:val="19"/>
                <w:szCs w:val="19"/>
              </w:rPr>
              <w:t xml:space="preserve">Date completed</w:t>
            </w:r>
          </w:p>
        </w:tc>
        <w:tc>
          <w:tcPr>
            <w:tcW w:type="dxa" w:w="6480"/>
            <w:tcBorders>
              <w:top w:val="single" w:color="C0C0C0" w:sz="4"/>
              <w:left w:val="single" w:color="C0C0C0" w:sz="4"/>
              <w:bottom w:val="single" w:color="C0C0C0" w:sz="4"/>
              <w:right w:val="single" w:color="C0C0C0" w:sz="4"/>
            </w:tcBorders>
            <w:shd w:fill="FFFFFF" w:color="auto" w:val="clear"/>
            <w:tcMar>
              <w:top w:type="dxa" w:w="80"/>
              <w:left w:type="dxa" w:w="120"/>
              <w:bottom w:type="dxa" w:w="80"/>
              <w:right w:type="dxa" w:w="120"/>
            </w:tcMar>
            <w:vAlign w:val="top"/>
          </w:tcPr>
          <w:p>
            <w:pPr>
              <w:spacing w:after="80"/>
            </w:pPr>
            <w:r>
              <w:rPr>
                <w:rFonts w:ascii="Calibri" w:cs="Calibri" w:eastAsia="Calibri" w:hAnsi="Calibri"/>
                <w:color w:val="1F2933"/>
                <w:sz w:val="20"/>
                <w:szCs w:val="20"/>
              </w:rPr>
              <w:t xml:space="preserve"/>
            </w:r>
          </w:p>
        </w:tc>
      </w:tr>
    </w:tbl>
    <w:p>
      <w:pPr>
        <w:spacing w:after="120"/>
      </w:pPr>
      <w:r>
        <w:rPr>
          <w:rFonts w:ascii="Calibri" w:cs="Calibri" w:eastAsia="Calibri" w:hAnsi="Calibri"/>
          <w:color w:val="1F2933"/>
          <w:sz w:val="20"/>
          <w:szCs w:val="20"/>
        </w:rPr>
        <w:t xml:space="preserve"/>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none" w:color="FFFFFF" w:sz="0"/>
              <w:left w:val="single" w:color="000000" w:sz="24"/>
              <w:bottom w:val="none" w:color="FFFFFF" w:sz="0"/>
              <w:right w:val="none" w:color="FFFFFF" w:sz="0"/>
            </w:tcBorders>
            <w:shd w:fill="21A143" w:color="auto" w:val="clear"/>
            <w:tcMar>
              <w:top w:type="dxa" w:w="100"/>
              <w:left w:type="dxa" w:w="180"/>
              <w:bottom w:type="dxa" w:w="100"/>
              <w:right w:type="dxa" w:w="120"/>
            </w:tcMar>
          </w:tcPr>
          <w:p>
            <w:pPr>
              <w:spacing w:after="0"/>
            </w:pPr>
            <w:r>
              <w:rPr>
                <w:rFonts w:ascii="Calibri" w:cs="Calibri" w:eastAsia="Calibri" w:hAnsi="Calibri"/>
                <w:b/>
                <w:bCs/>
                <w:color w:val="E9F6EC"/>
                <w:spacing w:val="30"/>
                <w:sz w:val="17"/>
                <w:szCs w:val="17"/>
              </w:rPr>
              <w:t xml:space="preserve">SECTION 1   </w:t>
            </w:r>
            <w:r>
              <w:rPr>
                <w:rFonts w:ascii="Calibri" w:cs="Calibri" w:eastAsia="Calibri" w:hAnsi="Calibri"/>
                <w:b/>
                <w:bCs/>
                <w:color w:val="FFFFFF"/>
                <w:spacing w:val="20"/>
                <w:sz w:val="21"/>
                <w:szCs w:val="21"/>
              </w:rPr>
              <w:t xml:space="preserve">BALANCE SHEET &amp; LIQUIDITY</w:t>
            </w:r>
          </w:p>
        </w:tc>
      </w:tr>
    </w:tbl>
    <w:p>
      <w:pPr>
        <w:spacing w:after="120" w:before="100"/>
      </w:pPr>
      <w:r>
        <w:rPr>
          <w:rFonts w:ascii="Calibri" w:cs="Calibri" w:eastAsia="Calibri" w:hAnsi="Calibri"/>
          <w:i/>
          <w:iCs/>
          <w:color w:val="5A6270"/>
          <w:sz w:val="19"/>
          <w:szCs w:val="19"/>
        </w:rPr>
        <w:t xml:space="preserve">Establishes whether the commitment can be carried from current resources.</w:t>
      </w:r>
    </w:p>
    <w:p>
      <w:pPr>
        <w:keepNext/>
        <w:spacing w:after="100" w:before="140"/>
      </w:pPr>
      <w:r>
        <w:rPr>
          <w:rFonts w:ascii="Calibri" w:cs="Calibri" w:eastAsia="Calibri" w:hAnsi="Calibri"/>
          <w:b/>
          <w:bCs/>
          <w:color w:val="21A143"/>
          <w:sz w:val="20"/>
          <w:szCs w:val="20"/>
        </w:rPr>
        <w:t xml:space="preserve">Q1.  </w:t>
      </w:r>
      <w:r>
        <w:rPr>
          <w:rFonts w:ascii="Calibri" w:cs="Calibri" w:eastAsia="Calibri" w:hAnsi="Calibri"/>
          <w:b/>
          <w:bCs/>
          <w:color w:val="000000"/>
          <w:sz w:val="20"/>
          <w:szCs w:val="20"/>
        </w:rPr>
        <w:t xml:space="preserve">Please provide audited financial statements for the last two to three fiscal years, and describe your current cash position and runway relative to the total contract value.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cantSplit/>
        </w:trPr>
        <w:tc>
          <w:tcPr>
            <w:tcW w:type="dxa" w:w="3600"/>
            <w:tcBorders>
              <w:top w:val="single" w:color="C0C0C0" w:sz="4"/>
              <w:left w:val="single" w:color="C0C0C0" w:sz="4"/>
              <w:bottom w:val="single" w:color="C0C0C0" w:sz="4"/>
              <w:right w:val="single" w:color="C0C0C0" w:sz="4"/>
            </w:tcBorders>
            <w:shd w:fill="E9F6EC" w:color="auto" w:val="clear"/>
            <w:tcMar>
              <w:top w:type="dxa" w:w="80"/>
              <w:left w:type="dxa" w:w="120"/>
              <w:bottom w:type="dxa" w:w="80"/>
              <w:right w:type="dxa" w:w="120"/>
            </w:tcMar>
            <w:vAlign w:val="top"/>
          </w:tcPr>
          <w:p>
            <w:pPr>
              <w:spacing w:after="80"/>
            </w:pPr>
            <w:r>
              <w:rPr>
                <w:rFonts w:ascii="Calibri" w:cs="Calibri" w:eastAsia="Calibri" w:hAnsi="Calibri"/>
                <w:b/>
                <w:bCs/>
                <w:color w:val="000000"/>
                <w:sz w:val="19"/>
                <w:szCs w:val="19"/>
              </w:rPr>
              <w:t xml:space="preserve">Audited financials available?</w:t>
            </w:r>
          </w:p>
          <w:p>
            <w:pPr>
              <w:spacing w:after="0"/>
            </w:pPr>
            <w:r>
              <w:rPr>
                <w:rFonts w:ascii="Calibri" w:cs="Calibri" w:eastAsia="Calibri" w:hAnsi="Calibri"/>
                <w:i/>
                <w:iCs/>
                <w:color w:val="5A6270"/>
                <w:sz w:val="17"/>
                <w:szCs w:val="17"/>
              </w:rPr>
              <w:t xml:space="preserve">Attach or link</w:t>
            </w:r>
          </w:p>
        </w:tc>
        <w:tc>
          <w:tcPr>
            <w:tcW w:type="dxa" w:w="6480"/>
            <w:tcBorders>
              <w:top w:val="single" w:color="C0C0C0" w:sz="4"/>
              <w:left w:val="single" w:color="C0C0C0" w:sz="4"/>
              <w:bottom w:val="single" w:color="C0C0C0" w:sz="4"/>
              <w:right w:val="single" w:color="C0C0C0" w:sz="4"/>
            </w:tcBorders>
            <w:shd w:fill="FFFFFF" w:color="auto" w:val="clear"/>
            <w:tcMar>
              <w:top w:type="dxa" w:w="80"/>
              <w:left w:type="dxa" w:w="120"/>
              <w:bottom w:type="dxa" w:w="80"/>
              <w:right w:type="dxa" w:w="120"/>
            </w:tcMar>
            <w:vAlign w:val="top"/>
          </w:tcPr>
          <w:p>
            <w:pPr>
              <w:spacing w:after="80"/>
            </w:pPr>
            <w:r>
              <w:rPr>
                <w:rFonts w:ascii="Calibri" w:cs="Calibri" w:eastAsia="Calibri" w:hAnsi="Calibri"/>
                <w:color w:val="1F2933"/>
                <w:sz w:val="20"/>
                <w:szCs w:val="20"/>
              </w:rPr>
              <w:t xml:space="preserve"/>
            </w:r>
          </w:p>
        </w:tc>
      </w:tr>
      <w:tr>
        <w:trPr>
          <w:cantSplit/>
        </w:trPr>
        <w:tc>
          <w:tcPr>
            <w:tcW w:type="dxa" w:w="3600"/>
            <w:tcBorders>
              <w:top w:val="single" w:color="C0C0C0" w:sz="4"/>
              <w:left w:val="single" w:color="C0C0C0" w:sz="4"/>
              <w:bottom w:val="single" w:color="C0C0C0" w:sz="4"/>
              <w:right w:val="single" w:color="C0C0C0" w:sz="4"/>
            </w:tcBorders>
            <w:shd w:fill="E9F6EC" w:color="auto" w:val="clear"/>
            <w:tcMar>
              <w:top w:type="dxa" w:w="80"/>
              <w:left w:type="dxa" w:w="120"/>
              <w:bottom w:type="dxa" w:w="80"/>
              <w:right w:type="dxa" w:w="120"/>
            </w:tcMar>
            <w:vAlign w:val="top"/>
          </w:tcPr>
          <w:p>
            <w:pPr>
              <w:spacing w:after="80"/>
            </w:pPr>
            <w:r>
              <w:rPr>
                <w:rFonts w:ascii="Calibri" w:cs="Calibri" w:eastAsia="Calibri" w:hAnsi="Calibri"/>
                <w:b/>
                <w:bCs/>
                <w:color w:val="000000"/>
                <w:sz w:val="19"/>
                <w:szCs w:val="19"/>
              </w:rPr>
              <w:t xml:space="preserve">Fiscal years covered</w:t>
            </w:r>
          </w:p>
        </w:tc>
        <w:tc>
          <w:tcPr>
            <w:tcW w:type="dxa" w:w="6480"/>
            <w:tcBorders>
              <w:top w:val="single" w:color="C0C0C0" w:sz="4"/>
              <w:left w:val="single" w:color="C0C0C0" w:sz="4"/>
              <w:bottom w:val="single" w:color="C0C0C0" w:sz="4"/>
              <w:right w:val="single" w:color="C0C0C0" w:sz="4"/>
            </w:tcBorders>
            <w:shd w:fill="FFFFFF" w:color="auto" w:val="clear"/>
            <w:tcMar>
              <w:top w:type="dxa" w:w="80"/>
              <w:left w:type="dxa" w:w="120"/>
              <w:bottom w:type="dxa" w:w="80"/>
              <w:right w:type="dxa" w:w="120"/>
            </w:tcMar>
            <w:vAlign w:val="top"/>
          </w:tcPr>
          <w:p>
            <w:pPr>
              <w:spacing w:after="80"/>
            </w:pPr>
            <w:r>
              <w:rPr>
                <w:rFonts w:ascii="Calibri" w:cs="Calibri" w:eastAsia="Calibri" w:hAnsi="Calibri"/>
                <w:color w:val="1F2933"/>
                <w:sz w:val="20"/>
                <w:szCs w:val="20"/>
              </w:rPr>
              <w:t xml:space="preserve"/>
            </w:r>
          </w:p>
        </w:tc>
      </w:tr>
      <w:tr>
        <w:trPr>
          <w:cantSplit/>
        </w:trPr>
        <w:tc>
          <w:tcPr>
            <w:tcW w:type="dxa" w:w="3600"/>
            <w:tcBorders>
              <w:top w:val="single" w:color="C0C0C0" w:sz="4"/>
              <w:left w:val="single" w:color="C0C0C0" w:sz="4"/>
              <w:bottom w:val="single" w:color="C0C0C0" w:sz="4"/>
              <w:right w:val="single" w:color="C0C0C0" w:sz="4"/>
            </w:tcBorders>
            <w:shd w:fill="E9F6EC" w:color="auto" w:val="clear"/>
            <w:tcMar>
              <w:top w:type="dxa" w:w="80"/>
              <w:left w:type="dxa" w:w="120"/>
              <w:bottom w:type="dxa" w:w="80"/>
              <w:right w:type="dxa" w:w="120"/>
            </w:tcMar>
            <w:vAlign w:val="top"/>
          </w:tcPr>
          <w:p>
            <w:pPr>
              <w:spacing w:after="80"/>
            </w:pPr>
            <w:r>
              <w:rPr>
                <w:rFonts w:ascii="Calibri" w:cs="Calibri" w:eastAsia="Calibri" w:hAnsi="Calibri"/>
                <w:b/>
                <w:bCs/>
                <w:color w:val="000000"/>
                <w:sz w:val="19"/>
                <w:szCs w:val="19"/>
              </w:rPr>
              <w:t xml:space="preserve">Current cash &amp; equivalents (USD)</w:t>
            </w:r>
          </w:p>
          <w:p>
            <w:pPr>
              <w:spacing w:after="0"/>
            </w:pPr>
            <w:r>
              <w:rPr>
                <w:rFonts w:ascii="Calibri" w:cs="Calibri" w:eastAsia="Calibri" w:hAnsi="Calibri"/>
                <w:i/>
                <w:iCs/>
                <w:color w:val="5A6270"/>
                <w:sz w:val="17"/>
                <w:szCs w:val="17"/>
              </w:rPr>
              <w:t xml:space="preserve">As of most recent month-end</w:t>
            </w:r>
          </w:p>
        </w:tc>
        <w:tc>
          <w:tcPr>
            <w:tcW w:type="dxa" w:w="6480"/>
            <w:tcBorders>
              <w:top w:val="single" w:color="C0C0C0" w:sz="4"/>
              <w:left w:val="single" w:color="C0C0C0" w:sz="4"/>
              <w:bottom w:val="single" w:color="C0C0C0" w:sz="4"/>
              <w:right w:val="single" w:color="C0C0C0" w:sz="4"/>
            </w:tcBorders>
            <w:shd w:fill="FFFFFF" w:color="auto" w:val="clear"/>
            <w:tcMar>
              <w:top w:type="dxa" w:w="80"/>
              <w:left w:type="dxa" w:w="120"/>
              <w:bottom w:type="dxa" w:w="80"/>
              <w:right w:type="dxa" w:w="120"/>
            </w:tcMar>
            <w:vAlign w:val="top"/>
          </w:tcPr>
          <w:p>
            <w:pPr>
              <w:spacing w:after="80"/>
            </w:pPr>
            <w:r>
              <w:rPr>
                <w:rFonts w:ascii="Calibri" w:cs="Calibri" w:eastAsia="Calibri" w:hAnsi="Calibri"/>
                <w:color w:val="1F2933"/>
                <w:sz w:val="20"/>
                <w:szCs w:val="20"/>
              </w:rPr>
              <w:t xml:space="preserve"/>
            </w:r>
          </w:p>
        </w:tc>
      </w:tr>
      <w:tr>
        <w:trPr>
          <w:cantSplit/>
        </w:trPr>
        <w:tc>
          <w:tcPr>
            <w:tcW w:type="dxa" w:w="3600"/>
            <w:tcBorders>
              <w:top w:val="single" w:color="C0C0C0" w:sz="4"/>
              <w:left w:val="single" w:color="C0C0C0" w:sz="4"/>
              <w:bottom w:val="single" w:color="C0C0C0" w:sz="4"/>
              <w:right w:val="single" w:color="C0C0C0" w:sz="4"/>
            </w:tcBorders>
            <w:shd w:fill="E9F6EC" w:color="auto" w:val="clear"/>
            <w:tcMar>
              <w:top w:type="dxa" w:w="80"/>
              <w:left w:type="dxa" w:w="120"/>
              <w:bottom w:type="dxa" w:w="80"/>
              <w:right w:type="dxa" w:w="120"/>
            </w:tcMar>
            <w:vAlign w:val="top"/>
          </w:tcPr>
          <w:p>
            <w:pPr>
              <w:spacing w:after="80"/>
            </w:pPr>
            <w:r>
              <w:rPr>
                <w:rFonts w:ascii="Calibri" w:cs="Calibri" w:eastAsia="Calibri" w:hAnsi="Calibri"/>
                <w:b/>
                <w:bCs/>
                <w:color w:val="000000"/>
                <w:sz w:val="19"/>
                <w:szCs w:val="19"/>
              </w:rPr>
              <w:t xml:space="preserve">Monthly net burn / cash flow (USD)</w:t>
            </w:r>
          </w:p>
          <w:p>
            <w:pPr>
              <w:spacing w:after="0"/>
            </w:pPr>
            <w:r>
              <w:rPr>
                <w:rFonts w:ascii="Calibri" w:cs="Calibri" w:eastAsia="Calibri" w:hAnsi="Calibri"/>
                <w:i/>
                <w:iCs/>
                <w:color w:val="5A6270"/>
                <w:sz w:val="17"/>
                <w:szCs w:val="17"/>
              </w:rPr>
              <w:t xml:space="preserve">Positive figure for net cash generation</w:t>
            </w:r>
          </w:p>
        </w:tc>
        <w:tc>
          <w:tcPr>
            <w:tcW w:type="dxa" w:w="6480"/>
            <w:tcBorders>
              <w:top w:val="single" w:color="C0C0C0" w:sz="4"/>
              <w:left w:val="single" w:color="C0C0C0" w:sz="4"/>
              <w:bottom w:val="single" w:color="C0C0C0" w:sz="4"/>
              <w:right w:val="single" w:color="C0C0C0" w:sz="4"/>
            </w:tcBorders>
            <w:shd w:fill="FFFFFF" w:color="auto" w:val="clear"/>
            <w:tcMar>
              <w:top w:type="dxa" w:w="80"/>
              <w:left w:type="dxa" w:w="120"/>
              <w:bottom w:type="dxa" w:w="80"/>
              <w:right w:type="dxa" w:w="120"/>
            </w:tcMar>
            <w:vAlign w:val="top"/>
          </w:tcPr>
          <w:p>
            <w:pPr>
              <w:spacing w:after="80"/>
            </w:pPr>
            <w:r>
              <w:rPr>
                <w:rFonts w:ascii="Calibri" w:cs="Calibri" w:eastAsia="Calibri" w:hAnsi="Calibri"/>
                <w:color w:val="1F2933"/>
                <w:sz w:val="20"/>
                <w:szCs w:val="20"/>
              </w:rPr>
              <w:t xml:space="preserve"/>
            </w:r>
          </w:p>
        </w:tc>
      </w:tr>
      <w:tr>
        <w:trPr>
          <w:cantSplit/>
        </w:trPr>
        <w:tc>
          <w:tcPr>
            <w:tcW w:type="dxa" w:w="3600"/>
            <w:tcBorders>
              <w:top w:val="single" w:color="C0C0C0" w:sz="4"/>
              <w:left w:val="single" w:color="C0C0C0" w:sz="4"/>
              <w:bottom w:val="single" w:color="C0C0C0" w:sz="4"/>
              <w:right w:val="single" w:color="C0C0C0" w:sz="4"/>
            </w:tcBorders>
            <w:shd w:fill="E9F6EC" w:color="auto" w:val="clear"/>
            <w:tcMar>
              <w:top w:type="dxa" w:w="80"/>
              <w:left w:type="dxa" w:w="120"/>
              <w:bottom w:type="dxa" w:w="80"/>
              <w:right w:type="dxa" w:w="120"/>
            </w:tcMar>
            <w:vAlign w:val="top"/>
          </w:tcPr>
          <w:p>
            <w:pPr>
              <w:spacing w:after="80"/>
            </w:pPr>
            <w:r>
              <w:rPr>
                <w:rFonts w:ascii="Calibri" w:cs="Calibri" w:eastAsia="Calibri" w:hAnsi="Calibri"/>
                <w:b/>
                <w:bCs/>
                <w:color w:val="000000"/>
                <w:sz w:val="19"/>
                <w:szCs w:val="19"/>
              </w:rPr>
              <w:t xml:space="preserve">Runway (months)</w:t>
            </w:r>
          </w:p>
          <w:p>
            <w:pPr>
              <w:spacing w:after="0"/>
            </w:pPr>
            <w:r>
              <w:rPr>
                <w:rFonts w:ascii="Calibri" w:cs="Calibri" w:eastAsia="Calibri" w:hAnsi="Calibri"/>
                <w:i/>
                <w:iCs/>
                <w:color w:val="5A6270"/>
                <w:sz w:val="17"/>
                <w:szCs w:val="17"/>
              </w:rPr>
              <w:t xml:space="preserve">At current burn, excluding new funding</w:t>
            </w:r>
          </w:p>
        </w:tc>
        <w:tc>
          <w:tcPr>
            <w:tcW w:type="dxa" w:w="6480"/>
            <w:tcBorders>
              <w:top w:val="single" w:color="C0C0C0" w:sz="4"/>
              <w:left w:val="single" w:color="C0C0C0" w:sz="4"/>
              <w:bottom w:val="single" w:color="C0C0C0" w:sz="4"/>
              <w:right w:val="single" w:color="C0C0C0" w:sz="4"/>
            </w:tcBorders>
            <w:shd w:fill="FFFFFF" w:color="auto" w:val="clear"/>
            <w:tcMar>
              <w:top w:type="dxa" w:w="80"/>
              <w:left w:type="dxa" w:w="120"/>
              <w:bottom w:type="dxa" w:w="80"/>
              <w:right w:type="dxa" w:w="120"/>
            </w:tcMar>
            <w:vAlign w:val="top"/>
          </w:tcPr>
          <w:p>
            <w:pPr>
              <w:spacing w:after="80"/>
            </w:pPr>
            <w:r>
              <w:rPr>
                <w:rFonts w:ascii="Calibri" w:cs="Calibri" w:eastAsia="Calibri" w:hAnsi="Calibri"/>
                <w:color w:val="1F2933"/>
                <w:sz w:val="20"/>
                <w:szCs w:val="20"/>
              </w:rPr>
              <w:t xml:space="preserve"/>
            </w:r>
          </w:p>
        </w:tc>
      </w:tr>
      <w:tr>
        <w:trPr>
          <w:cantSplit/>
        </w:trPr>
        <w:tc>
          <w:tcPr>
            <w:tcW w:type="dxa" w:w="3600"/>
            <w:tcBorders>
              <w:top w:val="single" w:color="C0C0C0" w:sz="4"/>
              <w:left w:val="single" w:color="C0C0C0" w:sz="4"/>
              <w:bottom w:val="single" w:color="C0C0C0" w:sz="4"/>
              <w:right w:val="single" w:color="C0C0C0" w:sz="4"/>
            </w:tcBorders>
            <w:shd w:fill="E9F6EC" w:color="auto" w:val="clear"/>
            <w:tcMar>
              <w:top w:type="dxa" w:w="80"/>
              <w:left w:type="dxa" w:w="120"/>
              <w:bottom w:type="dxa" w:w="80"/>
              <w:right w:type="dxa" w:w="120"/>
            </w:tcMar>
            <w:vAlign w:val="top"/>
          </w:tcPr>
          <w:p>
            <w:pPr>
              <w:spacing w:after="80"/>
            </w:pPr>
            <w:r>
              <w:rPr>
                <w:rFonts w:ascii="Calibri" w:cs="Calibri" w:eastAsia="Calibri" w:hAnsi="Calibri"/>
                <w:b/>
                <w:bCs/>
                <w:color w:val="000000"/>
                <w:sz w:val="19"/>
                <w:szCs w:val="19"/>
              </w:rPr>
              <w:t xml:space="preserve">Contract value covered by cash on hand</w:t>
            </w:r>
          </w:p>
          <w:p>
            <w:pPr>
              <w:spacing w:after="0"/>
            </w:pPr>
            <w:r>
              <w:rPr>
                <w:rFonts w:ascii="Calibri" w:cs="Calibri" w:eastAsia="Calibri" w:hAnsi="Calibri"/>
                <w:i/>
                <w:iCs/>
                <w:color w:val="5A6270"/>
                <w:sz w:val="17"/>
                <w:szCs w:val="17"/>
              </w:rPr>
              <w:t xml:space="preserve">Percentage</w:t>
            </w:r>
          </w:p>
        </w:tc>
        <w:tc>
          <w:tcPr>
            <w:tcW w:type="dxa" w:w="6480"/>
            <w:tcBorders>
              <w:top w:val="single" w:color="C0C0C0" w:sz="4"/>
              <w:left w:val="single" w:color="C0C0C0" w:sz="4"/>
              <w:bottom w:val="single" w:color="C0C0C0" w:sz="4"/>
              <w:right w:val="single" w:color="C0C0C0" w:sz="4"/>
            </w:tcBorders>
            <w:shd w:fill="FFFFFF" w:color="auto" w:val="clear"/>
            <w:tcMar>
              <w:top w:type="dxa" w:w="80"/>
              <w:left w:type="dxa" w:w="120"/>
              <w:bottom w:type="dxa" w:w="80"/>
              <w:right w:type="dxa" w:w="120"/>
            </w:tcMar>
            <w:vAlign w:val="top"/>
          </w:tcPr>
          <w:p>
            <w:pPr>
              <w:spacing w:after="80"/>
            </w:pPr>
            <w:r>
              <w:rPr>
                <w:rFonts w:ascii="Calibri" w:cs="Calibri" w:eastAsia="Calibri" w:hAnsi="Calibri"/>
                <w:color w:val="1F2933"/>
                <w:sz w:val="20"/>
                <w:szCs w:val="20"/>
              </w:rPr>
              <w:t xml:space="preserve"/>
            </w:r>
          </w:p>
        </w:tc>
      </w:tr>
    </w:tbl>
    <w:p>
      <w:pPr>
        <w:keepNext/>
        <w:spacing w:after="100" w:before="140"/>
      </w:pPr>
      <w:r>
        <w:rPr>
          <w:rFonts w:ascii="Calibri" w:cs="Calibri" w:eastAsia="Calibri" w:hAnsi="Calibri"/>
          <w:b/>
          <w:bCs/>
          <w:color w:val="21A143"/>
          <w:sz w:val="20"/>
          <w:szCs w:val="20"/>
        </w:rPr>
        <w:t xml:space="preserve">Q1.1.  </w:t>
      </w:r>
      <w:r>
        <w:rPr>
          <w:rFonts w:ascii="Calibri" w:cs="Calibri" w:eastAsia="Calibri" w:hAnsi="Calibri"/>
          <w:b/>
          <w:bCs/>
          <w:color w:val="000000"/>
          <w:sz w:val="20"/>
          <w:szCs w:val="20"/>
        </w:rPr>
        <w:t xml:space="preserve">If venture-backed: how much of this commitment is covered by cash on hand today versus future fundraising?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cantSplit/>
        </w:trPr>
        <w:tc>
          <w:tcPr>
            <w:tcW w:type="dxa" w:w="3600"/>
            <w:tcBorders>
              <w:top w:val="single" w:color="C0C0C0" w:sz="4"/>
              <w:left w:val="single" w:color="C0C0C0" w:sz="4"/>
              <w:bottom w:val="single" w:color="C0C0C0" w:sz="4"/>
              <w:right w:val="single" w:color="C0C0C0" w:sz="4"/>
            </w:tcBorders>
            <w:shd w:fill="E9F6EC" w:color="auto" w:val="clear"/>
            <w:tcMar>
              <w:top w:type="dxa" w:w="80"/>
              <w:left w:type="dxa" w:w="120"/>
              <w:bottom w:type="dxa" w:w="80"/>
              <w:right w:type="dxa" w:w="120"/>
            </w:tcMar>
            <w:vAlign w:val="top"/>
          </w:tcPr>
          <w:p>
            <w:pPr>
              <w:spacing w:after="80"/>
            </w:pPr>
            <w:r>
              <w:rPr>
                <w:rFonts w:ascii="Calibri" w:cs="Calibri" w:eastAsia="Calibri" w:hAnsi="Calibri"/>
                <w:b/>
                <w:bCs/>
                <w:color w:val="000000"/>
                <w:sz w:val="19"/>
                <w:szCs w:val="19"/>
              </w:rPr>
              <w:t xml:space="preserve">Most recent funding round</w:t>
            </w:r>
          </w:p>
          <w:p>
            <w:pPr>
              <w:spacing w:after="0"/>
            </w:pPr>
            <w:r>
              <w:rPr>
                <w:rFonts w:ascii="Calibri" w:cs="Calibri" w:eastAsia="Calibri" w:hAnsi="Calibri"/>
                <w:i/>
                <w:iCs/>
                <w:color w:val="5A6270"/>
                <w:sz w:val="17"/>
                <w:szCs w:val="17"/>
              </w:rPr>
              <w:t xml:space="preserve">Series, amount, close date, lead investors</w:t>
            </w:r>
          </w:p>
        </w:tc>
        <w:tc>
          <w:tcPr>
            <w:tcW w:type="dxa" w:w="6480"/>
            <w:tcBorders>
              <w:top w:val="single" w:color="C0C0C0" w:sz="4"/>
              <w:left w:val="single" w:color="C0C0C0" w:sz="4"/>
              <w:bottom w:val="single" w:color="C0C0C0" w:sz="4"/>
              <w:right w:val="single" w:color="C0C0C0" w:sz="4"/>
            </w:tcBorders>
            <w:shd w:fill="FFFFFF" w:color="auto" w:val="clear"/>
            <w:tcMar>
              <w:top w:type="dxa" w:w="80"/>
              <w:left w:type="dxa" w:w="120"/>
              <w:bottom w:type="dxa" w:w="80"/>
              <w:right w:type="dxa" w:w="120"/>
            </w:tcMar>
            <w:vAlign w:val="top"/>
          </w:tcPr>
          <w:p>
            <w:pPr>
              <w:spacing w:after="80"/>
            </w:pPr>
            <w:r>
              <w:rPr>
                <w:rFonts w:ascii="Calibri" w:cs="Calibri" w:eastAsia="Calibri" w:hAnsi="Calibri"/>
                <w:color w:val="1F2933"/>
                <w:sz w:val="20"/>
                <w:szCs w:val="20"/>
              </w:rPr>
              <w:t xml:space="preserve"/>
            </w:r>
          </w:p>
        </w:tc>
      </w:tr>
      <w:tr>
        <w:trPr>
          <w:cantSplit/>
          <w:trHeight w:val="700" w:hRule="atLeast"/>
        </w:trPr>
        <w:tc>
          <w:tcPr>
            <w:tcW w:type="dxa" w:w="3600"/>
            <w:tcBorders>
              <w:top w:val="single" w:color="C0C0C0" w:sz="4"/>
              <w:left w:val="single" w:color="C0C0C0" w:sz="4"/>
              <w:bottom w:val="single" w:color="C0C0C0" w:sz="4"/>
              <w:right w:val="single" w:color="C0C0C0" w:sz="4"/>
            </w:tcBorders>
            <w:shd w:fill="E9F6EC" w:color="auto" w:val="clear"/>
            <w:tcMar>
              <w:top w:type="dxa" w:w="80"/>
              <w:left w:type="dxa" w:w="120"/>
              <w:bottom w:type="dxa" w:w="80"/>
              <w:right w:type="dxa" w:w="120"/>
            </w:tcMar>
            <w:vAlign w:val="top"/>
          </w:tcPr>
          <w:p>
            <w:pPr>
              <w:spacing w:after="80"/>
            </w:pPr>
            <w:r>
              <w:rPr>
                <w:rFonts w:ascii="Calibri" w:cs="Calibri" w:eastAsia="Calibri" w:hAnsi="Calibri"/>
                <w:b/>
                <w:bCs/>
                <w:color w:val="000000"/>
                <w:sz w:val="19"/>
                <w:szCs w:val="19"/>
              </w:rPr>
              <w:t xml:space="preserve">Funding required to cover full term</w:t>
            </w:r>
          </w:p>
          <w:p>
            <w:pPr>
              <w:spacing w:after="0"/>
            </w:pPr>
            <w:r>
              <w:rPr>
                <w:rFonts w:ascii="Calibri" w:cs="Calibri" w:eastAsia="Calibri" w:hAnsi="Calibri"/>
                <w:i/>
                <w:iCs/>
                <w:color w:val="5A6270"/>
                <w:sz w:val="17"/>
                <w:szCs w:val="17"/>
              </w:rPr>
              <w:t xml:space="preserve">Amount, expected timing, and status (term sheet, in market, not started)</w:t>
            </w:r>
          </w:p>
        </w:tc>
        <w:tc>
          <w:tcPr>
            <w:tcW w:type="dxa" w:w="6480"/>
            <w:tcBorders>
              <w:top w:val="single" w:color="C0C0C0" w:sz="4"/>
              <w:left w:val="single" w:color="C0C0C0" w:sz="4"/>
              <w:bottom w:val="single" w:color="C0C0C0" w:sz="4"/>
              <w:right w:val="single" w:color="C0C0C0" w:sz="4"/>
            </w:tcBorders>
            <w:shd w:fill="FFFFFF" w:color="auto" w:val="clear"/>
            <w:tcMar>
              <w:top w:type="dxa" w:w="80"/>
              <w:left w:type="dxa" w:w="120"/>
              <w:bottom w:type="dxa" w:w="80"/>
              <w:right w:type="dxa" w:w="120"/>
            </w:tcMar>
            <w:vAlign w:val="top"/>
          </w:tcPr>
          <w:p>
            <w:pPr>
              <w:spacing w:after="80"/>
            </w:pPr>
            <w:r>
              <w:rPr>
                <w:rFonts w:ascii="Calibri" w:cs="Calibri" w:eastAsia="Calibri" w:hAnsi="Calibri"/>
                <w:color w:val="1F2933"/>
                <w:sz w:val="20"/>
                <w:szCs w:val="20"/>
              </w:rPr>
              <w:t xml:space="preserve"/>
            </w:r>
          </w:p>
        </w:tc>
      </w:tr>
      <w:tr>
        <w:trPr>
          <w:cantSplit/>
          <w:trHeight w:val="900" w:hRule="atLeast"/>
        </w:trPr>
        <w:tc>
          <w:tcPr>
            <w:tcW w:type="dxa" w:w="3600"/>
            <w:tcBorders>
              <w:top w:val="single" w:color="C0C0C0" w:sz="4"/>
              <w:left w:val="single" w:color="C0C0C0" w:sz="4"/>
              <w:bottom w:val="single" w:color="C0C0C0" w:sz="4"/>
              <w:right w:val="single" w:color="C0C0C0" w:sz="4"/>
            </w:tcBorders>
            <w:shd w:fill="E9F6EC" w:color="auto" w:val="clear"/>
            <w:tcMar>
              <w:top w:type="dxa" w:w="80"/>
              <w:left w:type="dxa" w:w="120"/>
              <w:bottom w:type="dxa" w:w="80"/>
              <w:right w:type="dxa" w:w="120"/>
            </w:tcMar>
            <w:vAlign w:val="top"/>
          </w:tcPr>
          <w:p>
            <w:pPr>
              <w:spacing w:after="80"/>
            </w:pPr>
            <w:r>
              <w:rPr>
                <w:rFonts w:ascii="Calibri" w:cs="Calibri" w:eastAsia="Calibri" w:hAnsi="Calibri"/>
                <w:b/>
                <w:bCs/>
                <w:color w:val="000000"/>
                <w:sz w:val="19"/>
                <w:szCs w:val="19"/>
              </w:rPr>
              <w:t xml:space="preserve">Additional context</w:t>
            </w:r>
          </w:p>
          <w:p>
            <w:pPr>
              <w:spacing w:after="0"/>
            </w:pPr>
            <w:r>
              <w:rPr>
                <w:rFonts w:ascii="Calibri" w:cs="Calibri" w:eastAsia="Calibri" w:hAnsi="Calibri"/>
                <w:i/>
                <w:iCs/>
                <w:color w:val="5A6270"/>
                <w:sz w:val="17"/>
                <w:szCs w:val="17"/>
              </w:rPr>
              <w:t xml:space="preserve">Committed facilities, credit lines, revenue milestones</w:t>
            </w:r>
          </w:p>
        </w:tc>
        <w:tc>
          <w:tcPr>
            <w:tcW w:type="dxa" w:w="6480"/>
            <w:tcBorders>
              <w:top w:val="single" w:color="C0C0C0" w:sz="4"/>
              <w:left w:val="single" w:color="C0C0C0" w:sz="4"/>
              <w:bottom w:val="single" w:color="C0C0C0" w:sz="4"/>
              <w:right w:val="single" w:color="C0C0C0" w:sz="4"/>
            </w:tcBorders>
            <w:shd w:fill="FFFFFF" w:color="auto" w:val="clear"/>
            <w:tcMar>
              <w:top w:type="dxa" w:w="80"/>
              <w:left w:type="dxa" w:w="120"/>
              <w:bottom w:type="dxa" w:w="80"/>
              <w:right w:type="dxa" w:w="120"/>
            </w:tcMar>
            <w:vAlign w:val="top"/>
          </w:tcPr>
          <w:p>
            <w:pPr>
              <w:spacing w:after="80"/>
            </w:pPr>
            <w:r>
              <w:rPr>
                <w:rFonts w:ascii="Calibri" w:cs="Calibri" w:eastAsia="Calibri" w:hAnsi="Calibri"/>
                <w:color w:val="1F2933"/>
                <w:sz w:val="20"/>
                <w:szCs w:val="20"/>
              </w:rPr>
              <w:t xml:space="preserve"/>
            </w:r>
          </w:p>
        </w:tc>
      </w:tr>
    </w:tbl>
    <w:p>
      <w:pPr>
        <w:keepNext/>
        <w:spacing w:after="100" w:before="140"/>
      </w:pPr>
      <w:r>
        <w:rPr>
          <w:rFonts w:ascii="Calibri" w:cs="Calibri" w:eastAsia="Calibri" w:hAnsi="Calibri"/>
          <w:b/>
          <w:bCs/>
          <w:color w:val="21A143"/>
          <w:sz w:val="20"/>
          <w:szCs w:val="20"/>
        </w:rPr>
        <w:t xml:space="preserve">Q1.2.  </w:t>
      </w:r>
      <w:r>
        <w:rPr>
          <w:rFonts w:ascii="Calibri" w:cs="Calibri" w:eastAsia="Calibri" w:hAnsi="Calibri"/>
          <w:b/>
          <w:bCs/>
          <w:color w:val="000000"/>
          <w:sz w:val="20"/>
          <w:szCs w:val="20"/>
        </w:rPr>
        <w:t xml:space="preserve">Do you hold a public credit rating from Moody's, S&amp;P, Fitch, or a comparable agency? If not, are you willing to undergo a third-party credit assessment?</w:t>
      </w:r>
    </w:p>
    <w:p>
      <w:pPr>
        <w:spacing w:after="100" w:before="60"/>
      </w:pPr>
      <w:r>
        <w:rPr>
          <w:rFonts w:ascii="Calibri" w:cs="Calibri" w:eastAsia="Calibri" w:hAnsi="Calibri"/>
          <w:b/>
          <w:bCs/>
          <w:color w:val="000000"/>
          <w:sz w:val="19"/>
          <w:szCs w:val="19"/>
        </w:rPr>
        <w:t xml:space="preserve">Rating status:  </w:t>
      </w:r>
      <w:r>
        <w:rPr>
          <w:rFonts w:ascii="Calibri" w:cs="Calibri" w:eastAsia="Calibri" w:hAnsi="Calibri"/>
          <w:color w:val="1F2933"/>
          <w:sz w:val="19"/>
          <w:szCs w:val="19"/>
        </w:rPr>
        <w:t xml:space="preserve">☐ Public rating</w:t>
      </w:r>
      <w:r>
        <w:rPr>
          <w:rFonts w:ascii="Calibri" w:cs="Calibri" w:eastAsia="Calibri" w:hAnsi="Calibri"/>
          <w:color w:val="1F2933"/>
          <w:sz w:val="20"/>
          <w:szCs w:val="20"/>
        </w:rPr>
        <w:t xml:space="preserve">     </w:t>
      </w:r>
      <w:r>
        <w:rPr>
          <w:rFonts w:ascii="Calibri" w:cs="Calibri" w:eastAsia="Calibri" w:hAnsi="Calibri"/>
          <w:color w:val="1F2933"/>
          <w:sz w:val="19"/>
          <w:szCs w:val="19"/>
        </w:rPr>
        <w:t xml:space="preserve">☐ Private / shadow rating</w:t>
      </w:r>
      <w:r>
        <w:rPr>
          <w:rFonts w:ascii="Calibri" w:cs="Calibri" w:eastAsia="Calibri" w:hAnsi="Calibri"/>
          <w:color w:val="1F2933"/>
          <w:sz w:val="20"/>
          <w:szCs w:val="20"/>
        </w:rPr>
        <w:t xml:space="preserve">     </w:t>
      </w:r>
      <w:r>
        <w:rPr>
          <w:rFonts w:ascii="Calibri" w:cs="Calibri" w:eastAsia="Calibri" w:hAnsi="Calibri"/>
          <w:color w:val="1F2933"/>
          <w:sz w:val="19"/>
          <w:szCs w:val="19"/>
        </w:rPr>
        <w:t xml:space="preserve">☐ Unrated</w:t>
      </w:r>
      <w:r>
        <w:rPr>
          <w:rFonts w:ascii="Calibri" w:cs="Calibri" w:eastAsia="Calibri" w:hAnsi="Calibri"/>
          <w:color w:val="1F2933"/>
          <w:sz w:val="20"/>
          <w:szCs w:val="20"/>
        </w:rPr>
        <w:t xml:space="preserve">     </w:t>
      </w:r>
      <w:r>
        <w:rPr>
          <w:rFonts w:ascii="Calibri" w:cs="Calibri" w:eastAsia="Calibri" w:hAnsi="Calibri"/>
          <w:color w:val="1F2933"/>
          <w:sz w:val="19"/>
          <w:szCs w:val="19"/>
        </w:rPr>
        <w:t xml:space="preserve">☐ Rating in progress</w:t>
      </w:r>
      <w:r>
        <w:rPr>
          <w:rFonts w:ascii="Calibri" w:cs="Calibri" w:eastAsia="Calibri" w:hAnsi="Calibri"/>
          <w:color w:val="1F2933"/>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cantSplit/>
          <w:trHeight w:val="600" w:hRule="atLeast"/>
        </w:trPr>
        <w:tc>
          <w:tcPr>
            <w:tcW w:type="dxa" w:w="3600"/>
            <w:tcBorders>
              <w:top w:val="single" w:color="C0C0C0" w:sz="4"/>
              <w:left w:val="single" w:color="C0C0C0" w:sz="4"/>
              <w:bottom w:val="single" w:color="C0C0C0" w:sz="4"/>
              <w:right w:val="single" w:color="C0C0C0" w:sz="4"/>
            </w:tcBorders>
            <w:shd w:fill="E9F6EC" w:color="auto" w:val="clear"/>
            <w:tcMar>
              <w:top w:type="dxa" w:w="80"/>
              <w:left w:type="dxa" w:w="120"/>
              <w:bottom w:type="dxa" w:w="80"/>
              <w:right w:type="dxa" w:w="120"/>
            </w:tcMar>
            <w:vAlign w:val="top"/>
          </w:tcPr>
          <w:p>
            <w:pPr>
              <w:spacing w:after="80"/>
            </w:pPr>
            <w:r>
              <w:rPr>
                <w:rFonts w:ascii="Calibri" w:cs="Calibri" w:eastAsia="Calibri" w:hAnsi="Calibri"/>
                <w:b/>
                <w:bCs/>
                <w:color w:val="000000"/>
                <w:sz w:val="19"/>
                <w:szCs w:val="19"/>
              </w:rPr>
              <w:t xml:space="preserve">Rating agency and current rating</w:t>
            </w:r>
          </w:p>
          <w:p>
            <w:pPr>
              <w:spacing w:after="0"/>
            </w:pPr>
            <w:r>
              <w:rPr>
                <w:rFonts w:ascii="Calibri" w:cs="Calibri" w:eastAsia="Calibri" w:hAnsi="Calibri"/>
                <w:i/>
                <w:iCs/>
                <w:color w:val="5A6270"/>
                <w:sz w:val="17"/>
                <w:szCs w:val="17"/>
              </w:rPr>
              <w:t xml:space="preserve">e.g. Moody's Baa2 / S&amp;P BBB / Fitch BBB; include outlook and date of last action</w:t>
            </w:r>
          </w:p>
        </w:tc>
        <w:tc>
          <w:tcPr>
            <w:tcW w:type="dxa" w:w="6480"/>
            <w:tcBorders>
              <w:top w:val="single" w:color="C0C0C0" w:sz="4"/>
              <w:left w:val="single" w:color="C0C0C0" w:sz="4"/>
              <w:bottom w:val="single" w:color="C0C0C0" w:sz="4"/>
              <w:right w:val="single" w:color="C0C0C0" w:sz="4"/>
            </w:tcBorders>
            <w:shd w:fill="FFFFFF" w:color="auto" w:val="clear"/>
            <w:tcMar>
              <w:top w:type="dxa" w:w="80"/>
              <w:left w:type="dxa" w:w="120"/>
              <w:bottom w:type="dxa" w:w="80"/>
              <w:right w:type="dxa" w:w="120"/>
            </w:tcMar>
            <w:vAlign w:val="top"/>
          </w:tcPr>
          <w:p>
            <w:pPr>
              <w:spacing w:after="80"/>
            </w:pPr>
            <w:r>
              <w:rPr>
                <w:rFonts w:ascii="Calibri" w:cs="Calibri" w:eastAsia="Calibri" w:hAnsi="Calibri"/>
                <w:color w:val="1F2933"/>
                <w:sz w:val="20"/>
                <w:szCs w:val="20"/>
              </w:rPr>
              <w:t xml:space="preserve"/>
            </w:r>
          </w:p>
        </w:tc>
      </w:tr>
      <w:tr>
        <w:trPr>
          <w:cantSplit/>
        </w:trPr>
        <w:tc>
          <w:tcPr>
            <w:tcW w:type="dxa" w:w="3600"/>
            <w:tcBorders>
              <w:top w:val="single" w:color="C0C0C0" w:sz="4"/>
              <w:left w:val="single" w:color="C0C0C0" w:sz="4"/>
              <w:bottom w:val="single" w:color="C0C0C0" w:sz="4"/>
              <w:right w:val="single" w:color="C0C0C0" w:sz="4"/>
            </w:tcBorders>
            <w:shd w:fill="E9F6EC" w:color="auto" w:val="clear"/>
            <w:tcMar>
              <w:top w:type="dxa" w:w="80"/>
              <w:left w:type="dxa" w:w="120"/>
              <w:bottom w:type="dxa" w:w="80"/>
              <w:right w:type="dxa" w:w="120"/>
            </w:tcMar>
            <w:vAlign w:val="top"/>
          </w:tcPr>
          <w:p>
            <w:pPr>
              <w:spacing w:after="80"/>
            </w:pPr>
            <w:r>
              <w:rPr>
                <w:rFonts w:ascii="Calibri" w:cs="Calibri" w:eastAsia="Calibri" w:hAnsi="Calibri"/>
                <w:b/>
                <w:bCs/>
                <w:color w:val="000000"/>
                <w:sz w:val="19"/>
                <w:szCs w:val="19"/>
              </w:rPr>
              <w:t xml:space="preserve">Parent or guarantor rating</w:t>
            </w:r>
          </w:p>
          <w:p>
            <w:pPr>
              <w:spacing w:after="0"/>
            </w:pPr>
            <w:r>
              <w:rPr>
                <w:rFonts w:ascii="Calibri" w:cs="Calibri" w:eastAsia="Calibri" w:hAnsi="Calibri"/>
                <w:i/>
                <w:iCs/>
                <w:color w:val="5A6270"/>
                <w:sz w:val="17"/>
                <w:szCs w:val="17"/>
              </w:rPr>
              <w:t xml:space="preserve">If your obligations would be supported by a rated parent or investor</w:t>
            </w:r>
          </w:p>
        </w:tc>
        <w:tc>
          <w:tcPr>
            <w:tcW w:type="dxa" w:w="6480"/>
            <w:tcBorders>
              <w:top w:val="single" w:color="C0C0C0" w:sz="4"/>
              <w:left w:val="single" w:color="C0C0C0" w:sz="4"/>
              <w:bottom w:val="single" w:color="C0C0C0" w:sz="4"/>
              <w:right w:val="single" w:color="C0C0C0" w:sz="4"/>
            </w:tcBorders>
            <w:shd w:fill="FFFFFF" w:color="auto" w:val="clear"/>
            <w:tcMar>
              <w:top w:type="dxa" w:w="80"/>
              <w:left w:type="dxa" w:w="120"/>
              <w:bottom w:type="dxa" w:w="80"/>
              <w:right w:type="dxa" w:w="120"/>
            </w:tcMar>
            <w:vAlign w:val="top"/>
          </w:tcPr>
          <w:p>
            <w:pPr>
              <w:spacing w:after="80"/>
            </w:pPr>
            <w:r>
              <w:rPr>
                <w:rFonts w:ascii="Calibri" w:cs="Calibri" w:eastAsia="Calibri" w:hAnsi="Calibri"/>
                <w:color w:val="1F2933"/>
                <w:sz w:val="20"/>
                <w:szCs w:val="20"/>
              </w:rPr>
              <w:t xml:space="preserve"/>
            </w:r>
          </w:p>
        </w:tc>
      </w:tr>
      <w:tr>
        <w:trPr>
          <w:cantSplit/>
          <w:trHeight w:val="500" w:hRule="atLeast"/>
        </w:trPr>
        <w:tc>
          <w:tcPr>
            <w:tcW w:type="dxa" w:w="3600"/>
            <w:tcBorders>
              <w:top w:val="single" w:color="C0C0C0" w:sz="4"/>
              <w:left w:val="single" w:color="C0C0C0" w:sz="4"/>
              <w:bottom w:val="single" w:color="C0C0C0" w:sz="4"/>
              <w:right w:val="single" w:color="C0C0C0" w:sz="4"/>
            </w:tcBorders>
            <w:shd w:fill="E9F6EC" w:color="auto" w:val="clear"/>
            <w:tcMar>
              <w:top w:type="dxa" w:w="80"/>
              <w:left w:type="dxa" w:w="120"/>
              <w:bottom w:type="dxa" w:w="80"/>
              <w:right w:type="dxa" w:w="120"/>
            </w:tcMar>
            <w:vAlign w:val="top"/>
          </w:tcPr>
          <w:p>
            <w:pPr>
              <w:spacing w:after="80"/>
            </w:pPr>
            <w:r>
              <w:rPr>
                <w:rFonts w:ascii="Calibri" w:cs="Calibri" w:eastAsia="Calibri" w:hAnsi="Calibri"/>
                <w:b/>
                <w:bCs/>
                <w:color w:val="000000"/>
                <w:sz w:val="19"/>
                <w:szCs w:val="19"/>
              </w:rPr>
              <w:t xml:space="preserve">Third-party credit assessment</w:t>
            </w:r>
          </w:p>
          <w:p>
            <w:pPr>
              <w:spacing w:after="0"/>
            </w:pPr>
            <w:r>
              <w:rPr>
                <w:rFonts w:ascii="Calibri" w:cs="Calibri" w:eastAsia="Calibri" w:hAnsi="Calibri"/>
                <w:i/>
                <w:iCs/>
                <w:color w:val="5A6270"/>
                <w:sz w:val="17"/>
                <w:szCs w:val="17"/>
              </w:rPr>
              <w:t xml:space="preserve">Willing to undergo? Preferred provider (e.g. D&amp;B, Creditsafe, agency private rating)</w:t>
            </w:r>
          </w:p>
        </w:tc>
        <w:tc>
          <w:tcPr>
            <w:tcW w:type="dxa" w:w="6480"/>
            <w:tcBorders>
              <w:top w:val="single" w:color="C0C0C0" w:sz="4"/>
              <w:left w:val="single" w:color="C0C0C0" w:sz="4"/>
              <w:bottom w:val="single" w:color="C0C0C0" w:sz="4"/>
              <w:right w:val="single" w:color="C0C0C0" w:sz="4"/>
            </w:tcBorders>
            <w:shd w:fill="FFFFFF" w:color="auto" w:val="clear"/>
            <w:tcMar>
              <w:top w:type="dxa" w:w="80"/>
              <w:left w:type="dxa" w:w="120"/>
              <w:bottom w:type="dxa" w:w="80"/>
              <w:right w:type="dxa" w:w="120"/>
            </w:tcMar>
            <w:vAlign w:val="top"/>
          </w:tcPr>
          <w:p>
            <w:pPr>
              <w:spacing w:after="80"/>
            </w:pPr>
            <w:r>
              <w:rPr>
                <w:rFonts w:ascii="Calibri" w:cs="Calibri" w:eastAsia="Calibri" w:hAnsi="Calibri"/>
                <w:color w:val="1F2933"/>
                <w:sz w:val="20"/>
                <w:szCs w:val="20"/>
              </w:rPr>
              <w:t xml:space="preserve"/>
            </w:r>
          </w:p>
        </w:tc>
      </w:tr>
      <w:tr>
        <w:trPr>
          <w:cantSplit/>
          <w:trHeight w:val="700" w:hRule="atLeast"/>
        </w:trPr>
        <w:tc>
          <w:tcPr>
            <w:tcW w:type="dxa" w:w="3600"/>
            <w:tcBorders>
              <w:top w:val="single" w:color="C0C0C0" w:sz="4"/>
              <w:left w:val="single" w:color="C0C0C0" w:sz="4"/>
              <w:bottom w:val="single" w:color="C0C0C0" w:sz="4"/>
              <w:right w:val="single" w:color="C0C0C0" w:sz="4"/>
            </w:tcBorders>
            <w:shd w:fill="E9F6EC" w:color="auto" w:val="clear"/>
            <w:tcMar>
              <w:top w:type="dxa" w:w="80"/>
              <w:left w:type="dxa" w:w="120"/>
              <w:bottom w:type="dxa" w:w="80"/>
              <w:right w:type="dxa" w:w="120"/>
            </w:tcMar>
            <w:vAlign w:val="top"/>
          </w:tcPr>
          <w:p>
            <w:pPr>
              <w:spacing w:after="80"/>
            </w:pPr>
            <w:r>
              <w:rPr>
                <w:rFonts w:ascii="Calibri" w:cs="Calibri" w:eastAsia="Calibri" w:hAnsi="Calibri"/>
                <w:b/>
                <w:bCs/>
                <w:color w:val="000000"/>
                <w:sz w:val="19"/>
                <w:szCs w:val="19"/>
              </w:rPr>
              <w:t xml:space="preserve">Existing lenders and credit providers</w:t>
            </w:r>
          </w:p>
          <w:p>
            <w:pPr>
              <w:spacing w:after="0"/>
            </w:pPr>
            <w:r>
              <w:rPr>
                <w:rFonts w:ascii="Calibri" w:cs="Calibri" w:eastAsia="Calibri" w:hAnsi="Calibri"/>
                <w:i/>
                <w:iCs/>
                <w:color w:val="5A6270"/>
                <w:sz w:val="17"/>
                <w:szCs w:val="17"/>
              </w:rPr>
              <w:t xml:space="preserve">Names of institutions who can speak to payment history; indicate whether references are available</w:t>
            </w:r>
          </w:p>
        </w:tc>
        <w:tc>
          <w:tcPr>
            <w:tcW w:type="dxa" w:w="6480"/>
            <w:tcBorders>
              <w:top w:val="single" w:color="C0C0C0" w:sz="4"/>
              <w:left w:val="single" w:color="C0C0C0" w:sz="4"/>
              <w:bottom w:val="single" w:color="C0C0C0" w:sz="4"/>
              <w:right w:val="single" w:color="C0C0C0" w:sz="4"/>
            </w:tcBorders>
            <w:shd w:fill="FFFFFF" w:color="auto" w:val="clear"/>
            <w:tcMar>
              <w:top w:type="dxa" w:w="80"/>
              <w:left w:type="dxa" w:w="120"/>
              <w:bottom w:type="dxa" w:w="80"/>
              <w:right w:type="dxa" w:w="120"/>
            </w:tcMar>
            <w:vAlign w:val="top"/>
          </w:tcPr>
          <w:p>
            <w:pPr>
              <w:spacing w:after="80"/>
            </w:pPr>
            <w:r>
              <w:rPr>
                <w:rFonts w:ascii="Calibri" w:cs="Calibri" w:eastAsia="Calibri" w:hAnsi="Calibri"/>
                <w:color w:val="1F2933"/>
                <w:sz w:val="20"/>
                <w:szCs w:val="20"/>
              </w:rPr>
              <w:t xml:space="preserve"/>
            </w:r>
          </w:p>
        </w:tc>
      </w:tr>
    </w:tbl>
    <w:p>
      <w:pPr>
        <w:spacing w:after="120"/>
      </w:pPr>
      <w:r>
        <w:rPr>
          <w:rFonts w:ascii="Calibri" w:cs="Calibri" w:eastAsia="Calibri" w:hAnsi="Calibri"/>
          <w:color w:val="1F2933"/>
          <w:sz w:val="20"/>
          <w:szCs w:val="20"/>
        </w:rPr>
        <w:t xml:space="preserve"/>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none" w:color="FFFFFF" w:sz="0"/>
              <w:left w:val="single" w:color="000000" w:sz="24"/>
              <w:bottom w:val="none" w:color="FFFFFF" w:sz="0"/>
              <w:right w:val="none" w:color="FFFFFF" w:sz="0"/>
            </w:tcBorders>
            <w:shd w:fill="21A143" w:color="auto" w:val="clear"/>
            <w:tcMar>
              <w:top w:type="dxa" w:w="100"/>
              <w:left w:type="dxa" w:w="180"/>
              <w:bottom w:type="dxa" w:w="100"/>
              <w:right w:type="dxa" w:w="120"/>
            </w:tcMar>
          </w:tcPr>
          <w:p>
            <w:pPr>
              <w:spacing w:after="0"/>
            </w:pPr>
            <w:r>
              <w:rPr>
                <w:rFonts w:ascii="Calibri" w:cs="Calibri" w:eastAsia="Calibri" w:hAnsi="Calibri"/>
                <w:b/>
                <w:bCs/>
                <w:color w:val="E9F6EC"/>
                <w:spacing w:val="30"/>
                <w:sz w:val="17"/>
                <w:szCs w:val="17"/>
              </w:rPr>
              <w:t xml:space="preserve">SECTION 2   </w:t>
            </w:r>
            <w:r>
              <w:rPr>
                <w:rFonts w:ascii="Calibri" w:cs="Calibri" w:eastAsia="Calibri" w:hAnsi="Calibri"/>
                <w:b/>
                <w:bCs/>
                <w:color w:val="FFFFFF"/>
                <w:spacing w:val="20"/>
                <w:sz w:val="21"/>
                <w:szCs w:val="21"/>
              </w:rPr>
              <w:t xml:space="preserve">PAYMENT SECURITY &amp; CREDIT ENHANCEMENT</w:t>
            </w:r>
          </w:p>
        </w:tc>
      </w:tr>
    </w:tbl>
    <w:p>
      <w:pPr>
        <w:spacing w:after="120" w:before="100"/>
      </w:pPr>
      <w:r>
        <w:rPr>
          <w:rFonts w:ascii="Calibri" w:cs="Calibri" w:eastAsia="Calibri" w:hAnsi="Calibri"/>
          <w:i/>
          <w:iCs/>
          <w:color w:val="5A6270"/>
          <w:sz w:val="19"/>
          <w:szCs w:val="19"/>
        </w:rPr>
        <w:t xml:space="preserve">Identifies the security available to support hardware financing and protect against non-payment.</w:t>
      </w:r>
    </w:p>
    <w:p>
      <w:pPr>
        <w:keepNext/>
        <w:spacing w:after="100" w:before="140"/>
      </w:pPr>
      <w:r>
        <w:rPr>
          <w:rFonts w:ascii="Calibri" w:cs="Calibri" w:eastAsia="Calibri" w:hAnsi="Calibri"/>
          <w:b/>
          <w:bCs/>
          <w:color w:val="21A143"/>
          <w:sz w:val="20"/>
          <w:szCs w:val="20"/>
        </w:rPr>
        <w:t xml:space="preserve">Q2.  </w:t>
      </w:r>
      <w:r>
        <w:rPr>
          <w:rFonts w:ascii="Calibri" w:cs="Calibri" w:eastAsia="Calibri" w:hAnsi="Calibri"/>
          <w:b/>
          <w:bCs/>
          <w:color w:val="000000"/>
          <w:sz w:val="20"/>
          <w:szCs w:val="20"/>
        </w:rPr>
        <w:t xml:space="preserve">What form of security can you provide against the commitment?</w:t>
      </w:r>
    </w:p>
    <w:p>
      <w:pPr>
        <w:spacing w:after="60"/>
      </w:pPr>
      <w:r>
        <w:rPr>
          <w:rFonts w:ascii="Calibri" w:cs="Calibri" w:eastAsia="Calibri" w:hAnsi="Calibri"/>
          <w:i/>
          <w:iCs/>
          <w:color w:val="5A6270"/>
          <w:sz w:val="18"/>
          <w:szCs w:val="18"/>
        </w:rPr>
        <w:t xml:space="preserve">Select all that apply and provide detail where relevant.</w:t>
      </w:r>
    </w:p>
    <w:p>
      <w:pPr>
        <w:spacing w:after="100" w:before="60"/>
      </w:pPr>
      <w:r>
        <w:rPr>
          <w:rFonts w:ascii="Calibri" w:cs="Calibri" w:eastAsia="Calibri" w:hAnsi="Calibri"/>
          <w:b/>
          <w:bCs/>
          <w:color w:val="000000"/>
          <w:sz w:val="19"/>
          <w:szCs w:val="19"/>
        </w:rPr>
        <w:t xml:space="preserve">  </w:t>
      </w:r>
      <w:r>
        <w:rPr>
          <w:rFonts w:ascii="Calibri" w:cs="Calibri" w:eastAsia="Calibri" w:hAnsi="Calibri"/>
          <w:color w:val="1F2933"/>
          <w:sz w:val="19"/>
          <w:szCs w:val="19"/>
        </w:rPr>
        <w:t xml:space="preserve">☐ Prepayment</w:t>
      </w:r>
      <w:r>
        <w:rPr>
          <w:rFonts w:ascii="Calibri" w:cs="Calibri" w:eastAsia="Calibri" w:hAnsi="Calibri"/>
          <w:color w:val="1F2933"/>
          <w:sz w:val="20"/>
          <w:szCs w:val="20"/>
        </w:rPr>
        <w:t xml:space="preserve">     </w:t>
      </w:r>
      <w:r>
        <w:rPr>
          <w:rFonts w:ascii="Calibri" w:cs="Calibri" w:eastAsia="Calibri" w:hAnsi="Calibri"/>
          <w:color w:val="1F2933"/>
          <w:sz w:val="19"/>
          <w:szCs w:val="19"/>
        </w:rPr>
        <w:t xml:space="preserve">☐ Letter of credit</w:t>
      </w:r>
      <w:r>
        <w:rPr>
          <w:rFonts w:ascii="Calibri" w:cs="Calibri" w:eastAsia="Calibri" w:hAnsi="Calibri"/>
          <w:color w:val="1F2933"/>
          <w:sz w:val="20"/>
          <w:szCs w:val="20"/>
        </w:rPr>
        <w:t xml:space="preserve">     </w:t>
      </w:r>
      <w:r>
        <w:rPr>
          <w:rFonts w:ascii="Calibri" w:cs="Calibri" w:eastAsia="Calibri" w:hAnsi="Calibri"/>
          <w:color w:val="1F2933"/>
          <w:sz w:val="19"/>
          <w:szCs w:val="19"/>
        </w:rPr>
        <w:t xml:space="preserve">☐ Parent guarantee</w:t>
      </w:r>
      <w:r>
        <w:rPr>
          <w:rFonts w:ascii="Calibri" w:cs="Calibri" w:eastAsia="Calibri" w:hAnsi="Calibri"/>
          <w:color w:val="1F2933"/>
          <w:sz w:val="20"/>
          <w:szCs w:val="20"/>
        </w:rPr>
        <w:t xml:space="preserve">     </w:t>
      </w:r>
      <w:r>
        <w:rPr>
          <w:rFonts w:ascii="Calibri" w:cs="Calibri" w:eastAsia="Calibri" w:hAnsi="Calibri"/>
          <w:color w:val="1F2933"/>
          <w:sz w:val="19"/>
          <w:szCs w:val="19"/>
        </w:rPr>
        <w:t xml:space="preserve">☐ Investor guarantee</w:t>
      </w:r>
      <w:r>
        <w:rPr>
          <w:rFonts w:ascii="Calibri" w:cs="Calibri" w:eastAsia="Calibri" w:hAnsi="Calibri"/>
          <w:color w:val="1F2933"/>
          <w:sz w:val="20"/>
          <w:szCs w:val="20"/>
        </w:rPr>
        <w:t xml:space="preserve">     </w:t>
      </w:r>
      <w:r>
        <w:rPr>
          <w:rFonts w:ascii="Calibri" w:cs="Calibri" w:eastAsia="Calibri" w:hAnsi="Calibri"/>
          <w:color w:val="1F2933"/>
          <w:sz w:val="19"/>
          <w:szCs w:val="19"/>
        </w:rPr>
        <w:t xml:space="preserve">☐ Escrowed reserve</w:t>
      </w:r>
      <w:r>
        <w:rPr>
          <w:rFonts w:ascii="Calibri" w:cs="Calibri" w:eastAsia="Calibri" w:hAnsi="Calibri"/>
          <w:color w:val="1F2933"/>
          <w:sz w:val="20"/>
          <w:szCs w:val="20"/>
        </w:rPr>
        <w:t xml:space="preserve">     </w:t>
      </w:r>
      <w:r>
        <w:rPr>
          <w:rFonts w:ascii="Calibri" w:cs="Calibri" w:eastAsia="Calibri" w:hAnsi="Calibri"/>
          <w:color w:val="1F2933"/>
          <w:sz w:val="19"/>
          <w:szCs w:val="19"/>
        </w:rPr>
        <w:t xml:space="preserve">☐ Other</w:t>
      </w:r>
      <w:r>
        <w:rPr>
          <w:rFonts w:ascii="Calibri" w:cs="Calibri" w:eastAsia="Calibri" w:hAnsi="Calibri"/>
          <w:color w:val="1F2933"/>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cantSplit/>
          <w:trHeight w:val="600" w:hRule="atLeast"/>
        </w:trPr>
        <w:tc>
          <w:tcPr>
            <w:tcW w:type="dxa" w:w="3600"/>
            <w:tcBorders>
              <w:top w:val="single" w:color="C0C0C0" w:sz="4"/>
              <w:left w:val="single" w:color="C0C0C0" w:sz="4"/>
              <w:bottom w:val="single" w:color="C0C0C0" w:sz="4"/>
              <w:right w:val="single" w:color="C0C0C0" w:sz="4"/>
            </w:tcBorders>
            <w:shd w:fill="E9F6EC" w:color="auto" w:val="clear"/>
            <w:tcMar>
              <w:top w:type="dxa" w:w="80"/>
              <w:left w:type="dxa" w:w="120"/>
              <w:bottom w:type="dxa" w:w="80"/>
              <w:right w:type="dxa" w:w="120"/>
            </w:tcMar>
            <w:vAlign w:val="top"/>
          </w:tcPr>
          <w:p>
            <w:pPr>
              <w:spacing w:after="80"/>
            </w:pPr>
            <w:r>
              <w:rPr>
                <w:rFonts w:ascii="Calibri" w:cs="Calibri" w:eastAsia="Calibri" w:hAnsi="Calibri"/>
                <w:b/>
                <w:bCs/>
                <w:color w:val="000000"/>
                <w:sz w:val="19"/>
                <w:szCs w:val="19"/>
              </w:rPr>
              <w:t xml:space="preserve">Prepayment</w:t>
            </w:r>
          </w:p>
          <w:p>
            <w:pPr>
              <w:spacing w:after="0"/>
            </w:pPr>
            <w:r>
              <w:rPr>
                <w:rFonts w:ascii="Calibri" w:cs="Calibri" w:eastAsia="Calibri" w:hAnsi="Calibri"/>
                <w:i/>
                <w:iCs/>
                <w:color w:val="5A6270"/>
                <w:sz w:val="17"/>
                <w:szCs w:val="17"/>
              </w:rPr>
              <w:t xml:space="preserve">Percentage of contract value and timing (e.g. 25% at signing, balance quarterly)</w:t>
            </w:r>
          </w:p>
        </w:tc>
        <w:tc>
          <w:tcPr>
            <w:tcW w:type="dxa" w:w="6480"/>
            <w:tcBorders>
              <w:top w:val="single" w:color="C0C0C0" w:sz="4"/>
              <w:left w:val="single" w:color="C0C0C0" w:sz="4"/>
              <w:bottom w:val="single" w:color="C0C0C0" w:sz="4"/>
              <w:right w:val="single" w:color="C0C0C0" w:sz="4"/>
            </w:tcBorders>
            <w:shd w:fill="FFFFFF" w:color="auto" w:val="clear"/>
            <w:tcMar>
              <w:top w:type="dxa" w:w="80"/>
              <w:left w:type="dxa" w:w="120"/>
              <w:bottom w:type="dxa" w:w="80"/>
              <w:right w:type="dxa" w:w="120"/>
            </w:tcMar>
            <w:vAlign w:val="top"/>
          </w:tcPr>
          <w:p>
            <w:pPr>
              <w:spacing w:after="80"/>
            </w:pPr>
            <w:r>
              <w:rPr>
                <w:rFonts w:ascii="Calibri" w:cs="Calibri" w:eastAsia="Calibri" w:hAnsi="Calibri"/>
                <w:color w:val="1F2933"/>
                <w:sz w:val="20"/>
                <w:szCs w:val="20"/>
              </w:rPr>
              <w:t xml:space="preserve"/>
            </w:r>
          </w:p>
        </w:tc>
      </w:tr>
      <w:tr>
        <w:trPr>
          <w:cantSplit/>
          <w:trHeight w:val="600" w:hRule="atLeast"/>
        </w:trPr>
        <w:tc>
          <w:tcPr>
            <w:tcW w:type="dxa" w:w="3600"/>
            <w:tcBorders>
              <w:top w:val="single" w:color="C0C0C0" w:sz="4"/>
              <w:left w:val="single" w:color="C0C0C0" w:sz="4"/>
              <w:bottom w:val="single" w:color="C0C0C0" w:sz="4"/>
              <w:right w:val="single" w:color="C0C0C0" w:sz="4"/>
            </w:tcBorders>
            <w:shd w:fill="E9F6EC" w:color="auto" w:val="clear"/>
            <w:tcMar>
              <w:top w:type="dxa" w:w="80"/>
              <w:left w:type="dxa" w:w="120"/>
              <w:bottom w:type="dxa" w:w="80"/>
              <w:right w:type="dxa" w:w="120"/>
            </w:tcMar>
            <w:vAlign w:val="top"/>
          </w:tcPr>
          <w:p>
            <w:pPr>
              <w:spacing w:after="80"/>
            </w:pPr>
            <w:r>
              <w:rPr>
                <w:rFonts w:ascii="Calibri" w:cs="Calibri" w:eastAsia="Calibri" w:hAnsi="Calibri"/>
                <w:b/>
                <w:bCs/>
                <w:color w:val="000000"/>
                <w:sz w:val="19"/>
                <w:szCs w:val="19"/>
              </w:rPr>
              <w:t xml:space="preserve">Letter of credit</w:t>
            </w:r>
          </w:p>
          <w:p>
            <w:pPr>
              <w:spacing w:after="0"/>
            </w:pPr>
            <w:r>
              <w:rPr>
                <w:rFonts w:ascii="Calibri" w:cs="Calibri" w:eastAsia="Calibri" w:hAnsi="Calibri"/>
                <w:i/>
                <w:iCs/>
                <w:color w:val="5A6270"/>
                <w:sz w:val="17"/>
                <w:szCs w:val="17"/>
              </w:rPr>
              <w:t xml:space="preserve">Issuing bank, rating, amount, tenor</w:t>
            </w:r>
          </w:p>
        </w:tc>
        <w:tc>
          <w:tcPr>
            <w:tcW w:type="dxa" w:w="6480"/>
            <w:tcBorders>
              <w:top w:val="single" w:color="C0C0C0" w:sz="4"/>
              <w:left w:val="single" w:color="C0C0C0" w:sz="4"/>
              <w:bottom w:val="single" w:color="C0C0C0" w:sz="4"/>
              <w:right w:val="single" w:color="C0C0C0" w:sz="4"/>
            </w:tcBorders>
            <w:shd w:fill="FFFFFF" w:color="auto" w:val="clear"/>
            <w:tcMar>
              <w:top w:type="dxa" w:w="80"/>
              <w:left w:type="dxa" w:w="120"/>
              <w:bottom w:type="dxa" w:w="80"/>
              <w:right w:type="dxa" w:w="120"/>
            </w:tcMar>
            <w:vAlign w:val="top"/>
          </w:tcPr>
          <w:p>
            <w:pPr>
              <w:spacing w:after="80"/>
            </w:pPr>
            <w:r>
              <w:rPr>
                <w:rFonts w:ascii="Calibri" w:cs="Calibri" w:eastAsia="Calibri" w:hAnsi="Calibri"/>
                <w:color w:val="1F2933"/>
                <w:sz w:val="20"/>
                <w:szCs w:val="20"/>
              </w:rPr>
              <w:t xml:space="preserve"/>
            </w:r>
          </w:p>
        </w:tc>
      </w:tr>
      <w:tr>
        <w:trPr>
          <w:cantSplit/>
          <w:trHeight w:val="600" w:hRule="atLeast"/>
        </w:trPr>
        <w:tc>
          <w:tcPr>
            <w:tcW w:type="dxa" w:w="3600"/>
            <w:tcBorders>
              <w:top w:val="single" w:color="C0C0C0" w:sz="4"/>
              <w:left w:val="single" w:color="C0C0C0" w:sz="4"/>
              <w:bottom w:val="single" w:color="C0C0C0" w:sz="4"/>
              <w:right w:val="single" w:color="C0C0C0" w:sz="4"/>
            </w:tcBorders>
            <w:shd w:fill="E9F6EC" w:color="auto" w:val="clear"/>
            <w:tcMar>
              <w:top w:type="dxa" w:w="80"/>
              <w:left w:type="dxa" w:w="120"/>
              <w:bottom w:type="dxa" w:w="80"/>
              <w:right w:type="dxa" w:w="120"/>
            </w:tcMar>
            <w:vAlign w:val="top"/>
          </w:tcPr>
          <w:p>
            <w:pPr>
              <w:spacing w:after="80"/>
            </w:pPr>
            <w:r>
              <w:rPr>
                <w:rFonts w:ascii="Calibri" w:cs="Calibri" w:eastAsia="Calibri" w:hAnsi="Calibri"/>
                <w:b/>
                <w:bCs/>
                <w:color w:val="000000"/>
                <w:sz w:val="19"/>
                <w:szCs w:val="19"/>
              </w:rPr>
              <w:t xml:space="preserve">Parent or investor guarantee</w:t>
            </w:r>
          </w:p>
          <w:p>
            <w:pPr>
              <w:spacing w:after="0"/>
            </w:pPr>
            <w:r>
              <w:rPr>
                <w:rFonts w:ascii="Calibri" w:cs="Calibri" w:eastAsia="Calibri" w:hAnsi="Calibri"/>
                <w:i/>
                <w:iCs/>
                <w:color w:val="5A6270"/>
                <w:sz w:val="17"/>
                <w:szCs w:val="17"/>
              </w:rPr>
              <w:t xml:space="preserve">Guarantor entity, relationship, guarantor financials available?</w:t>
            </w:r>
          </w:p>
        </w:tc>
        <w:tc>
          <w:tcPr>
            <w:tcW w:type="dxa" w:w="6480"/>
            <w:tcBorders>
              <w:top w:val="single" w:color="C0C0C0" w:sz="4"/>
              <w:left w:val="single" w:color="C0C0C0" w:sz="4"/>
              <w:bottom w:val="single" w:color="C0C0C0" w:sz="4"/>
              <w:right w:val="single" w:color="C0C0C0" w:sz="4"/>
            </w:tcBorders>
            <w:shd w:fill="FFFFFF" w:color="auto" w:val="clear"/>
            <w:tcMar>
              <w:top w:type="dxa" w:w="80"/>
              <w:left w:type="dxa" w:w="120"/>
              <w:bottom w:type="dxa" w:w="80"/>
              <w:right w:type="dxa" w:w="120"/>
            </w:tcMar>
            <w:vAlign w:val="top"/>
          </w:tcPr>
          <w:p>
            <w:pPr>
              <w:spacing w:after="80"/>
            </w:pPr>
            <w:r>
              <w:rPr>
                <w:rFonts w:ascii="Calibri" w:cs="Calibri" w:eastAsia="Calibri" w:hAnsi="Calibri"/>
                <w:color w:val="1F2933"/>
                <w:sz w:val="20"/>
                <w:szCs w:val="20"/>
              </w:rPr>
              <w:t xml:space="preserve"/>
            </w:r>
          </w:p>
        </w:tc>
      </w:tr>
      <w:tr>
        <w:trPr>
          <w:cantSplit/>
          <w:trHeight w:val="500" w:hRule="atLeast"/>
        </w:trPr>
        <w:tc>
          <w:tcPr>
            <w:tcW w:type="dxa" w:w="3600"/>
            <w:tcBorders>
              <w:top w:val="single" w:color="C0C0C0" w:sz="4"/>
              <w:left w:val="single" w:color="C0C0C0" w:sz="4"/>
              <w:bottom w:val="single" w:color="C0C0C0" w:sz="4"/>
              <w:right w:val="single" w:color="C0C0C0" w:sz="4"/>
            </w:tcBorders>
            <w:shd w:fill="E9F6EC" w:color="auto" w:val="clear"/>
            <w:tcMar>
              <w:top w:type="dxa" w:w="80"/>
              <w:left w:type="dxa" w:w="120"/>
              <w:bottom w:type="dxa" w:w="80"/>
              <w:right w:type="dxa" w:w="120"/>
            </w:tcMar>
            <w:vAlign w:val="top"/>
          </w:tcPr>
          <w:p>
            <w:pPr>
              <w:spacing w:after="80"/>
            </w:pPr>
            <w:r>
              <w:rPr>
                <w:rFonts w:ascii="Calibri" w:cs="Calibri" w:eastAsia="Calibri" w:hAnsi="Calibri"/>
                <w:b/>
                <w:bCs/>
                <w:color w:val="000000"/>
                <w:sz w:val="19"/>
                <w:szCs w:val="19"/>
              </w:rPr>
              <w:t xml:space="preserve">Escrowed reserve</w:t>
            </w:r>
          </w:p>
          <w:p>
            <w:pPr>
              <w:spacing w:after="0"/>
            </w:pPr>
            <w:r>
              <w:rPr>
                <w:rFonts w:ascii="Calibri" w:cs="Calibri" w:eastAsia="Calibri" w:hAnsi="Calibri"/>
                <w:i/>
                <w:iCs/>
                <w:color w:val="5A6270"/>
                <w:sz w:val="17"/>
                <w:szCs w:val="17"/>
              </w:rPr>
              <w:t xml:space="preserve">Number of months of fees to be held</w:t>
            </w:r>
          </w:p>
        </w:tc>
        <w:tc>
          <w:tcPr>
            <w:tcW w:type="dxa" w:w="6480"/>
            <w:tcBorders>
              <w:top w:val="single" w:color="C0C0C0" w:sz="4"/>
              <w:left w:val="single" w:color="C0C0C0" w:sz="4"/>
              <w:bottom w:val="single" w:color="C0C0C0" w:sz="4"/>
              <w:right w:val="single" w:color="C0C0C0" w:sz="4"/>
            </w:tcBorders>
            <w:shd w:fill="FFFFFF" w:color="auto" w:val="clear"/>
            <w:tcMar>
              <w:top w:type="dxa" w:w="80"/>
              <w:left w:type="dxa" w:w="120"/>
              <w:bottom w:type="dxa" w:w="80"/>
              <w:right w:type="dxa" w:w="120"/>
            </w:tcMar>
            <w:vAlign w:val="top"/>
          </w:tcPr>
          <w:p>
            <w:pPr>
              <w:spacing w:after="80"/>
            </w:pPr>
            <w:r>
              <w:rPr>
                <w:rFonts w:ascii="Calibri" w:cs="Calibri" w:eastAsia="Calibri" w:hAnsi="Calibri"/>
                <w:color w:val="1F2933"/>
                <w:sz w:val="20"/>
                <w:szCs w:val="20"/>
              </w:rPr>
              <w:t xml:space="preserve"/>
            </w:r>
          </w:p>
        </w:tc>
      </w:tr>
      <w:tr>
        <w:trPr>
          <w:cantSplit/>
          <w:trHeight w:val="700" w:hRule="atLeast"/>
        </w:trPr>
        <w:tc>
          <w:tcPr>
            <w:tcW w:type="dxa" w:w="3600"/>
            <w:tcBorders>
              <w:top w:val="single" w:color="C0C0C0" w:sz="4"/>
              <w:left w:val="single" w:color="C0C0C0" w:sz="4"/>
              <w:bottom w:val="single" w:color="C0C0C0" w:sz="4"/>
              <w:right w:val="single" w:color="C0C0C0" w:sz="4"/>
            </w:tcBorders>
            <w:shd w:fill="E9F6EC" w:color="auto" w:val="clear"/>
            <w:tcMar>
              <w:top w:type="dxa" w:w="80"/>
              <w:left w:type="dxa" w:w="120"/>
              <w:bottom w:type="dxa" w:w="80"/>
              <w:right w:type="dxa" w:w="120"/>
            </w:tcMar>
            <w:vAlign w:val="top"/>
          </w:tcPr>
          <w:p>
            <w:pPr>
              <w:spacing w:after="80"/>
            </w:pPr>
            <w:r>
              <w:rPr>
                <w:rFonts w:ascii="Calibri" w:cs="Calibri" w:eastAsia="Calibri" w:hAnsi="Calibri"/>
                <w:b/>
                <w:bCs/>
                <w:color w:val="000000"/>
                <w:sz w:val="19"/>
                <w:szCs w:val="19"/>
              </w:rPr>
              <w:t xml:space="preserve">Security not offered — rationale</w:t>
            </w:r>
          </w:p>
          <w:p>
            <w:pPr>
              <w:spacing w:after="0"/>
            </w:pPr>
            <w:r>
              <w:rPr>
                <w:rFonts w:ascii="Calibri" w:cs="Calibri" w:eastAsia="Calibri" w:hAnsi="Calibri"/>
                <w:i/>
                <w:iCs/>
                <w:color w:val="5A6270"/>
                <w:sz w:val="17"/>
                <w:szCs w:val="17"/>
              </w:rPr>
              <w:t xml:space="preserve">If no security is available, explain why and what alternative comfort you can provide</w:t>
            </w:r>
          </w:p>
        </w:tc>
        <w:tc>
          <w:tcPr>
            <w:tcW w:type="dxa" w:w="6480"/>
            <w:tcBorders>
              <w:top w:val="single" w:color="C0C0C0" w:sz="4"/>
              <w:left w:val="single" w:color="C0C0C0" w:sz="4"/>
              <w:bottom w:val="single" w:color="C0C0C0" w:sz="4"/>
              <w:right w:val="single" w:color="C0C0C0" w:sz="4"/>
            </w:tcBorders>
            <w:shd w:fill="FFFFFF" w:color="auto" w:val="clear"/>
            <w:tcMar>
              <w:top w:type="dxa" w:w="80"/>
              <w:left w:type="dxa" w:w="120"/>
              <w:bottom w:type="dxa" w:w="80"/>
              <w:right w:type="dxa" w:w="120"/>
            </w:tcMar>
            <w:vAlign w:val="top"/>
          </w:tcPr>
          <w:p>
            <w:pPr>
              <w:spacing w:after="80"/>
            </w:pPr>
            <w:r>
              <w:rPr>
                <w:rFonts w:ascii="Calibri" w:cs="Calibri" w:eastAsia="Calibri" w:hAnsi="Calibri"/>
                <w:color w:val="1F2933"/>
                <w:sz w:val="20"/>
                <w:szCs w:val="20"/>
              </w:rPr>
              <w:t xml:space="preserve"/>
            </w:r>
          </w:p>
        </w:tc>
      </w:tr>
    </w:tbl>
    <w:p>
      <w:pPr>
        <w:spacing w:after="120"/>
      </w:pPr>
      <w:r>
        <w:rPr>
          <w:rFonts w:ascii="Calibri" w:cs="Calibri" w:eastAsia="Calibri" w:hAnsi="Calibri"/>
          <w:color w:val="1F2933"/>
          <w:sz w:val="20"/>
          <w:szCs w:val="20"/>
        </w:rPr>
        <w:t xml:space="preserve"/>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none" w:color="FFFFFF" w:sz="0"/>
              <w:left w:val="single" w:color="000000" w:sz="24"/>
              <w:bottom w:val="none" w:color="FFFFFF" w:sz="0"/>
              <w:right w:val="none" w:color="FFFFFF" w:sz="0"/>
            </w:tcBorders>
            <w:shd w:fill="21A143" w:color="auto" w:val="clear"/>
            <w:tcMar>
              <w:top w:type="dxa" w:w="100"/>
              <w:left w:type="dxa" w:w="180"/>
              <w:bottom w:type="dxa" w:w="100"/>
              <w:right w:type="dxa" w:w="120"/>
            </w:tcMar>
          </w:tcPr>
          <w:p>
            <w:pPr>
              <w:spacing w:after="0"/>
            </w:pPr>
            <w:r>
              <w:rPr>
                <w:rFonts w:ascii="Calibri" w:cs="Calibri" w:eastAsia="Calibri" w:hAnsi="Calibri"/>
                <w:b/>
                <w:bCs/>
                <w:color w:val="E9F6EC"/>
                <w:spacing w:val="30"/>
                <w:sz w:val="17"/>
                <w:szCs w:val="17"/>
              </w:rPr>
              <w:t xml:space="preserve">SECTION 3   </w:t>
            </w:r>
            <w:r>
              <w:rPr>
                <w:rFonts w:ascii="Calibri" w:cs="Calibri" w:eastAsia="Calibri" w:hAnsi="Calibri"/>
                <w:b/>
                <w:bCs/>
                <w:color w:val="FFFFFF"/>
                <w:spacing w:val="20"/>
                <w:sz w:val="21"/>
                <w:szCs w:val="21"/>
              </w:rPr>
              <w:t xml:space="preserve">REVENUE QUALITY BEHIND THE DEMAND</w:t>
            </w:r>
          </w:p>
        </w:tc>
      </w:tr>
    </w:tbl>
    <w:p>
      <w:pPr>
        <w:spacing w:after="120" w:before="100"/>
      </w:pPr>
      <w:r>
        <w:rPr>
          <w:rFonts w:ascii="Calibri" w:cs="Calibri" w:eastAsia="Calibri" w:hAnsi="Calibri"/>
          <w:i/>
          <w:iCs/>
          <w:color w:val="5A6270"/>
          <w:sz w:val="19"/>
          <w:szCs w:val="19"/>
        </w:rPr>
        <w:t xml:space="preserve">A GPUaaS offtaker is only as creditworthy as the end-customer demand it is serving.</w:t>
      </w:r>
    </w:p>
    <w:p>
      <w:pPr>
        <w:keepNext/>
        <w:spacing w:after="100" w:before="140"/>
      </w:pPr>
      <w:r>
        <w:rPr>
          <w:rFonts w:ascii="Calibri" w:cs="Calibri" w:eastAsia="Calibri" w:hAnsi="Calibri"/>
          <w:b/>
          <w:bCs/>
          <w:color w:val="21A143"/>
          <w:sz w:val="20"/>
          <w:szCs w:val="20"/>
        </w:rPr>
        <w:t xml:space="preserve">Q3.  </w:t>
      </w:r>
      <w:r>
        <w:rPr>
          <w:rFonts w:ascii="Calibri" w:cs="Calibri" w:eastAsia="Calibri" w:hAnsi="Calibri"/>
          <w:b/>
          <w:bCs/>
          <w:color w:val="000000"/>
          <w:sz w:val="20"/>
          <w:szCs w:val="20"/>
        </w:rPr>
        <w:t xml:space="preserve">What end-customer contracts or committed revenue back your need for this capacity? Are those contracts take-or-pay, what are their tenors, and how concentrated is your customer base?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cantSplit/>
        </w:trPr>
        <w:tc>
          <w:tcPr>
            <w:tcW w:type="dxa" w:w="3600"/>
            <w:tcBorders>
              <w:top w:val="single" w:color="C0C0C0" w:sz="4"/>
              <w:left w:val="single" w:color="C0C0C0" w:sz="4"/>
              <w:bottom w:val="single" w:color="C0C0C0" w:sz="4"/>
              <w:right w:val="single" w:color="C0C0C0" w:sz="4"/>
            </w:tcBorders>
            <w:shd w:fill="E9F6EC" w:color="auto" w:val="clear"/>
            <w:tcMar>
              <w:top w:type="dxa" w:w="80"/>
              <w:left w:type="dxa" w:w="120"/>
              <w:bottom w:type="dxa" w:w="80"/>
              <w:right w:type="dxa" w:w="120"/>
            </w:tcMar>
            <w:vAlign w:val="top"/>
          </w:tcPr>
          <w:p>
            <w:pPr>
              <w:spacing w:after="80"/>
            </w:pPr>
            <w:r>
              <w:rPr>
                <w:rFonts w:ascii="Calibri" w:cs="Calibri" w:eastAsia="Calibri" w:hAnsi="Calibri"/>
                <w:b/>
                <w:bCs/>
                <w:color w:val="000000"/>
                <w:sz w:val="19"/>
                <w:szCs w:val="19"/>
              </w:rPr>
              <w:t xml:space="preserve">Committed customer revenue (USD)</w:t>
            </w:r>
          </w:p>
          <w:p>
            <w:pPr>
              <w:spacing w:after="0"/>
            </w:pPr>
            <w:r>
              <w:rPr>
                <w:rFonts w:ascii="Calibri" w:cs="Calibri" w:eastAsia="Calibri" w:hAnsi="Calibri"/>
                <w:i/>
                <w:iCs/>
                <w:color w:val="5A6270"/>
                <w:sz w:val="17"/>
                <w:szCs w:val="17"/>
              </w:rPr>
              <w:t xml:space="preserve">Total contracted value supporting this capacity</w:t>
            </w:r>
          </w:p>
        </w:tc>
        <w:tc>
          <w:tcPr>
            <w:tcW w:type="dxa" w:w="6480"/>
            <w:tcBorders>
              <w:top w:val="single" w:color="C0C0C0" w:sz="4"/>
              <w:left w:val="single" w:color="C0C0C0" w:sz="4"/>
              <w:bottom w:val="single" w:color="C0C0C0" w:sz="4"/>
              <w:right w:val="single" w:color="C0C0C0" w:sz="4"/>
            </w:tcBorders>
            <w:shd w:fill="FFFFFF" w:color="auto" w:val="clear"/>
            <w:tcMar>
              <w:top w:type="dxa" w:w="80"/>
              <w:left w:type="dxa" w:w="120"/>
              <w:bottom w:type="dxa" w:w="80"/>
              <w:right w:type="dxa" w:w="120"/>
            </w:tcMar>
            <w:vAlign w:val="top"/>
          </w:tcPr>
          <w:p>
            <w:pPr>
              <w:spacing w:after="80"/>
            </w:pPr>
            <w:r>
              <w:rPr>
                <w:rFonts w:ascii="Calibri" w:cs="Calibri" w:eastAsia="Calibri" w:hAnsi="Calibri"/>
                <w:color w:val="1F2933"/>
                <w:sz w:val="20"/>
                <w:szCs w:val="20"/>
              </w:rPr>
              <w:t xml:space="preserve"/>
            </w:r>
          </w:p>
        </w:tc>
      </w:tr>
      <w:tr>
        <w:trPr>
          <w:cantSplit/>
        </w:trPr>
        <w:tc>
          <w:tcPr>
            <w:tcW w:type="dxa" w:w="3600"/>
            <w:tcBorders>
              <w:top w:val="single" w:color="C0C0C0" w:sz="4"/>
              <w:left w:val="single" w:color="C0C0C0" w:sz="4"/>
              <w:bottom w:val="single" w:color="C0C0C0" w:sz="4"/>
              <w:right w:val="single" w:color="C0C0C0" w:sz="4"/>
            </w:tcBorders>
            <w:shd w:fill="E9F6EC" w:color="auto" w:val="clear"/>
            <w:tcMar>
              <w:top w:type="dxa" w:w="80"/>
              <w:left w:type="dxa" w:w="120"/>
              <w:bottom w:type="dxa" w:w="80"/>
              <w:right w:type="dxa" w:w="120"/>
            </w:tcMar>
            <w:vAlign w:val="top"/>
          </w:tcPr>
          <w:p>
            <w:pPr>
              <w:spacing w:after="80"/>
            </w:pPr>
            <w:r>
              <w:rPr>
                <w:rFonts w:ascii="Calibri" w:cs="Calibri" w:eastAsia="Calibri" w:hAnsi="Calibri"/>
                <w:b/>
                <w:bCs/>
                <w:color w:val="000000"/>
                <w:sz w:val="19"/>
                <w:szCs w:val="19"/>
              </w:rPr>
              <w:t xml:space="preserve">Number of end-customer contracts</w:t>
            </w:r>
          </w:p>
        </w:tc>
        <w:tc>
          <w:tcPr>
            <w:tcW w:type="dxa" w:w="6480"/>
            <w:tcBorders>
              <w:top w:val="single" w:color="C0C0C0" w:sz="4"/>
              <w:left w:val="single" w:color="C0C0C0" w:sz="4"/>
              <w:bottom w:val="single" w:color="C0C0C0" w:sz="4"/>
              <w:right w:val="single" w:color="C0C0C0" w:sz="4"/>
            </w:tcBorders>
            <w:shd w:fill="FFFFFF" w:color="auto" w:val="clear"/>
            <w:tcMar>
              <w:top w:type="dxa" w:w="80"/>
              <w:left w:type="dxa" w:w="120"/>
              <w:bottom w:type="dxa" w:w="80"/>
              <w:right w:type="dxa" w:w="120"/>
            </w:tcMar>
            <w:vAlign w:val="top"/>
          </w:tcPr>
          <w:p>
            <w:pPr>
              <w:spacing w:after="80"/>
            </w:pPr>
            <w:r>
              <w:rPr>
                <w:rFonts w:ascii="Calibri" w:cs="Calibri" w:eastAsia="Calibri" w:hAnsi="Calibri"/>
                <w:color w:val="1F2933"/>
                <w:sz w:val="20"/>
                <w:szCs w:val="20"/>
              </w:rPr>
              <w:t xml:space="preserve"/>
            </w:r>
          </w:p>
        </w:tc>
      </w:tr>
      <w:tr>
        <w:trPr>
          <w:cantSplit/>
          <w:trHeight w:val="600" w:hRule="atLeast"/>
        </w:trPr>
        <w:tc>
          <w:tcPr>
            <w:tcW w:type="dxa" w:w="3600"/>
            <w:tcBorders>
              <w:top w:val="single" w:color="C0C0C0" w:sz="4"/>
              <w:left w:val="single" w:color="C0C0C0" w:sz="4"/>
              <w:bottom w:val="single" w:color="C0C0C0" w:sz="4"/>
              <w:right w:val="single" w:color="C0C0C0" w:sz="4"/>
            </w:tcBorders>
            <w:shd w:fill="E9F6EC" w:color="auto" w:val="clear"/>
            <w:tcMar>
              <w:top w:type="dxa" w:w="80"/>
              <w:left w:type="dxa" w:w="120"/>
              <w:bottom w:type="dxa" w:w="80"/>
              <w:right w:type="dxa" w:w="120"/>
            </w:tcMar>
            <w:vAlign w:val="top"/>
          </w:tcPr>
          <w:p>
            <w:pPr>
              <w:spacing w:after="80"/>
            </w:pPr>
            <w:r>
              <w:rPr>
                <w:rFonts w:ascii="Calibri" w:cs="Calibri" w:eastAsia="Calibri" w:hAnsi="Calibri"/>
                <w:b/>
                <w:bCs/>
                <w:color w:val="000000"/>
                <w:sz w:val="19"/>
                <w:szCs w:val="19"/>
              </w:rPr>
              <w:t xml:space="preserve">Contract structure</w:t>
            </w:r>
          </w:p>
          <w:p>
            <w:pPr>
              <w:spacing w:after="0"/>
            </w:pPr>
            <w:r>
              <w:rPr>
                <w:rFonts w:ascii="Calibri" w:cs="Calibri" w:eastAsia="Calibri" w:hAnsi="Calibri"/>
                <w:i/>
                <w:iCs/>
                <w:color w:val="5A6270"/>
                <w:sz w:val="17"/>
                <w:szCs w:val="17"/>
              </w:rPr>
              <w:t xml:space="preserve">Take-or-pay, minimum commit, usage-based, or mix — with approximate split</w:t>
            </w:r>
          </w:p>
        </w:tc>
        <w:tc>
          <w:tcPr>
            <w:tcW w:type="dxa" w:w="6480"/>
            <w:tcBorders>
              <w:top w:val="single" w:color="C0C0C0" w:sz="4"/>
              <w:left w:val="single" w:color="C0C0C0" w:sz="4"/>
              <w:bottom w:val="single" w:color="C0C0C0" w:sz="4"/>
              <w:right w:val="single" w:color="C0C0C0" w:sz="4"/>
            </w:tcBorders>
            <w:shd w:fill="FFFFFF" w:color="auto" w:val="clear"/>
            <w:tcMar>
              <w:top w:type="dxa" w:w="80"/>
              <w:left w:type="dxa" w:w="120"/>
              <w:bottom w:type="dxa" w:w="80"/>
              <w:right w:type="dxa" w:w="120"/>
            </w:tcMar>
            <w:vAlign w:val="top"/>
          </w:tcPr>
          <w:p>
            <w:pPr>
              <w:spacing w:after="80"/>
            </w:pPr>
            <w:r>
              <w:rPr>
                <w:rFonts w:ascii="Calibri" w:cs="Calibri" w:eastAsia="Calibri" w:hAnsi="Calibri"/>
                <w:color w:val="1F2933"/>
                <w:sz w:val="20"/>
                <w:szCs w:val="20"/>
              </w:rPr>
              <w:t xml:space="preserve"/>
            </w:r>
          </w:p>
        </w:tc>
      </w:tr>
      <w:tr>
        <w:trPr>
          <w:cantSplit/>
        </w:trPr>
        <w:tc>
          <w:tcPr>
            <w:tcW w:type="dxa" w:w="3600"/>
            <w:tcBorders>
              <w:top w:val="single" w:color="C0C0C0" w:sz="4"/>
              <w:left w:val="single" w:color="C0C0C0" w:sz="4"/>
              <w:bottom w:val="single" w:color="C0C0C0" w:sz="4"/>
              <w:right w:val="single" w:color="C0C0C0" w:sz="4"/>
            </w:tcBorders>
            <w:shd w:fill="E9F6EC" w:color="auto" w:val="clear"/>
            <w:tcMar>
              <w:top w:type="dxa" w:w="80"/>
              <w:left w:type="dxa" w:w="120"/>
              <w:bottom w:type="dxa" w:w="80"/>
              <w:right w:type="dxa" w:w="120"/>
            </w:tcMar>
            <w:vAlign w:val="top"/>
          </w:tcPr>
          <w:p>
            <w:pPr>
              <w:spacing w:after="80"/>
            </w:pPr>
            <w:r>
              <w:rPr>
                <w:rFonts w:ascii="Calibri" w:cs="Calibri" w:eastAsia="Calibri" w:hAnsi="Calibri"/>
                <w:b/>
                <w:bCs/>
                <w:color w:val="000000"/>
                <w:sz w:val="19"/>
                <w:szCs w:val="19"/>
              </w:rPr>
              <w:t xml:space="preserve">Weighted average contract tenor</w:t>
            </w:r>
          </w:p>
          <w:p>
            <w:pPr>
              <w:spacing w:after="0"/>
            </w:pPr>
            <w:r>
              <w:rPr>
                <w:rFonts w:ascii="Calibri" w:cs="Calibri" w:eastAsia="Calibri" w:hAnsi="Calibri"/>
                <w:i/>
                <w:iCs/>
                <w:color w:val="5A6270"/>
                <w:sz w:val="17"/>
                <w:szCs w:val="17"/>
              </w:rPr>
              <w:t xml:space="preserve">Months, and how this compares to the requested offtake term</w:t>
            </w:r>
          </w:p>
        </w:tc>
        <w:tc>
          <w:tcPr>
            <w:tcW w:type="dxa" w:w="6480"/>
            <w:tcBorders>
              <w:top w:val="single" w:color="C0C0C0" w:sz="4"/>
              <w:left w:val="single" w:color="C0C0C0" w:sz="4"/>
              <w:bottom w:val="single" w:color="C0C0C0" w:sz="4"/>
              <w:right w:val="single" w:color="C0C0C0" w:sz="4"/>
            </w:tcBorders>
            <w:shd w:fill="FFFFFF" w:color="auto" w:val="clear"/>
            <w:tcMar>
              <w:top w:type="dxa" w:w="80"/>
              <w:left w:type="dxa" w:w="120"/>
              <w:bottom w:type="dxa" w:w="80"/>
              <w:right w:type="dxa" w:w="120"/>
            </w:tcMar>
            <w:vAlign w:val="top"/>
          </w:tcPr>
          <w:p>
            <w:pPr>
              <w:spacing w:after="80"/>
            </w:pPr>
            <w:r>
              <w:rPr>
                <w:rFonts w:ascii="Calibri" w:cs="Calibri" w:eastAsia="Calibri" w:hAnsi="Calibri"/>
                <w:color w:val="1F2933"/>
                <w:sz w:val="20"/>
                <w:szCs w:val="20"/>
              </w:rPr>
              <w:t xml:space="preserve"/>
            </w:r>
          </w:p>
        </w:tc>
      </w:tr>
      <w:tr>
        <w:trPr>
          <w:cantSplit/>
        </w:trPr>
        <w:tc>
          <w:tcPr>
            <w:tcW w:type="dxa" w:w="3600"/>
            <w:tcBorders>
              <w:top w:val="single" w:color="C0C0C0" w:sz="4"/>
              <w:left w:val="single" w:color="C0C0C0" w:sz="4"/>
              <w:bottom w:val="single" w:color="C0C0C0" w:sz="4"/>
              <w:right w:val="single" w:color="C0C0C0" w:sz="4"/>
            </w:tcBorders>
            <w:shd w:fill="E9F6EC" w:color="auto" w:val="clear"/>
            <w:tcMar>
              <w:top w:type="dxa" w:w="80"/>
              <w:left w:type="dxa" w:w="120"/>
              <w:bottom w:type="dxa" w:w="80"/>
              <w:right w:type="dxa" w:w="120"/>
            </w:tcMar>
            <w:vAlign w:val="top"/>
          </w:tcPr>
          <w:p>
            <w:pPr>
              <w:spacing w:after="80"/>
            </w:pPr>
            <w:r>
              <w:rPr>
                <w:rFonts w:ascii="Calibri" w:cs="Calibri" w:eastAsia="Calibri" w:hAnsi="Calibri"/>
                <w:b/>
                <w:bCs/>
                <w:color w:val="000000"/>
                <w:sz w:val="19"/>
                <w:szCs w:val="19"/>
              </w:rPr>
              <w:t xml:space="preserve">Largest customer share of demand</w:t>
            </w:r>
          </w:p>
          <w:p>
            <w:pPr>
              <w:spacing w:after="0"/>
            </w:pPr>
            <w:r>
              <w:rPr>
                <w:rFonts w:ascii="Calibri" w:cs="Calibri" w:eastAsia="Calibri" w:hAnsi="Calibri"/>
                <w:i/>
                <w:iCs/>
                <w:color w:val="5A6270"/>
                <w:sz w:val="17"/>
                <w:szCs w:val="17"/>
              </w:rPr>
              <w:t xml:space="preserve">Percentage of committed revenue</w:t>
            </w:r>
          </w:p>
        </w:tc>
        <w:tc>
          <w:tcPr>
            <w:tcW w:type="dxa" w:w="6480"/>
            <w:tcBorders>
              <w:top w:val="single" w:color="C0C0C0" w:sz="4"/>
              <w:left w:val="single" w:color="C0C0C0" w:sz="4"/>
              <w:bottom w:val="single" w:color="C0C0C0" w:sz="4"/>
              <w:right w:val="single" w:color="C0C0C0" w:sz="4"/>
            </w:tcBorders>
            <w:shd w:fill="FFFFFF" w:color="auto" w:val="clear"/>
            <w:tcMar>
              <w:top w:type="dxa" w:w="80"/>
              <w:left w:type="dxa" w:w="120"/>
              <w:bottom w:type="dxa" w:w="80"/>
              <w:right w:type="dxa" w:w="120"/>
            </w:tcMar>
            <w:vAlign w:val="top"/>
          </w:tcPr>
          <w:p>
            <w:pPr>
              <w:spacing w:after="80"/>
            </w:pPr>
            <w:r>
              <w:rPr>
                <w:rFonts w:ascii="Calibri" w:cs="Calibri" w:eastAsia="Calibri" w:hAnsi="Calibri"/>
                <w:color w:val="1F2933"/>
                <w:sz w:val="20"/>
                <w:szCs w:val="20"/>
              </w:rPr>
              <w:t xml:space="preserve"/>
            </w:r>
          </w:p>
        </w:tc>
      </w:tr>
      <w:tr>
        <w:trPr>
          <w:cantSplit/>
        </w:trPr>
        <w:tc>
          <w:tcPr>
            <w:tcW w:type="dxa" w:w="3600"/>
            <w:tcBorders>
              <w:top w:val="single" w:color="C0C0C0" w:sz="4"/>
              <w:left w:val="single" w:color="C0C0C0" w:sz="4"/>
              <w:bottom w:val="single" w:color="C0C0C0" w:sz="4"/>
              <w:right w:val="single" w:color="C0C0C0" w:sz="4"/>
            </w:tcBorders>
            <w:shd w:fill="E9F6EC" w:color="auto" w:val="clear"/>
            <w:tcMar>
              <w:top w:type="dxa" w:w="80"/>
              <w:left w:type="dxa" w:w="120"/>
              <w:bottom w:type="dxa" w:w="80"/>
              <w:right w:type="dxa" w:w="120"/>
            </w:tcMar>
            <w:vAlign w:val="top"/>
          </w:tcPr>
          <w:p>
            <w:pPr>
              <w:spacing w:after="80"/>
            </w:pPr>
            <w:r>
              <w:rPr>
                <w:rFonts w:ascii="Calibri" w:cs="Calibri" w:eastAsia="Calibri" w:hAnsi="Calibri"/>
                <w:b/>
                <w:bCs/>
                <w:color w:val="000000"/>
                <w:sz w:val="19"/>
                <w:szCs w:val="19"/>
              </w:rPr>
              <w:t xml:space="preserve">Top three customers share of demand</w:t>
            </w:r>
          </w:p>
          <w:p>
            <w:pPr>
              <w:spacing w:after="0"/>
            </w:pPr>
            <w:r>
              <w:rPr>
                <w:rFonts w:ascii="Calibri" w:cs="Calibri" w:eastAsia="Calibri" w:hAnsi="Calibri"/>
                <w:i/>
                <w:iCs/>
                <w:color w:val="5A6270"/>
                <w:sz w:val="17"/>
                <w:szCs w:val="17"/>
              </w:rPr>
              <w:t xml:space="preserve">Percentage of committed revenue</w:t>
            </w:r>
          </w:p>
        </w:tc>
        <w:tc>
          <w:tcPr>
            <w:tcW w:type="dxa" w:w="6480"/>
            <w:tcBorders>
              <w:top w:val="single" w:color="C0C0C0" w:sz="4"/>
              <w:left w:val="single" w:color="C0C0C0" w:sz="4"/>
              <w:bottom w:val="single" w:color="C0C0C0" w:sz="4"/>
              <w:right w:val="single" w:color="C0C0C0" w:sz="4"/>
            </w:tcBorders>
            <w:shd w:fill="FFFFFF" w:color="auto" w:val="clear"/>
            <w:tcMar>
              <w:top w:type="dxa" w:w="80"/>
              <w:left w:type="dxa" w:w="120"/>
              <w:bottom w:type="dxa" w:w="80"/>
              <w:right w:type="dxa" w:w="120"/>
            </w:tcMar>
            <w:vAlign w:val="top"/>
          </w:tcPr>
          <w:p>
            <w:pPr>
              <w:spacing w:after="80"/>
            </w:pPr>
            <w:r>
              <w:rPr>
                <w:rFonts w:ascii="Calibri" w:cs="Calibri" w:eastAsia="Calibri" w:hAnsi="Calibri"/>
                <w:color w:val="1F2933"/>
                <w:sz w:val="20"/>
                <w:szCs w:val="20"/>
              </w:rPr>
              <w:t xml:space="preserve"/>
            </w:r>
          </w:p>
        </w:tc>
      </w:tr>
      <w:tr>
        <w:trPr>
          <w:cantSplit/>
          <w:trHeight w:val="700" w:hRule="atLeast"/>
        </w:trPr>
        <w:tc>
          <w:tcPr>
            <w:tcW w:type="dxa" w:w="3600"/>
            <w:tcBorders>
              <w:top w:val="single" w:color="C0C0C0" w:sz="4"/>
              <w:left w:val="single" w:color="C0C0C0" w:sz="4"/>
              <w:bottom w:val="single" w:color="C0C0C0" w:sz="4"/>
              <w:right w:val="single" w:color="C0C0C0" w:sz="4"/>
            </w:tcBorders>
            <w:shd w:fill="E9F6EC" w:color="auto" w:val="clear"/>
            <w:tcMar>
              <w:top w:type="dxa" w:w="80"/>
              <w:left w:type="dxa" w:w="120"/>
              <w:bottom w:type="dxa" w:w="80"/>
              <w:right w:type="dxa" w:w="120"/>
            </w:tcMar>
            <w:vAlign w:val="top"/>
          </w:tcPr>
          <w:p>
            <w:pPr>
              <w:spacing w:after="80"/>
            </w:pPr>
            <w:r>
              <w:rPr>
                <w:rFonts w:ascii="Calibri" w:cs="Calibri" w:eastAsia="Calibri" w:hAnsi="Calibri"/>
                <w:b/>
                <w:bCs/>
                <w:color w:val="000000"/>
                <w:sz w:val="19"/>
                <w:szCs w:val="19"/>
              </w:rPr>
              <w:t xml:space="preserve">Pipeline not yet contracted</w:t>
            </w:r>
          </w:p>
          <w:p>
            <w:pPr>
              <w:spacing w:after="0"/>
            </w:pPr>
            <w:r>
              <w:rPr>
                <w:rFonts w:ascii="Calibri" w:cs="Calibri" w:eastAsia="Calibri" w:hAnsi="Calibri"/>
                <w:i/>
                <w:iCs/>
                <w:color w:val="5A6270"/>
                <w:sz w:val="17"/>
                <w:szCs w:val="17"/>
              </w:rPr>
              <w:t xml:space="preserve">Uncommitted demand you expect this capacity to serve</w:t>
            </w:r>
          </w:p>
        </w:tc>
        <w:tc>
          <w:tcPr>
            <w:tcW w:type="dxa" w:w="6480"/>
            <w:tcBorders>
              <w:top w:val="single" w:color="C0C0C0" w:sz="4"/>
              <w:left w:val="single" w:color="C0C0C0" w:sz="4"/>
              <w:bottom w:val="single" w:color="C0C0C0" w:sz="4"/>
              <w:right w:val="single" w:color="C0C0C0" w:sz="4"/>
            </w:tcBorders>
            <w:shd w:fill="FFFFFF" w:color="auto" w:val="clear"/>
            <w:tcMar>
              <w:top w:type="dxa" w:w="80"/>
              <w:left w:type="dxa" w:w="120"/>
              <w:bottom w:type="dxa" w:w="80"/>
              <w:right w:type="dxa" w:w="120"/>
            </w:tcMar>
            <w:vAlign w:val="top"/>
          </w:tcPr>
          <w:p>
            <w:pPr>
              <w:spacing w:after="80"/>
            </w:pPr>
            <w:r>
              <w:rPr>
                <w:rFonts w:ascii="Calibri" w:cs="Calibri" w:eastAsia="Calibri" w:hAnsi="Calibri"/>
                <w:color w:val="1F2933"/>
                <w:sz w:val="20"/>
                <w:szCs w:val="20"/>
              </w:rPr>
              <w:t xml:space="preserve"/>
            </w:r>
          </w:p>
        </w:tc>
      </w:tr>
      <w:tr>
        <w:trPr>
          <w:cantSplit/>
          <w:trHeight w:val="500" w:hRule="atLeast"/>
        </w:trPr>
        <w:tc>
          <w:tcPr>
            <w:tcW w:type="dxa" w:w="3600"/>
            <w:tcBorders>
              <w:top w:val="single" w:color="C0C0C0" w:sz="4"/>
              <w:left w:val="single" w:color="C0C0C0" w:sz="4"/>
              <w:bottom w:val="single" w:color="C0C0C0" w:sz="4"/>
              <w:right w:val="single" w:color="C0C0C0" w:sz="4"/>
            </w:tcBorders>
            <w:shd w:fill="E9F6EC" w:color="auto" w:val="clear"/>
            <w:tcMar>
              <w:top w:type="dxa" w:w="80"/>
              <w:left w:type="dxa" w:w="120"/>
              <w:bottom w:type="dxa" w:w="80"/>
              <w:right w:type="dxa" w:w="120"/>
            </w:tcMar>
            <w:vAlign w:val="top"/>
          </w:tcPr>
          <w:p>
            <w:pPr>
              <w:spacing w:after="80"/>
            </w:pPr>
            <w:r>
              <w:rPr>
                <w:rFonts w:ascii="Calibri" w:cs="Calibri" w:eastAsia="Calibri" w:hAnsi="Calibri"/>
                <w:b/>
                <w:bCs/>
                <w:color w:val="000000"/>
                <w:sz w:val="19"/>
                <w:szCs w:val="19"/>
              </w:rPr>
              <w:t xml:space="preserve">Customer references</w:t>
            </w:r>
          </w:p>
          <w:p>
            <w:pPr>
              <w:spacing w:after="0"/>
            </w:pPr>
            <w:r>
              <w:rPr>
                <w:rFonts w:ascii="Calibri" w:cs="Calibri" w:eastAsia="Calibri" w:hAnsi="Calibri"/>
                <w:i/>
                <w:iCs/>
                <w:color w:val="5A6270"/>
                <w:sz w:val="17"/>
                <w:szCs w:val="17"/>
              </w:rPr>
              <w:t xml:space="preserve">Are you able to provide contact with one or more anchor customers?</w:t>
            </w:r>
          </w:p>
        </w:tc>
        <w:tc>
          <w:tcPr>
            <w:tcW w:type="dxa" w:w="6480"/>
            <w:tcBorders>
              <w:top w:val="single" w:color="C0C0C0" w:sz="4"/>
              <w:left w:val="single" w:color="C0C0C0" w:sz="4"/>
              <w:bottom w:val="single" w:color="C0C0C0" w:sz="4"/>
              <w:right w:val="single" w:color="C0C0C0" w:sz="4"/>
            </w:tcBorders>
            <w:shd w:fill="FFFFFF" w:color="auto" w:val="clear"/>
            <w:tcMar>
              <w:top w:type="dxa" w:w="80"/>
              <w:left w:type="dxa" w:w="120"/>
              <w:bottom w:type="dxa" w:w="80"/>
              <w:right w:type="dxa" w:w="120"/>
            </w:tcMar>
            <w:vAlign w:val="top"/>
          </w:tcPr>
          <w:p>
            <w:pPr>
              <w:spacing w:after="80"/>
            </w:pPr>
            <w:r>
              <w:rPr>
                <w:rFonts w:ascii="Calibri" w:cs="Calibri" w:eastAsia="Calibri" w:hAnsi="Calibri"/>
                <w:color w:val="1F2933"/>
                <w:sz w:val="20"/>
                <w:szCs w:val="20"/>
              </w:rPr>
              <w:t xml:space="preserve"/>
            </w:r>
          </w:p>
        </w:tc>
      </w:tr>
    </w:tbl>
    <w:p>
      <w:pPr>
        <w:spacing w:after="120"/>
      </w:pPr>
      <w:r>
        <w:rPr>
          <w:rFonts w:ascii="Calibri" w:cs="Calibri" w:eastAsia="Calibri" w:hAnsi="Calibri"/>
          <w:color w:val="1F2933"/>
          <w:sz w:val="20"/>
          <w:szCs w:val="20"/>
        </w:rPr>
        <w:t xml:space="preserve"/>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none" w:color="FFFFFF" w:sz="0"/>
              <w:left w:val="single" w:color="000000" w:sz="24"/>
              <w:bottom w:val="none" w:color="FFFFFF" w:sz="0"/>
              <w:right w:val="none" w:color="FFFFFF" w:sz="0"/>
            </w:tcBorders>
            <w:shd w:fill="21A143" w:color="auto" w:val="clear"/>
            <w:tcMar>
              <w:top w:type="dxa" w:w="100"/>
              <w:left w:type="dxa" w:w="180"/>
              <w:bottom w:type="dxa" w:w="100"/>
              <w:right w:type="dxa" w:w="120"/>
            </w:tcMar>
          </w:tcPr>
          <w:p>
            <w:pPr>
              <w:spacing w:after="0"/>
            </w:pPr>
            <w:r>
              <w:rPr>
                <w:rFonts w:ascii="Calibri" w:cs="Calibri" w:eastAsia="Calibri" w:hAnsi="Calibri"/>
                <w:b/>
                <w:bCs/>
                <w:color w:val="E9F6EC"/>
                <w:spacing w:val="30"/>
                <w:sz w:val="17"/>
                <w:szCs w:val="17"/>
              </w:rPr>
              <w:t xml:space="preserve">SECTION 4   </w:t>
            </w:r>
            <w:r>
              <w:rPr>
                <w:rFonts w:ascii="Calibri" w:cs="Calibri" w:eastAsia="Calibri" w:hAnsi="Calibri"/>
                <w:b/>
                <w:bCs/>
                <w:color w:val="FFFFFF"/>
                <w:spacing w:val="20"/>
                <w:sz w:val="21"/>
                <w:szCs w:val="21"/>
              </w:rPr>
              <w:t xml:space="preserve">SUPPORTING DOCUMENTS</w:t>
            </w:r>
          </w:p>
        </w:tc>
      </w:tr>
    </w:tbl>
    <w:p>
      <w:pPr>
        <w:spacing w:after="120" w:before="100"/>
      </w:pPr>
      <w:r>
        <w:rPr>
          <w:rFonts w:ascii="Calibri" w:cs="Calibri" w:eastAsia="Calibri" w:hAnsi="Calibri"/>
          <w:i/>
          <w:iCs/>
          <w:color w:val="5A6270"/>
          <w:sz w:val="19"/>
          <w:szCs w:val="19"/>
        </w:rPr>
        <w:t xml:space="preserve">Please attach or provide secure links to the following where available.</w:t>
      </w:r>
    </w:p>
    <w:p>
      <w:pPr>
        <w:spacing w:after="100" w:before="60"/>
      </w:pPr>
      <w:r>
        <w:rPr>
          <w:rFonts w:ascii="Calibri" w:cs="Calibri" w:eastAsia="Calibri" w:hAnsi="Calibri"/>
          <w:b/>
          <w:bCs/>
          <w:color w:val="000000"/>
          <w:sz w:val="19"/>
          <w:szCs w:val="19"/>
        </w:rPr>
        <w:t xml:space="preserve">  </w:t>
      </w:r>
      <w:r>
        <w:rPr>
          <w:rFonts w:ascii="Calibri" w:cs="Calibri" w:eastAsia="Calibri" w:hAnsi="Calibri"/>
          <w:color w:val="1F2933"/>
          <w:sz w:val="19"/>
          <w:szCs w:val="19"/>
        </w:rPr>
        <w:t xml:space="preserve">☐ Audited financial statements</w:t>
      </w:r>
      <w:r>
        <w:rPr>
          <w:rFonts w:ascii="Calibri" w:cs="Calibri" w:eastAsia="Calibri" w:hAnsi="Calibri"/>
          <w:color w:val="1F2933"/>
          <w:sz w:val="20"/>
          <w:szCs w:val="20"/>
        </w:rPr>
        <w:t xml:space="preserve">     </w:t>
      </w:r>
      <w:r>
        <w:rPr>
          <w:rFonts w:ascii="Calibri" w:cs="Calibri" w:eastAsia="Calibri" w:hAnsi="Calibri"/>
          <w:color w:val="1F2933"/>
          <w:sz w:val="19"/>
          <w:szCs w:val="19"/>
        </w:rPr>
        <w:t xml:space="preserve">☐ Cap table / funding summary</w:t>
      </w:r>
      <w:r>
        <w:rPr>
          <w:rFonts w:ascii="Calibri" w:cs="Calibri" w:eastAsia="Calibri" w:hAnsi="Calibri"/>
          <w:color w:val="1F2933"/>
          <w:sz w:val="20"/>
          <w:szCs w:val="20"/>
        </w:rPr>
        <w:t xml:space="preserve">     </w:t>
      </w:r>
      <w:r>
        <w:rPr>
          <w:rFonts w:ascii="Calibri" w:cs="Calibri" w:eastAsia="Calibri" w:hAnsi="Calibri"/>
          <w:color w:val="1F2933"/>
          <w:sz w:val="19"/>
          <w:szCs w:val="19"/>
        </w:rPr>
        <w:t xml:space="preserve">☐ Rating agency letter or report</w:t>
      </w:r>
      <w:r>
        <w:rPr>
          <w:rFonts w:ascii="Calibri" w:cs="Calibri" w:eastAsia="Calibri" w:hAnsi="Calibri"/>
          <w:color w:val="1F2933"/>
          <w:sz w:val="20"/>
          <w:szCs w:val="20"/>
        </w:rPr>
        <w:t xml:space="preserve">     </w:t>
      </w:r>
      <w:r>
        <w:rPr>
          <w:rFonts w:ascii="Calibri" w:cs="Calibri" w:eastAsia="Calibri" w:hAnsi="Calibri"/>
          <w:color w:val="1F2933"/>
          <w:sz w:val="19"/>
          <w:szCs w:val="19"/>
        </w:rPr>
        <w:t xml:space="preserve">☐ Draft LC or guarantee terms</w:t>
      </w:r>
      <w:r>
        <w:rPr>
          <w:rFonts w:ascii="Calibri" w:cs="Calibri" w:eastAsia="Calibri" w:hAnsi="Calibri"/>
          <w:color w:val="1F2933"/>
          <w:sz w:val="20"/>
          <w:szCs w:val="20"/>
        </w:rPr>
        <w:t xml:space="preserve"/>
      </w:r>
    </w:p>
    <w:p>
      <w:pPr>
        <w:spacing w:after="100" w:before="60"/>
      </w:pPr>
      <w:r>
        <w:rPr>
          <w:rFonts w:ascii="Calibri" w:cs="Calibri" w:eastAsia="Calibri" w:hAnsi="Calibri"/>
          <w:b/>
          <w:bCs/>
          <w:color w:val="000000"/>
          <w:sz w:val="19"/>
          <w:szCs w:val="19"/>
        </w:rPr>
        <w:t xml:space="preserve">  </w:t>
      </w:r>
      <w:r>
        <w:rPr>
          <w:rFonts w:ascii="Calibri" w:cs="Calibri" w:eastAsia="Calibri" w:hAnsi="Calibri"/>
          <w:color w:val="1F2933"/>
          <w:sz w:val="19"/>
          <w:szCs w:val="19"/>
        </w:rPr>
        <w:t xml:space="preserve">☐ Sample end-customer agreement (redacted)</w:t>
      </w:r>
      <w:r>
        <w:rPr>
          <w:rFonts w:ascii="Calibri" w:cs="Calibri" w:eastAsia="Calibri" w:hAnsi="Calibri"/>
          <w:color w:val="1F2933"/>
          <w:sz w:val="20"/>
          <w:szCs w:val="20"/>
        </w:rPr>
        <w:t xml:space="preserve">     </w:t>
      </w:r>
      <w:r>
        <w:rPr>
          <w:rFonts w:ascii="Calibri" w:cs="Calibri" w:eastAsia="Calibri" w:hAnsi="Calibri"/>
          <w:color w:val="1F2933"/>
          <w:sz w:val="19"/>
          <w:szCs w:val="19"/>
        </w:rPr>
        <w:t xml:space="preserve">☐ Customer concentration schedule</w:t>
      </w:r>
      <w:r>
        <w:rPr>
          <w:rFonts w:ascii="Calibri" w:cs="Calibri" w:eastAsia="Calibri" w:hAnsi="Calibri"/>
          <w:color w:val="1F2933"/>
          <w:sz w:val="20"/>
          <w:szCs w:val="20"/>
        </w:rPr>
        <w:t xml:space="preserve">     </w:t>
      </w:r>
      <w:r>
        <w:rPr>
          <w:rFonts w:ascii="Calibri" w:cs="Calibri" w:eastAsia="Calibri" w:hAnsi="Calibri"/>
          <w:color w:val="1F2933"/>
          <w:sz w:val="19"/>
          <w:szCs w:val="19"/>
        </w:rPr>
        <w:t xml:space="preserve">☐ Other</w:t>
      </w:r>
      <w:r>
        <w:rPr>
          <w:rFonts w:ascii="Calibri" w:cs="Calibri" w:eastAsia="Calibri" w:hAnsi="Calibri"/>
          <w:color w:val="1F2933"/>
          <w:sz w:val="20"/>
          <w:szCs w:val="20"/>
        </w:rPr>
        <w:t xml:space="preserve"/>
      </w:r>
    </w:p>
    <w:p>
      <w:pPr>
        <w:spacing w:after="80"/>
      </w:pPr>
      <w:r>
        <w:rPr>
          <w:rFonts w:ascii="Calibri" w:cs="Calibri" w:eastAsia="Calibri" w:hAnsi="Calibri"/>
          <w:color w:val="1F2933"/>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0C0C0" w:sz="4"/>
              <w:left w:val="single" w:color="C0C0C0" w:sz="4"/>
              <w:bottom w:val="single" w:color="C0C0C0" w:sz="4"/>
              <w:right w:val="single" w:color="C0C0C0" w:sz="4"/>
            </w:tcBorders>
            <w:shd w:fill="E9F6EC" w:color="auto" w:val="clear"/>
            <w:tcMar>
              <w:top w:type="dxa" w:w="160"/>
              <w:left w:type="dxa" w:w="200"/>
              <w:bottom w:type="dxa" w:w="160"/>
              <w:right w:type="dxa" w:w="200"/>
            </w:tcMar>
            <w:vAlign w:val="top"/>
          </w:tcPr>
          <w:p>
            <w:pPr>
              <w:spacing w:after="60"/>
            </w:pPr>
            <w:r>
              <w:rPr>
                <w:rFonts w:ascii="Calibri" w:cs="Calibri" w:eastAsia="Calibri" w:hAnsi="Calibri"/>
                <w:b/>
                <w:bCs/>
                <w:color w:val="000000"/>
                <w:sz w:val="20"/>
                <w:szCs w:val="20"/>
              </w:rPr>
              <w:t xml:space="preserve">Attestation</w:t>
            </w:r>
          </w:p>
          <w:p>
            <w:pPr>
              <w:spacing w:after="200"/>
            </w:pPr>
            <w:r>
              <w:rPr>
                <w:rFonts w:ascii="Calibri" w:cs="Calibri" w:eastAsia="Calibri" w:hAnsi="Calibri"/>
                <w:color w:val="1F2933"/>
                <w:sz w:val="19"/>
                <w:szCs w:val="19"/>
              </w:rPr>
              <w:t xml:space="preserve">I confirm that the information provided in this qualification sheet is accurate and complete to the best of my knowledge, and that I am authorized to provide it on behalf of the entity named above.</w:t>
            </w:r>
          </w:p>
          <w:p>
            <w:pPr>
              <w:spacing w:after="160"/>
            </w:pPr>
            <w:r>
              <w:rPr>
                <w:rFonts w:ascii="Calibri" w:cs="Calibri" w:eastAsia="Calibri" w:hAnsi="Calibri"/>
                <w:color w:val="1F2933"/>
                <w:sz w:val="19"/>
                <w:szCs w:val="19"/>
              </w:rPr>
              <w:t xml:space="preserve">Name: ____________________________</w:t>
            </w:r>
            <w:r>
              <w:rPr>
                <w:rFonts w:ascii="Calibri" w:cs="Calibri" w:eastAsia="Calibri" w:hAnsi="Calibri"/>
                <w:color w:val="1F2933"/>
                <w:sz w:val="20"/>
                <w:szCs w:val="20"/>
              </w:rPr>
              <w:t xml:space="preserve">          </w:t>
            </w:r>
            <w:r>
              <w:rPr>
                <w:rFonts w:ascii="Calibri" w:cs="Calibri" w:eastAsia="Calibri" w:hAnsi="Calibri"/>
                <w:color w:val="1F2933"/>
                <w:sz w:val="19"/>
                <w:szCs w:val="19"/>
              </w:rPr>
              <w:t xml:space="preserve">Title: ____________________________</w:t>
            </w:r>
          </w:p>
          <w:p>
            <w:pPr>
              <w:spacing w:after="40"/>
            </w:pPr>
            <w:r>
              <w:rPr>
                <w:rFonts w:ascii="Calibri" w:cs="Calibri" w:eastAsia="Calibri" w:hAnsi="Calibri"/>
                <w:color w:val="1F2933"/>
                <w:sz w:val="19"/>
                <w:szCs w:val="19"/>
              </w:rPr>
              <w:t xml:space="preserve">Signature: _______________________</w:t>
            </w:r>
            <w:r>
              <w:rPr>
                <w:rFonts w:ascii="Calibri" w:cs="Calibri" w:eastAsia="Calibri" w:hAnsi="Calibri"/>
                <w:color w:val="1F2933"/>
                <w:sz w:val="20"/>
                <w:szCs w:val="20"/>
              </w:rPr>
              <w:t xml:space="preserve">          </w:t>
            </w:r>
            <w:r>
              <w:rPr>
                <w:rFonts w:ascii="Calibri" w:cs="Calibri" w:eastAsia="Calibri" w:hAnsi="Calibri"/>
                <w:color w:val="1F2933"/>
                <w:sz w:val="19"/>
                <w:szCs w:val="19"/>
              </w:rPr>
              <w:t xml:space="preserve">Date: _____________________________</w:t>
            </w:r>
          </w:p>
        </w:tc>
      </w:tr>
    </w:tbl>
    <w:p>
      <w:pPr>
        <w:spacing w:before="160"/>
        <w:jc w:val="center"/>
      </w:pPr>
      <w:r>
        <w:rPr>
          <w:rFonts w:ascii="Calibri" w:cs="Calibri" w:eastAsia="Calibri" w:hAnsi="Calibri"/>
          <w:i/>
          <w:iCs/>
          <w:color w:val="5A6270"/>
          <w:sz w:val="17"/>
          <w:szCs w:val="17"/>
        </w:rPr>
        <w:t xml:space="preserve">Return completed forms to sales@nodestream.ai. Nodestream may request clarification or additional documentation following review.</w:t>
      </w:r>
    </w:p>
    <w:sectPr>
      <w:headerReference w:type="default" r:id="rId7"/>
      <w:footerReference w:type="default" r:id="rId8"/>
      <w:pgSz w:w="12240" w:h="15840" w:orient="portrait"/>
      <w:pgMar w:top="1300" w:right="1080" w:bottom="1100" w:left="1080" w:header="6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C0C0" w:sz="4" w:space="4"/>
      </w:pBdr>
      <w:tabs>
        <w:tab w:val="right" w:pos="10080"/>
      </w:tabs>
      <w:spacing w:after="0" w:before="0"/>
    </w:pPr>
    <w:r>
      <w:rPr>
        <w:rFonts w:ascii="Calibri" w:cs="Calibri" w:eastAsia="Calibri" w:hAnsi="Calibri"/>
        <w:color w:val="5A6270"/>
        <w:sz w:val="16"/>
        <w:szCs w:val="16"/>
      </w:rPr>
      <w:t xml:space="preserve">Nodestream  ·  nodestream.ai  ·  sales@nodestream.ai</w:t>
    </w:r>
    <w:r>
      <w:rPr>
        <w:rFonts w:ascii="Calibri" w:cs="Calibri" w:eastAsia="Calibri" w:hAnsi="Calibri"/>
      </w:rPr>
      <w:t xml:space="preserve">	</w:t>
    </w:r>
    <w:r>
      <w:rPr>
        <w:rFonts w:ascii="Calibri" w:cs="Calibri" w:eastAsia="Calibri" w:hAnsi="Calibri"/>
        <w:color w:val="5A6270"/>
        <w:sz w:val="16"/>
        <w:szCs w:val="16"/>
      </w:rPr>
      <w:t xml:space="preserve">Confidential  ·  Page </w:t>
    </w:r>
    <w:r>
      <w:rPr>
        <w:rFonts w:ascii="Calibri" w:cs="Calibri" w:eastAsia="Calibri" w:hAnsi="Calibri"/>
        <w:color w:val="5A6270"/>
        <w:sz w:val="16"/>
        <w:szCs w:val="16"/>
      </w:rPr>
      <w:fldChar w:fldCharType="begin"/>
      <w:instrText xml:space="preserve">PAGE</w:instrText>
      <w:fldChar w:fldCharType="separate"/>
      <w:fldChar w:fldCharType="end"/>
    </w:r>
    <w:r>
      <w:rPr>
        <w:rFonts w:ascii="Calibri" w:cs="Calibri" w:eastAsia="Calibri" w:hAnsi="Calibri"/>
        <w:color w:val="5A6270"/>
        <w:sz w:val="16"/>
        <w:szCs w:val="16"/>
      </w:rPr>
      <w:t xml:space="preserve"> of </w:t>
    </w:r>
    <w:r>
      <w:rPr>
        <w:rFonts w:ascii="Calibri" w:cs="Calibri" w:eastAsia="Calibri" w:hAnsi="Calibri"/>
        <w:color w:val="5A62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1A143" w:sz="12" w:space="4"/>
      </w:pBdr>
      <w:tabs>
        <w:tab w:val="right" w:pos="10080"/>
      </w:tabs>
      <w:spacing w:after="0"/>
    </w:pPr>
    <w:r>
      <w:drawing>
        <wp:inline distT="0" distB="0" distL="0" distR="0">
          <wp:extent cx="1552575"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552575" cy="190500"/>
                  </a:xfrm>
                  <a:prstGeom prst="rect">
                    <a:avLst/>
                  </a:prstGeom>
                </pic:spPr>
              </pic:pic>
            </a:graphicData>
          </a:graphic>
        </wp:inline>
      </w:drawing>
    </w:r>
    <w:r>
      <w:rPr>
        <w:rFonts w:ascii="Calibri" w:cs="Calibri" w:eastAsia="Calibri" w:hAnsi="Calibri"/>
        <w:color w:val="C0C0C0"/>
        <w:sz w:val="22"/>
        <w:szCs w:val="22"/>
      </w:rPr>
      <w:t xml:space="preserve">     |     </w:t>
    </w:r>
    <w:r>
      <w:rPr>
        <w:rFonts w:ascii="Calibri" w:cs="Calibri" w:eastAsia="Calibri" w:hAnsi="Calibri"/>
        <w:i/>
        <w:iCs/>
        <w:color w:val="5A6270"/>
        <w:sz w:val="18"/>
        <w:szCs w:val="18"/>
      </w:rPr>
      <w:t xml:space="preserve">The Verified AI Compute Marketplace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4a97fb02ee712b92d2dfd381eafe3979330f260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2026-09-02T13:24:01.857Z</dcterms:created>
  <dcterms:modified xsi:type="dcterms:W3CDTF">2026-09-02T13:24:01.857Z</dcterms:modified>
</cp:coreProperties>
</file>

<file path=docProps/custom.xml><?xml version="1.0" encoding="utf-8"?>
<Properties xmlns="http://schemas.openxmlformats.org/officeDocument/2006/custom-properties" xmlns:vt="http://schemas.openxmlformats.org/officeDocument/2006/docPropsVTypes"/>
</file>