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Elite Consulting Website Audit</w:t>
      </w:r>
    </w:p>
    <w:p>
      <w:pPr>
        <w:pStyle w:val="AuditLead"/>
      </w:pPr>
      <w:r>
        <w:t>Bain Deloitte KPMG Accenture Baker Tilly BCG PwC EY and EchoFrame</w:t>
      </w:r>
    </w:p>
    <w:p>
      <w:r>
        <w:t>A comparative review of the design, content, credibility, user experience, conversion architecture, accessibility, and technical signals that make professional-services websites feel authoritative.</w:t>
      </w:r>
    </w:p>
    <w:tbl>
      <w:tblPr>
        <w:tblW w:type="auto" w:w="0"/>
        <w:jc w:val="center"/>
        <w:tblLayout w:type="fixed"/>
        <w:tblLook w:firstColumn="1" w:firstRow="1" w:lastColumn="0" w:lastRow="0" w:noHBand="0" w:noVBand="1" w:val="04A0"/>
        <w:tblBorders>
          <w:top w:val="single" w:sz="5" w:color="D9DDE2"/>
          <w:left w:val="single" w:sz="5" w:color="D9DDE2"/>
          <w:bottom w:val="single" w:sz="5" w:color="D9DDE2"/>
          <w:right w:val="single" w:sz="5" w:color="D9DDE2"/>
          <w:insideH w:val="single" w:sz="5" w:color="D9DDE2"/>
          <w:insideV w:val="single" w:sz="5" w:color="D9DDE2"/>
        </w:tblBorders>
      </w:tblPr>
      <w:tblGrid>
        <w:gridCol w:w="4997"/>
        <w:gridCol w:w="4997"/>
      </w:tblGrid>
      <w:tr>
        <w:trPr>
          <w:tblHeader w:val="true"/>
          <w:cantSplit/>
        </w:trPr>
        <w:tc>
          <w:tcPr>
            <w:tcW w:type="dxa" w:w="4997"/>
            <w:shd w:fill="0B1F33"/>
            <w:tcMar>
              <w:top w:w="90" w:type="dxa"/>
              <w:start w:w="110" w:type="dxa"/>
              <w:bottom w:w="90" w:type="dxa"/>
              <w:end w:w="110" w:type="dxa"/>
            </w:tcMar>
            <w:vAlign w:val="center"/>
          </w:tcPr>
          <w:p>
            <w:pPr>
              <w:spacing w:after="0"/>
              <w:jc w:val="center"/>
            </w:pPr>
            <w:r>
              <w:rPr>
                <w:b/>
                <w:color w:val="FFFFFF"/>
                <w:sz w:val="18"/>
              </w:rPr>
              <w:t>Scope</w:t>
            </w:r>
          </w:p>
        </w:tc>
        <w:tc>
          <w:tcPr>
            <w:tcW w:type="dxa" w:w="4997"/>
            <w:shd w:fill="0B1F33"/>
            <w:tcMar>
              <w:top w:w="90" w:type="dxa"/>
              <w:start w:w="110" w:type="dxa"/>
              <w:bottom w:w="90" w:type="dxa"/>
              <w:end w:w="110" w:type="dxa"/>
            </w:tcMar>
            <w:vAlign w:val="center"/>
          </w:tcPr>
          <w:p>
            <w:pPr>
              <w:spacing w:after="0"/>
              <w:jc w:val="center"/>
            </w:pPr>
            <w:r>
              <w:rPr>
                <w:b/>
                <w:color w:val="FFFFFF"/>
                <w:sz w:val="18"/>
              </w:rPr>
              <w:t>Coverage</w:t>
            </w:r>
          </w:p>
        </w:tc>
      </w:tr>
      <w:tr>
        <w:trPr>
          <w:cantSplit/>
        </w:trPr>
        <w:tc>
          <w:tcPr>
            <w:tcW w:type="dxa" w:w="2088"/>
            <w:tcMar>
              <w:top w:w="90" w:type="dxa"/>
              <w:start w:w="110" w:type="dxa"/>
              <w:bottom w:w="90" w:type="dxa"/>
              <w:end w:w="110" w:type="dxa"/>
            </w:tcMar>
            <w:vAlign w:val="center"/>
          </w:tcPr>
          <w:p>
            <w:pPr>
              <w:spacing w:after="0" w:line="240" w:lineRule="auto"/>
            </w:pPr>
            <w:r>
              <w:rPr>
                <w:color w:val="20252B"/>
                <w:sz w:val="18"/>
              </w:rPr>
              <w:t>Primary sites</w:t>
            </w:r>
          </w:p>
        </w:tc>
        <w:tc>
          <w:tcPr>
            <w:tcW w:type="dxa" w:w="7560"/>
            <w:tcMar>
              <w:top w:w="90" w:type="dxa"/>
              <w:start w:w="110" w:type="dxa"/>
              <w:bottom w:w="90" w:type="dxa"/>
              <w:end w:w="110" w:type="dxa"/>
            </w:tcMar>
            <w:vAlign w:val="center"/>
          </w:tcPr>
          <w:p>
            <w:pPr>
              <w:spacing w:after="0" w:line="240" w:lineRule="auto"/>
            </w:pPr>
            <w:r>
              <w:rPr>
                <w:color w:val="20252B"/>
                <w:sz w:val="18"/>
              </w:rPr>
              <w:t>Nine public websites and their visible homepage or consulting landing-page experiences</w:t>
            </w:r>
          </w:p>
        </w:tc>
      </w:tr>
      <w:tr>
        <w:trPr>
          <w:cantSplit/>
        </w:trPr>
        <w:tc>
          <w:tcPr>
            <w:tcW w:type="dxa" w:w="2088"/>
            <w:tcMar>
              <w:top w:w="90" w:type="dxa"/>
              <w:start w:w="110" w:type="dxa"/>
              <w:bottom w:w="90" w:type="dxa"/>
              <w:end w:w="110" w:type="dxa"/>
            </w:tcMar>
            <w:vAlign w:val="center"/>
            <w:shd w:fill="F4F6F8"/>
          </w:tcPr>
          <w:p>
            <w:pPr>
              <w:spacing w:after="0" w:line="240" w:lineRule="auto"/>
            </w:pPr>
            <w:r>
              <w:rPr>
                <w:color w:val="20252B"/>
                <w:sz w:val="18"/>
              </w:rPr>
              <w:t>Evaluation lens</w:t>
            </w:r>
          </w:p>
        </w:tc>
        <w:tc>
          <w:tcPr>
            <w:tcW w:type="dxa" w:w="7560"/>
            <w:tcMar>
              <w:top w:w="90" w:type="dxa"/>
              <w:start w:w="110" w:type="dxa"/>
              <w:bottom w:w="90" w:type="dxa"/>
              <w:end w:w="110" w:type="dxa"/>
            </w:tcMar>
            <w:vAlign w:val="center"/>
            <w:shd w:fill="F4F6F8"/>
          </w:tcPr>
          <w:p>
            <w:pPr>
              <w:spacing w:after="0" w:line="240" w:lineRule="auto"/>
            </w:pPr>
            <w:r>
              <w:rPr>
                <w:color w:val="20252B"/>
                <w:sz w:val="18"/>
              </w:rPr>
              <w:t>Brand, information architecture, narrative, thought leadership, proof, conversion, accessibility, and technical execution</w:t>
            </w:r>
          </w:p>
        </w:tc>
      </w:tr>
      <w:tr>
        <w:trPr>
          <w:cantSplit/>
        </w:trPr>
        <w:tc>
          <w:tcPr>
            <w:tcW w:type="dxa" w:w="2088"/>
            <w:tcMar>
              <w:top w:w="90" w:type="dxa"/>
              <w:start w:w="110" w:type="dxa"/>
              <w:bottom w:w="90" w:type="dxa"/>
              <w:end w:w="110" w:type="dxa"/>
            </w:tcMar>
            <w:vAlign w:val="center"/>
          </w:tcPr>
          <w:p>
            <w:pPr>
              <w:spacing w:after="0" w:line="240" w:lineRule="auto"/>
            </w:pPr>
            <w:r>
              <w:rPr>
                <w:color w:val="20252B"/>
                <w:sz w:val="18"/>
              </w:rPr>
              <w:t>Primary audience</w:t>
            </w:r>
          </w:p>
        </w:tc>
        <w:tc>
          <w:tcPr>
            <w:tcW w:type="dxa" w:w="7560"/>
            <w:tcMar>
              <w:top w:w="90" w:type="dxa"/>
              <w:start w:w="110" w:type="dxa"/>
              <w:bottom w:w="90" w:type="dxa"/>
              <w:end w:w="110" w:type="dxa"/>
            </w:tcMar>
            <w:vAlign w:val="center"/>
          </w:tcPr>
          <w:p>
            <w:pPr>
              <w:spacing w:after="0" w:line="240" w:lineRule="auto"/>
            </w:pPr>
            <w:r>
              <w:rPr>
                <w:color w:val="20252B"/>
                <w:sz w:val="18"/>
              </w:rPr>
              <w:t>A founder or marketing leader evaluating what separates elite consulting websites from merely polished ones</w:t>
            </w:r>
          </w:p>
        </w:tc>
      </w:tr>
      <w:tr>
        <w:trPr>
          <w:cantSplit/>
        </w:trPr>
        <w:tc>
          <w:tcPr>
            <w:tcW w:type="dxa" w:w="2088"/>
            <w:tcMar>
              <w:top w:w="90" w:type="dxa"/>
              <w:start w:w="110" w:type="dxa"/>
              <w:bottom w:w="90" w:type="dxa"/>
              <w:end w:w="110" w:type="dxa"/>
            </w:tcMar>
            <w:vAlign w:val="center"/>
            <w:shd w:fill="F4F6F8"/>
          </w:tcPr>
          <w:p>
            <w:pPr>
              <w:spacing w:after="0" w:line="240" w:lineRule="auto"/>
            </w:pPr>
            <w:r>
              <w:rPr>
                <w:color w:val="20252B"/>
                <w:sz w:val="18"/>
              </w:rPr>
              <w:t>Review date</w:t>
            </w:r>
          </w:p>
        </w:tc>
        <w:tc>
          <w:tcPr>
            <w:tcW w:type="dxa" w:w="7560"/>
            <w:tcMar>
              <w:top w:w="90" w:type="dxa"/>
              <w:start w:w="110" w:type="dxa"/>
              <w:bottom w:w="90" w:type="dxa"/>
              <w:end w:w="110" w:type="dxa"/>
            </w:tcMar>
            <w:vAlign w:val="center"/>
            <w:shd w:fill="F4F6F8"/>
          </w:tcPr>
          <w:p>
            <w:pPr>
              <w:spacing w:after="0" w:line="240" w:lineRule="auto"/>
              <w:jc w:val="center"/>
            </w:pPr>
            <w:r>
              <w:rPr>
                <w:color w:val="20252B"/>
                <w:sz w:val="18"/>
              </w:rPr>
              <w:t>13 September 2026</w:t>
            </w:r>
          </w:p>
        </w:tc>
      </w:tr>
    </w:tbl>
    <w:p>
      <w:pPr>
        <w:spacing w:after="20"/>
      </w:pPr>
    </w:p>
    <w:p/>
    <w:p>
      <w:pPr>
        <w:pStyle w:val="Heading2"/>
      </w:pPr>
      <w:r>
        <w:t>Central conclusion</w:t>
      </w:r>
    </w:p>
    <w:p>
      <w:r>
        <w:t>Elite consulting websites do not win because they use expensive photography, motion, or large type. They win because every layer reinforces the same commercial claim: this firm understands consequential problems, has a disciplined point of view, can prove impact, and is safe to contact. The best sites create authority before asking for a sale. Bain does this most completely. Accenture creates the strongest digital spectacle. BCG best combines editorial authority with an explicit applied-AI position. The Big Four demonstrate reach but often pay for that breadth with navigation and messaging complexity.</w:t>
      </w:r>
    </w:p>
    <w:p>
      <w:r>
        <w:br w:type="page"/>
      </w:r>
    </w:p>
    <w:p>
      <w:pPr>
        <w:pStyle w:val="Heading1"/>
      </w:pPr>
      <w:r>
        <w:t>Executive Summary</w:t>
      </w:r>
    </w:p>
    <w:p>
      <w:r>
        <w:t>The strongest sites behave less like brochures and more like publishing systems. Their homepages are only the front door to a large network of insights, experts, case evidence, industries, capabilities, and regional pages. The visual layer is important, but the underlying content system is what creates durable authority.</w:t>
      </w:r>
    </w:p>
    <w:p>
      <w:pPr>
        <w:pStyle w:val="Heading2"/>
      </w:pPr>
      <w:r>
        <w:t>What makes the leaders feel elite</w:t>
      </w:r>
    </w:p>
    <w:p>
      <w:pPr>
        <w:pStyle w:val="ListBullet"/>
        <w:spacing w:after="60"/>
      </w:pPr>
      <w:r>
        <w:t>A distinct brand code that survives without the logo: Bain red and editorial restraint, BCG green and warm intellectualism, Accenture black with electric purple, EY black and yellow, and PwC's warm geometric palette.</w:t>
      </w:r>
    </w:p>
    <w:p>
      <w:pPr>
        <w:pStyle w:val="ListBullet"/>
        <w:spacing w:after="60"/>
      </w:pPr>
      <w:r>
        <w:t>A homepage point of view instead of a generic list of services. The leaders open with a current business issue, a memorable proposition, or a flagship piece of thinking.</w:t>
      </w:r>
    </w:p>
    <w:p>
      <w:pPr>
        <w:pStyle w:val="ListBullet"/>
        <w:spacing w:after="60"/>
      </w:pPr>
      <w:r>
        <w:t>Proof close to the claim. Bain pairs stories with outcome metrics such as $300 million saved and a 2.5x stock-price increase, reducing the distance between promise and evidence.[1]</w:t>
      </w:r>
    </w:p>
    <w:p>
      <w:pPr>
        <w:pStyle w:val="ListBullet"/>
        <w:spacing w:after="60"/>
      </w:pPr>
      <w:r>
        <w:t>Content organized around how executives think: industry, business problem, role, trend, and desired outcome. Bain's guided industry-plus-need selector is the clearest example.[1]</w:t>
      </w:r>
    </w:p>
    <w:p>
      <w:pPr>
        <w:pStyle w:val="ListBullet"/>
        <w:spacing w:after="60"/>
      </w:pPr>
      <w:r>
        <w:t>An editorial engine that makes the site feel current. BCG and Accenture feature dated research, reports, perspectives, and case stories as core homepage material rather than burying them in a blog.[2][3]</w:t>
      </w:r>
    </w:p>
    <w:p>
      <w:pPr>
        <w:pStyle w:val="ListBullet"/>
        <w:spacing w:after="60"/>
      </w:pPr>
      <w:r>
        <w:t>High visual confidence. The sites use large-scale type, intentional whitespace, controlled motion, and disciplined image crops. They rarely look like a collection of independent marketing modules.</w:t>
      </w:r>
    </w:p>
    <w:p>
      <w:pPr>
        <w:pStyle w:val="ListBullet"/>
        <w:spacing w:after="60"/>
      </w:pPr>
      <w:r>
        <w:t>Multiple conversion routes for different levels of intent: contact, explore services, read an insight, subscribe, find an expert, view client results, or pursue a career.</w:t>
      </w:r>
    </w:p>
    <w:p>
      <w:pPr>
        <w:pStyle w:val="ListBullet"/>
        <w:spacing w:after="60"/>
      </w:pPr>
      <w:r>
        <w:t>Institutional completeness: global location selection, expert profiles, accessibility and privacy links, careers, media, investor or governance content, and strong search.</w:t>
      </w:r>
    </w:p>
    <w:p>
      <w:pPr>
        <w:pStyle w:val="Heading2"/>
      </w:pPr>
      <w:r>
        <w:t>Overall comparative score</w:t>
      </w:r>
    </w:p>
    <w:tbl>
      <w:tblPr>
        <w:tblW w:type="auto" w:w="0"/>
        <w:jc w:val="center"/>
        <w:tblLayout w:type="fixed"/>
        <w:tblLook w:firstColumn="1" w:firstRow="1" w:lastColumn="0" w:lastRow="0" w:noHBand="0" w:noVBand="1" w:val="04A0"/>
        <w:tblBorders>
          <w:top w:val="single" w:sz="5" w:color="D9DDE2"/>
          <w:left w:val="single" w:sz="5" w:color="D9DDE2"/>
          <w:bottom w:val="single" w:sz="5" w:color="D9DDE2"/>
          <w:right w:val="single" w:sz="5" w:color="D9DDE2"/>
          <w:insideH w:val="single" w:sz="5" w:color="D9DDE2"/>
          <w:insideV w:val="single" w:sz="5" w:color="D9DDE2"/>
        </w:tblBorders>
      </w:tblPr>
      <w:tblGrid>
        <w:gridCol w:w="2498"/>
        <w:gridCol w:w="2498"/>
        <w:gridCol w:w="2498"/>
        <w:gridCol w:w="2498"/>
      </w:tblGrid>
      <w:tr>
        <w:trPr>
          <w:tblHeader w:val="true"/>
          <w:cantSplit/>
        </w:trPr>
        <w:tc>
          <w:tcPr>
            <w:tcW w:type="dxa" w:w="2498"/>
            <w:shd w:fill="0B1F33"/>
            <w:tcMar>
              <w:top w:w="90" w:type="dxa"/>
              <w:start w:w="110" w:type="dxa"/>
              <w:bottom w:w="90" w:type="dxa"/>
              <w:end w:w="110" w:type="dxa"/>
            </w:tcMar>
            <w:vAlign w:val="center"/>
          </w:tcPr>
          <w:p>
            <w:pPr>
              <w:spacing w:after="0"/>
              <w:jc w:val="center"/>
            </w:pPr>
            <w:r>
              <w:rPr>
                <w:b/>
                <w:color w:val="FFFFFF"/>
                <w:sz w:val="15"/>
              </w:rPr>
              <w:t>Site</w:t>
            </w:r>
          </w:p>
        </w:tc>
        <w:tc>
          <w:tcPr>
            <w:tcW w:type="dxa" w:w="2498"/>
            <w:shd w:fill="0B1F33"/>
            <w:tcMar>
              <w:top w:w="90" w:type="dxa"/>
              <w:start w:w="110" w:type="dxa"/>
              <w:bottom w:w="90" w:type="dxa"/>
              <w:end w:w="110" w:type="dxa"/>
            </w:tcMar>
            <w:vAlign w:val="center"/>
          </w:tcPr>
          <w:p>
            <w:pPr>
              <w:spacing w:after="0"/>
              <w:jc w:val="center"/>
            </w:pPr>
            <w:r>
              <w:rPr>
                <w:b/>
                <w:color w:val="FFFFFF"/>
                <w:sz w:val="15"/>
              </w:rPr>
              <w:t>Score</w:t>
            </w:r>
          </w:p>
        </w:tc>
        <w:tc>
          <w:tcPr>
            <w:tcW w:type="dxa" w:w="2498"/>
            <w:shd w:fill="0B1F33"/>
            <w:tcMar>
              <w:top w:w="90" w:type="dxa"/>
              <w:start w:w="110" w:type="dxa"/>
              <w:bottom w:w="90" w:type="dxa"/>
              <w:end w:w="110" w:type="dxa"/>
            </w:tcMar>
            <w:vAlign w:val="center"/>
          </w:tcPr>
          <w:p>
            <w:pPr>
              <w:spacing w:after="0"/>
              <w:jc w:val="center"/>
            </w:pPr>
            <w:r>
              <w:rPr>
                <w:b/>
                <w:color w:val="FFFFFF"/>
                <w:sz w:val="15"/>
              </w:rPr>
              <w:t>Relative distinction</w:t>
            </w:r>
          </w:p>
        </w:tc>
        <w:tc>
          <w:tcPr>
            <w:tcW w:type="dxa" w:w="2498"/>
            <w:shd w:fill="0B1F33"/>
            <w:tcMar>
              <w:top w:w="90" w:type="dxa"/>
              <w:start w:w="110" w:type="dxa"/>
              <w:bottom w:w="90" w:type="dxa"/>
              <w:end w:w="110" w:type="dxa"/>
            </w:tcMar>
            <w:vAlign w:val="center"/>
          </w:tcPr>
          <w:p>
            <w:pPr>
              <w:spacing w:after="0"/>
              <w:jc w:val="center"/>
            </w:pPr>
            <w:r>
              <w:rPr>
                <w:b/>
                <w:color w:val="FFFFFF"/>
                <w:sz w:val="15"/>
              </w:rPr>
              <w:t>Why it lands there</w:t>
            </w:r>
          </w:p>
        </w:tc>
      </w:tr>
      <w:tr>
        <w:trPr>
          <w:cantSplit/>
        </w:trPr>
        <w:tc>
          <w:tcPr>
            <w:tcW w:type="dxa" w:w="1296"/>
            <w:tcMar>
              <w:top w:w="90" w:type="dxa"/>
              <w:start w:w="110" w:type="dxa"/>
              <w:bottom w:w="90" w:type="dxa"/>
              <w:end w:w="110" w:type="dxa"/>
            </w:tcMar>
            <w:vAlign w:val="center"/>
          </w:tcPr>
          <w:p>
            <w:pPr>
              <w:spacing w:after="0" w:line="240" w:lineRule="auto"/>
            </w:pPr>
            <w:r>
              <w:rPr>
                <w:color w:val="20252B"/>
                <w:sz w:val="15"/>
              </w:rPr>
              <w:t>Bain</w:t>
            </w:r>
          </w:p>
        </w:tc>
        <w:tc>
          <w:tcPr>
            <w:tcW w:type="dxa" w:w="792"/>
            <w:tcMar>
              <w:top w:w="90" w:type="dxa"/>
              <w:start w:w="110" w:type="dxa"/>
              <w:bottom w:w="90" w:type="dxa"/>
              <w:end w:w="110" w:type="dxa"/>
            </w:tcMar>
            <w:vAlign w:val="center"/>
          </w:tcPr>
          <w:p>
            <w:pPr>
              <w:spacing w:after="0" w:line="240" w:lineRule="auto"/>
              <w:jc w:val="center"/>
            </w:pPr>
            <w:r>
              <w:rPr>
                <w:color w:val="20252B"/>
                <w:sz w:val="15"/>
              </w:rPr>
              <w:t>93</w:t>
            </w:r>
          </w:p>
        </w:tc>
        <w:tc>
          <w:tcPr>
            <w:tcW w:type="dxa" w:w="2376"/>
            <w:tcMar>
              <w:top w:w="90" w:type="dxa"/>
              <w:start w:w="110" w:type="dxa"/>
              <w:bottom w:w="90" w:type="dxa"/>
              <w:end w:w="110" w:type="dxa"/>
            </w:tcMar>
            <w:vAlign w:val="center"/>
          </w:tcPr>
          <w:p>
            <w:pPr>
              <w:spacing w:after="0" w:line="240" w:lineRule="auto"/>
              <w:jc w:val="center"/>
            </w:pPr>
            <w:r>
              <w:rPr>
                <w:color w:val="20252B"/>
                <w:sz w:val="15"/>
              </w:rPr>
              <w:t>Best overall</w:t>
            </w:r>
          </w:p>
        </w:tc>
        <w:tc>
          <w:tcPr>
            <w:tcW w:type="dxa" w:w="5184"/>
            <w:tcMar>
              <w:top w:w="90" w:type="dxa"/>
              <w:start w:w="110" w:type="dxa"/>
              <w:bottom w:w="90" w:type="dxa"/>
              <w:end w:w="110" w:type="dxa"/>
            </w:tcMar>
            <w:vAlign w:val="center"/>
          </w:tcPr>
          <w:p>
            <w:pPr>
              <w:spacing w:after="0" w:line="240" w:lineRule="auto"/>
            </w:pPr>
            <w:r>
              <w:rPr>
                <w:color w:val="20252B"/>
                <w:sz w:val="15"/>
              </w:rPr>
              <w:t>The clearest combination of point of view, guided discovery, quantified proof, and editorial discipline</w:t>
            </w:r>
          </w:p>
        </w:tc>
      </w:tr>
      <w:tr>
        <w:trPr>
          <w:cantSplit/>
        </w:trPr>
        <w:tc>
          <w:tcPr>
            <w:tcW w:type="dxa" w:w="1296"/>
            <w:tcMar>
              <w:top w:w="90" w:type="dxa"/>
              <w:start w:w="110" w:type="dxa"/>
              <w:bottom w:w="90" w:type="dxa"/>
              <w:end w:w="110" w:type="dxa"/>
            </w:tcMar>
            <w:vAlign w:val="center"/>
            <w:shd w:fill="F4F6F8"/>
          </w:tcPr>
          <w:p>
            <w:pPr>
              <w:spacing w:after="0" w:line="240" w:lineRule="auto"/>
            </w:pPr>
            <w:r>
              <w:rPr>
                <w:color w:val="20252B"/>
                <w:sz w:val="15"/>
              </w:rPr>
              <w:t>BCG</w:t>
            </w:r>
          </w:p>
        </w:tc>
        <w:tc>
          <w:tcPr>
            <w:tcW w:type="dxa" w:w="792"/>
            <w:tcMar>
              <w:top w:w="90" w:type="dxa"/>
              <w:start w:w="110" w:type="dxa"/>
              <w:bottom w:w="90" w:type="dxa"/>
              <w:end w:w="110" w:type="dxa"/>
            </w:tcMar>
            <w:vAlign w:val="center"/>
            <w:shd w:fill="F4F6F8"/>
          </w:tcPr>
          <w:p>
            <w:pPr>
              <w:spacing w:after="0" w:line="240" w:lineRule="auto"/>
              <w:jc w:val="center"/>
            </w:pPr>
            <w:r>
              <w:rPr>
                <w:color w:val="20252B"/>
                <w:sz w:val="15"/>
              </w:rPr>
              <w:t>89</w:t>
            </w:r>
          </w:p>
        </w:tc>
        <w:tc>
          <w:tcPr>
            <w:tcW w:type="dxa" w:w="2376"/>
            <w:tcMar>
              <w:top w:w="90" w:type="dxa"/>
              <w:start w:w="110" w:type="dxa"/>
              <w:bottom w:w="90" w:type="dxa"/>
              <w:end w:w="110" w:type="dxa"/>
            </w:tcMar>
            <w:vAlign w:val="center"/>
            <w:shd w:fill="F4F6F8"/>
          </w:tcPr>
          <w:p>
            <w:pPr>
              <w:spacing w:after="0" w:line="240" w:lineRule="auto"/>
            </w:pPr>
            <w:r>
              <w:rPr>
                <w:color w:val="20252B"/>
                <w:sz w:val="15"/>
              </w:rPr>
              <w:t>Best strategic editorial system</w:t>
            </w:r>
          </w:p>
        </w:tc>
        <w:tc>
          <w:tcPr>
            <w:tcW w:type="dxa" w:w="5184"/>
            <w:tcMar>
              <w:top w:w="90" w:type="dxa"/>
              <w:start w:w="110" w:type="dxa"/>
              <w:bottom w:w="90" w:type="dxa"/>
              <w:end w:w="110" w:type="dxa"/>
            </w:tcMar>
            <w:vAlign w:val="center"/>
            <w:shd w:fill="F4F6F8"/>
          </w:tcPr>
          <w:p>
            <w:pPr>
              <w:spacing w:after="0" w:line="240" w:lineRule="auto"/>
            </w:pPr>
            <w:r>
              <w:rPr>
                <w:color w:val="20252B"/>
                <w:sz w:val="15"/>
              </w:rPr>
              <w:t>Sophisticated brand world, strong current thinking, and unusually direct applied-AI positioning</w:t>
            </w:r>
          </w:p>
        </w:tc>
      </w:tr>
      <w:tr>
        <w:trPr>
          <w:cantSplit/>
        </w:trPr>
        <w:tc>
          <w:tcPr>
            <w:tcW w:type="dxa" w:w="1296"/>
            <w:tcMar>
              <w:top w:w="90" w:type="dxa"/>
              <w:start w:w="110" w:type="dxa"/>
              <w:bottom w:w="90" w:type="dxa"/>
              <w:end w:w="110" w:type="dxa"/>
            </w:tcMar>
            <w:vAlign w:val="center"/>
          </w:tcPr>
          <w:p>
            <w:pPr>
              <w:spacing w:after="0" w:line="240" w:lineRule="auto"/>
            </w:pPr>
            <w:r>
              <w:rPr>
                <w:color w:val="20252B"/>
                <w:sz w:val="15"/>
              </w:rPr>
              <w:t>Accenture</w:t>
            </w:r>
          </w:p>
        </w:tc>
        <w:tc>
          <w:tcPr>
            <w:tcW w:type="dxa" w:w="792"/>
            <w:tcMar>
              <w:top w:w="90" w:type="dxa"/>
              <w:start w:w="110" w:type="dxa"/>
              <w:bottom w:w="90" w:type="dxa"/>
              <w:end w:w="110" w:type="dxa"/>
            </w:tcMar>
            <w:vAlign w:val="center"/>
          </w:tcPr>
          <w:p>
            <w:pPr>
              <w:spacing w:after="0" w:line="240" w:lineRule="auto"/>
              <w:jc w:val="center"/>
            </w:pPr>
            <w:r>
              <w:rPr>
                <w:color w:val="20252B"/>
                <w:sz w:val="15"/>
              </w:rPr>
              <w:t>89</w:t>
            </w:r>
          </w:p>
        </w:tc>
        <w:tc>
          <w:tcPr>
            <w:tcW w:type="dxa" w:w="2376"/>
            <w:tcMar>
              <w:top w:w="90" w:type="dxa"/>
              <w:start w:w="110" w:type="dxa"/>
              <w:bottom w:w="90" w:type="dxa"/>
              <w:end w:w="110" w:type="dxa"/>
            </w:tcMar>
            <w:vAlign w:val="center"/>
          </w:tcPr>
          <w:p>
            <w:pPr>
              <w:spacing w:after="0" w:line="240" w:lineRule="auto"/>
            </w:pPr>
            <w:r>
              <w:rPr>
                <w:color w:val="20252B"/>
                <w:sz w:val="15"/>
              </w:rPr>
              <w:t>Best digital brand experience</w:t>
            </w:r>
          </w:p>
        </w:tc>
        <w:tc>
          <w:tcPr>
            <w:tcW w:type="dxa" w:w="5184"/>
            <w:tcMar>
              <w:top w:w="90" w:type="dxa"/>
              <w:start w:w="110" w:type="dxa"/>
              <w:bottom w:w="90" w:type="dxa"/>
              <w:end w:w="110" w:type="dxa"/>
            </w:tcMar>
            <w:vAlign w:val="center"/>
          </w:tcPr>
          <w:p>
            <w:pPr>
              <w:spacing w:after="0" w:line="240" w:lineRule="auto"/>
            </w:pPr>
            <w:r>
              <w:rPr>
                <w:color w:val="20252B"/>
                <w:sz w:val="15"/>
              </w:rPr>
              <w:t>The most dramatic and memorable digital execution, supported by extensive research and recognizable clients</w:t>
            </w:r>
          </w:p>
        </w:tc>
      </w:tr>
      <w:tr>
        <w:trPr>
          <w:cantSplit/>
        </w:trPr>
        <w:tc>
          <w:tcPr>
            <w:tcW w:type="dxa" w:w="1296"/>
            <w:tcMar>
              <w:top w:w="90" w:type="dxa"/>
              <w:start w:w="110" w:type="dxa"/>
              <w:bottom w:w="90" w:type="dxa"/>
              <w:end w:w="110" w:type="dxa"/>
            </w:tcMar>
            <w:vAlign w:val="center"/>
            <w:shd w:fill="F4F6F8"/>
          </w:tcPr>
          <w:p>
            <w:pPr>
              <w:spacing w:after="0" w:line="240" w:lineRule="auto"/>
            </w:pPr>
            <w:r>
              <w:rPr>
                <w:color w:val="20252B"/>
                <w:sz w:val="15"/>
              </w:rPr>
              <w:t>Deloitte</w:t>
            </w:r>
          </w:p>
        </w:tc>
        <w:tc>
          <w:tcPr>
            <w:tcW w:type="dxa" w:w="792"/>
            <w:tcMar>
              <w:top w:w="90" w:type="dxa"/>
              <w:start w:w="110" w:type="dxa"/>
              <w:bottom w:w="90" w:type="dxa"/>
              <w:end w:w="110" w:type="dxa"/>
            </w:tcMar>
            <w:vAlign w:val="center"/>
            <w:shd w:fill="F4F6F8"/>
          </w:tcPr>
          <w:p>
            <w:pPr>
              <w:spacing w:after="0" w:line="240" w:lineRule="auto"/>
              <w:jc w:val="center"/>
            </w:pPr>
            <w:r>
              <w:rPr>
                <w:color w:val="20252B"/>
                <w:sz w:val="15"/>
              </w:rPr>
              <w:t>83</w:t>
            </w:r>
          </w:p>
        </w:tc>
        <w:tc>
          <w:tcPr>
            <w:tcW w:type="dxa" w:w="2376"/>
            <w:tcMar>
              <w:top w:w="90" w:type="dxa"/>
              <w:start w:w="110" w:type="dxa"/>
              <w:bottom w:w="90" w:type="dxa"/>
              <w:end w:w="110" w:type="dxa"/>
            </w:tcMar>
            <w:vAlign w:val="center"/>
            <w:shd w:fill="F4F6F8"/>
          </w:tcPr>
          <w:p>
            <w:pPr>
              <w:spacing w:after="0" w:line="240" w:lineRule="auto"/>
            </w:pPr>
            <w:r>
              <w:rPr>
                <w:color w:val="20252B"/>
                <w:sz w:val="15"/>
              </w:rPr>
              <w:t>Best breadth-to-story balance</w:t>
            </w:r>
          </w:p>
        </w:tc>
        <w:tc>
          <w:tcPr>
            <w:tcW w:type="dxa" w:w="5184"/>
            <w:tcMar>
              <w:top w:w="90" w:type="dxa"/>
              <w:start w:w="110" w:type="dxa"/>
              <w:bottom w:w="90" w:type="dxa"/>
              <w:end w:w="110" w:type="dxa"/>
            </w:tcMar>
            <w:vAlign w:val="center"/>
            <w:shd w:fill="F4F6F8"/>
          </w:tcPr>
          <w:p>
            <w:pPr>
              <w:spacing w:after="0" w:line="240" w:lineRule="auto"/>
            </w:pPr>
            <w:r>
              <w:rPr>
                <w:color w:val="20252B"/>
                <w:sz w:val="15"/>
              </w:rPr>
              <w:t>Strong institutional coverage and client storytelling, with more complexity and less visual distinctiveness</w:t>
            </w:r>
          </w:p>
        </w:tc>
      </w:tr>
      <w:tr>
        <w:trPr>
          <w:cantSplit/>
        </w:trPr>
        <w:tc>
          <w:tcPr>
            <w:tcW w:type="dxa" w:w="1296"/>
            <w:tcMar>
              <w:top w:w="90" w:type="dxa"/>
              <w:start w:w="110" w:type="dxa"/>
              <w:bottom w:w="90" w:type="dxa"/>
              <w:end w:w="110" w:type="dxa"/>
            </w:tcMar>
            <w:vAlign w:val="center"/>
          </w:tcPr>
          <w:p>
            <w:pPr>
              <w:spacing w:after="0" w:line="240" w:lineRule="auto"/>
            </w:pPr>
            <w:r>
              <w:rPr>
                <w:color w:val="20252B"/>
                <w:sz w:val="15"/>
              </w:rPr>
              <w:t>EY</w:t>
            </w:r>
          </w:p>
        </w:tc>
        <w:tc>
          <w:tcPr>
            <w:tcW w:type="dxa" w:w="792"/>
            <w:tcMar>
              <w:top w:w="90" w:type="dxa"/>
              <w:start w:w="110" w:type="dxa"/>
              <w:bottom w:w="90" w:type="dxa"/>
              <w:end w:w="110" w:type="dxa"/>
            </w:tcMar>
            <w:vAlign w:val="center"/>
          </w:tcPr>
          <w:p>
            <w:pPr>
              <w:spacing w:after="0" w:line="240" w:lineRule="auto"/>
              <w:jc w:val="center"/>
            </w:pPr>
            <w:r>
              <w:rPr>
                <w:color w:val="20252B"/>
                <w:sz w:val="15"/>
              </w:rPr>
              <w:t>80</w:t>
            </w:r>
          </w:p>
        </w:tc>
        <w:tc>
          <w:tcPr>
            <w:tcW w:type="dxa" w:w="2376"/>
            <w:tcMar>
              <w:top w:w="90" w:type="dxa"/>
              <w:start w:w="110" w:type="dxa"/>
              <w:bottom w:w="90" w:type="dxa"/>
              <w:end w:w="110" w:type="dxa"/>
            </w:tcMar>
            <w:vAlign w:val="center"/>
          </w:tcPr>
          <w:p>
            <w:pPr>
              <w:spacing w:after="0" w:line="240" w:lineRule="auto"/>
            </w:pPr>
            <w:r>
              <w:rPr>
                <w:color w:val="20252B"/>
                <w:sz w:val="15"/>
              </w:rPr>
              <w:t>Best trust and case-study breadth</w:t>
            </w:r>
          </w:p>
        </w:tc>
        <w:tc>
          <w:tcPr>
            <w:tcW w:type="dxa" w:w="5184"/>
            <w:tcMar>
              <w:top w:w="90" w:type="dxa"/>
              <w:start w:w="110" w:type="dxa"/>
              <w:bottom w:w="90" w:type="dxa"/>
              <w:end w:w="110" w:type="dxa"/>
            </w:tcMar>
            <w:vAlign w:val="center"/>
          </w:tcPr>
          <w:p>
            <w:pPr>
              <w:spacing w:after="0" w:line="240" w:lineRule="auto"/>
            </w:pPr>
            <w:r>
              <w:rPr>
                <w:color w:val="20252B"/>
                <w:sz w:val="15"/>
              </w:rPr>
              <w:t>Deep proof and strong brand recognition, but a denser, more portal-like experience</w:t>
            </w:r>
          </w:p>
        </w:tc>
      </w:tr>
      <w:tr>
        <w:trPr>
          <w:cantSplit/>
        </w:trPr>
        <w:tc>
          <w:tcPr>
            <w:tcW w:type="dxa" w:w="1296"/>
            <w:tcMar>
              <w:top w:w="90" w:type="dxa"/>
              <w:start w:w="110" w:type="dxa"/>
              <w:bottom w:w="90" w:type="dxa"/>
              <w:end w:w="110" w:type="dxa"/>
            </w:tcMar>
            <w:vAlign w:val="center"/>
            <w:shd w:fill="F4F6F8"/>
          </w:tcPr>
          <w:p>
            <w:pPr>
              <w:spacing w:after="0" w:line="240" w:lineRule="auto"/>
            </w:pPr>
            <w:r>
              <w:rPr>
                <w:color w:val="20252B"/>
                <w:sz w:val="15"/>
              </w:rPr>
              <w:t>PwC</w:t>
            </w:r>
          </w:p>
        </w:tc>
        <w:tc>
          <w:tcPr>
            <w:tcW w:type="dxa" w:w="792"/>
            <w:tcMar>
              <w:top w:w="90" w:type="dxa"/>
              <w:start w:w="110" w:type="dxa"/>
              <w:bottom w:w="90" w:type="dxa"/>
              <w:end w:w="110" w:type="dxa"/>
            </w:tcMar>
            <w:vAlign w:val="center"/>
            <w:shd w:fill="F4F6F8"/>
          </w:tcPr>
          <w:p>
            <w:pPr>
              <w:spacing w:after="0" w:line="240" w:lineRule="auto"/>
              <w:jc w:val="center"/>
            </w:pPr>
            <w:r>
              <w:rPr>
                <w:color w:val="20252B"/>
                <w:sz w:val="15"/>
              </w:rPr>
              <w:t>78</w:t>
            </w:r>
          </w:p>
        </w:tc>
        <w:tc>
          <w:tcPr>
            <w:tcW w:type="dxa" w:w="2376"/>
            <w:tcMar>
              <w:top w:w="90" w:type="dxa"/>
              <w:start w:w="110" w:type="dxa"/>
              <w:bottom w:w="90" w:type="dxa"/>
              <w:end w:w="110" w:type="dxa"/>
            </w:tcMar>
            <w:vAlign w:val="center"/>
            <w:shd w:fill="F4F6F8"/>
          </w:tcPr>
          <w:p>
            <w:pPr>
              <w:spacing w:after="0" w:line="240" w:lineRule="auto"/>
            </w:pPr>
            <w:r>
              <w:rPr>
                <w:color w:val="20252B"/>
                <w:sz w:val="15"/>
              </w:rPr>
              <w:t>Best concise enterprise positioning</w:t>
            </w:r>
          </w:p>
        </w:tc>
        <w:tc>
          <w:tcPr>
            <w:tcW w:type="dxa" w:w="5184"/>
            <w:tcMar>
              <w:top w:w="90" w:type="dxa"/>
              <w:start w:w="110" w:type="dxa"/>
              <w:bottom w:w="90" w:type="dxa"/>
              <w:end w:w="110" w:type="dxa"/>
            </w:tcMar>
            <w:vAlign w:val="center"/>
            <w:shd w:fill="F4F6F8"/>
          </w:tcPr>
          <w:p>
            <w:pPr>
              <w:spacing w:after="0" w:line="240" w:lineRule="auto"/>
            </w:pPr>
            <w:r>
              <w:rPr>
                <w:color w:val="20252B"/>
                <w:sz w:val="15"/>
              </w:rPr>
              <w:t>Clean, restrained, and current, though the homepage is less emotionally or editorially distinctive</w:t>
            </w:r>
          </w:p>
        </w:tc>
      </w:tr>
      <w:tr>
        <w:trPr>
          <w:cantSplit/>
        </w:trPr>
        <w:tc>
          <w:tcPr>
            <w:tcW w:type="dxa" w:w="1296"/>
            <w:tcMar>
              <w:top w:w="90" w:type="dxa"/>
              <w:start w:w="110" w:type="dxa"/>
              <w:bottom w:w="90" w:type="dxa"/>
              <w:end w:w="110" w:type="dxa"/>
            </w:tcMar>
            <w:vAlign w:val="center"/>
          </w:tcPr>
          <w:p>
            <w:pPr>
              <w:spacing w:after="0" w:line="240" w:lineRule="auto"/>
            </w:pPr>
            <w:r>
              <w:rPr>
                <w:color w:val="20252B"/>
                <w:sz w:val="15"/>
              </w:rPr>
              <w:t>EchoFrame</w:t>
            </w:r>
          </w:p>
        </w:tc>
        <w:tc>
          <w:tcPr>
            <w:tcW w:type="dxa" w:w="792"/>
            <w:tcMar>
              <w:top w:w="90" w:type="dxa"/>
              <w:start w:w="110" w:type="dxa"/>
              <w:bottom w:w="90" w:type="dxa"/>
              <w:end w:w="110" w:type="dxa"/>
            </w:tcMar>
            <w:vAlign w:val="center"/>
          </w:tcPr>
          <w:p>
            <w:pPr>
              <w:spacing w:after="0" w:line="240" w:lineRule="auto"/>
              <w:jc w:val="center"/>
            </w:pPr>
            <w:r>
              <w:rPr>
                <w:color w:val="20252B"/>
                <w:sz w:val="15"/>
              </w:rPr>
              <w:t>76</w:t>
            </w:r>
          </w:p>
        </w:tc>
        <w:tc>
          <w:tcPr>
            <w:tcW w:type="dxa" w:w="2376"/>
            <w:tcMar>
              <w:top w:w="90" w:type="dxa"/>
              <w:start w:w="110" w:type="dxa"/>
              <w:bottom w:w="90" w:type="dxa"/>
              <w:end w:w="110" w:type="dxa"/>
            </w:tcMar>
            <w:vAlign w:val="center"/>
          </w:tcPr>
          <w:p>
            <w:pPr>
              <w:spacing w:after="0" w:line="240" w:lineRule="auto"/>
            </w:pPr>
            <w:r>
              <w:rPr>
                <w:color w:val="20252B"/>
                <w:sz w:val="15"/>
              </w:rPr>
              <w:t>Best focused startup narrative</w:t>
            </w:r>
          </w:p>
        </w:tc>
        <w:tc>
          <w:tcPr>
            <w:tcW w:type="dxa" w:w="5184"/>
            <w:tcMar>
              <w:top w:w="90" w:type="dxa"/>
              <w:start w:w="110" w:type="dxa"/>
              <w:bottom w:w="90" w:type="dxa"/>
              <w:end w:w="110" w:type="dxa"/>
            </w:tcMar>
            <w:vAlign w:val="center"/>
          </w:tcPr>
          <w:p>
            <w:pPr>
              <w:spacing w:after="0" w:line="240" w:lineRule="auto"/>
            </w:pPr>
            <w:r>
              <w:rPr>
                <w:color w:val="20252B"/>
                <w:sz w:val="15"/>
              </w:rPr>
              <w:t>Exceptional specificity and conversion clarity for its size, limited mainly by the depth and independence of proof</w:t>
            </w:r>
          </w:p>
        </w:tc>
      </w:tr>
      <w:tr>
        <w:trPr>
          <w:cantSplit/>
        </w:trPr>
        <w:tc>
          <w:tcPr>
            <w:tcW w:type="dxa" w:w="1296"/>
            <w:tcMar>
              <w:top w:w="90" w:type="dxa"/>
              <w:start w:w="110" w:type="dxa"/>
              <w:bottom w:w="90" w:type="dxa"/>
              <w:end w:w="110" w:type="dxa"/>
            </w:tcMar>
            <w:vAlign w:val="center"/>
            <w:shd w:fill="F4F6F8"/>
          </w:tcPr>
          <w:p>
            <w:pPr>
              <w:spacing w:after="0" w:line="240" w:lineRule="auto"/>
            </w:pPr>
            <w:r>
              <w:rPr>
                <w:color w:val="20252B"/>
                <w:sz w:val="15"/>
              </w:rPr>
              <w:t>KPMG</w:t>
            </w:r>
          </w:p>
        </w:tc>
        <w:tc>
          <w:tcPr>
            <w:tcW w:type="dxa" w:w="792"/>
            <w:tcMar>
              <w:top w:w="90" w:type="dxa"/>
              <w:start w:w="110" w:type="dxa"/>
              <w:bottom w:w="90" w:type="dxa"/>
              <w:end w:w="110" w:type="dxa"/>
            </w:tcMar>
            <w:vAlign w:val="center"/>
            <w:shd w:fill="F4F6F8"/>
          </w:tcPr>
          <w:p>
            <w:pPr>
              <w:spacing w:after="0" w:line="240" w:lineRule="auto"/>
              <w:jc w:val="center"/>
            </w:pPr>
            <w:r>
              <w:rPr>
                <w:color w:val="20252B"/>
                <w:sz w:val="15"/>
              </w:rPr>
              <w:t>74</w:t>
            </w:r>
          </w:p>
        </w:tc>
        <w:tc>
          <w:tcPr>
            <w:tcW w:type="dxa" w:w="2376"/>
            <w:tcMar>
              <w:top w:w="90" w:type="dxa"/>
              <w:start w:w="110" w:type="dxa"/>
              <w:bottom w:w="90" w:type="dxa"/>
              <w:end w:w="110" w:type="dxa"/>
            </w:tcMar>
            <w:vAlign w:val="center"/>
            <w:shd w:fill="F4F6F8"/>
          </w:tcPr>
          <w:p>
            <w:pPr>
              <w:spacing w:after="0" w:line="240" w:lineRule="auto"/>
            </w:pPr>
            <w:r>
              <w:rPr>
                <w:color w:val="20252B"/>
                <w:sz w:val="15"/>
              </w:rPr>
              <w:t>Best conventional Big Four clarity</w:t>
            </w:r>
          </w:p>
        </w:tc>
        <w:tc>
          <w:tcPr>
            <w:tcW w:type="dxa" w:w="5184"/>
            <w:tcMar>
              <w:top w:w="90" w:type="dxa"/>
              <w:start w:w="110" w:type="dxa"/>
              <w:bottom w:w="90" w:type="dxa"/>
              <w:end w:w="110" w:type="dxa"/>
            </w:tcMar>
            <w:vAlign w:val="center"/>
            <w:shd w:fill="F4F6F8"/>
          </w:tcPr>
          <w:p>
            <w:pPr>
              <w:spacing w:after="0" w:line="240" w:lineRule="auto"/>
            </w:pPr>
            <w:r>
              <w:rPr>
                <w:color w:val="20252B"/>
                <w:sz w:val="15"/>
              </w:rPr>
              <w:t>Solid structure and recognizable visual system, but generic positioning and intrusive first-visit friction reduce impact</w:t>
            </w:r>
          </w:p>
        </w:tc>
      </w:tr>
      <w:tr>
        <w:trPr>
          <w:cantSplit/>
        </w:trPr>
        <w:tc>
          <w:tcPr>
            <w:tcW w:type="dxa" w:w="1296"/>
            <w:tcMar>
              <w:top w:w="90" w:type="dxa"/>
              <w:start w:w="110" w:type="dxa"/>
              <w:bottom w:w="90" w:type="dxa"/>
              <w:end w:w="110" w:type="dxa"/>
            </w:tcMar>
            <w:vAlign w:val="center"/>
          </w:tcPr>
          <w:p>
            <w:pPr>
              <w:spacing w:after="0" w:line="240" w:lineRule="auto"/>
            </w:pPr>
            <w:r>
              <w:rPr>
                <w:color w:val="20252B"/>
                <w:sz w:val="15"/>
              </w:rPr>
              <w:t>Baker Tilly</w:t>
            </w:r>
          </w:p>
        </w:tc>
        <w:tc>
          <w:tcPr>
            <w:tcW w:type="dxa" w:w="792"/>
            <w:tcMar>
              <w:top w:w="90" w:type="dxa"/>
              <w:start w:w="110" w:type="dxa"/>
              <w:bottom w:w="90" w:type="dxa"/>
              <w:end w:w="110" w:type="dxa"/>
            </w:tcMar>
            <w:vAlign w:val="center"/>
          </w:tcPr>
          <w:p>
            <w:pPr>
              <w:spacing w:after="0" w:line="240" w:lineRule="auto"/>
              <w:jc w:val="center"/>
            </w:pPr>
            <w:r>
              <w:rPr>
                <w:color w:val="20252B"/>
                <w:sz w:val="15"/>
              </w:rPr>
              <w:t>64</w:t>
            </w:r>
          </w:p>
        </w:tc>
        <w:tc>
          <w:tcPr>
            <w:tcW w:type="dxa" w:w="2376"/>
            <w:tcMar>
              <w:top w:w="90" w:type="dxa"/>
              <w:start w:w="110" w:type="dxa"/>
              <w:bottom w:w="90" w:type="dxa"/>
              <w:end w:w="110" w:type="dxa"/>
            </w:tcMar>
            <w:vAlign w:val="center"/>
          </w:tcPr>
          <w:p>
            <w:pPr>
              <w:spacing w:after="0" w:line="240" w:lineRule="auto"/>
            </w:pPr>
            <w:r>
              <w:rPr>
                <w:color w:val="20252B"/>
                <w:sz w:val="15"/>
              </w:rPr>
              <w:t>Best restrained service-page typography</w:t>
            </w:r>
          </w:p>
        </w:tc>
        <w:tc>
          <w:tcPr>
            <w:tcW w:type="dxa" w:w="5184"/>
            <w:tcMar>
              <w:top w:w="90" w:type="dxa"/>
              <w:start w:w="110" w:type="dxa"/>
              <w:bottom w:w="90" w:type="dxa"/>
              <w:end w:w="110" w:type="dxa"/>
            </w:tcMar>
            <w:vAlign w:val="center"/>
          </w:tcPr>
          <w:p>
            <w:pPr>
              <w:spacing w:after="0" w:line="240" w:lineRule="auto"/>
            </w:pPr>
            <w:r>
              <w:rPr>
                <w:color w:val="20252B"/>
                <w:sz w:val="15"/>
              </w:rPr>
              <w:t>Mature visual craft, but weak differentiation, proof density, and page-level conversion architecture</w:t>
            </w:r>
          </w:p>
        </w:tc>
      </w:tr>
    </w:tbl>
    <w:p>
      <w:pPr>
        <w:spacing w:after="20"/>
      </w:pPr>
    </w:p>
    <w:p>
      <w:pPr>
        <w:pStyle w:val="Small"/>
      </w:pPr>
      <w:r>
        <w:t>Scores are expert heuristic judgments, not observed conversion rates. Brand reputation was not awarded as a separate category, but visible proof and institutional completeness necessarily affect how the website communicates trust.</w:t>
      </w:r>
    </w:p>
    <w:p>
      <w:pPr>
        <w:pStyle w:val="Heading2"/>
      </w:pPr>
      <w:r>
        <w:t>The most important finding</w:t>
      </w:r>
    </w:p>
    <w:p>
      <w:r>
        <w:t>Elite does not mean maximal. Bain's site is more persuasive than several larger networks because it resolves a visitor's core questions in a deliberate sequence: relevance, capability, evidence, intellectual authority, and next action. Sites become weaker when they substitute breadth for prioritization. A large menu can demonstrate scale, but it can also reveal that the organization has not decided what matters most on the page.</w:t>
      </w:r>
    </w:p>
    <w:p>
      <w:r>
        <w:br w:type="page"/>
      </w:r>
    </w:p>
    <w:p>
      <w:pPr>
        <w:pStyle w:val="Heading1"/>
      </w:pPr>
      <w:r>
        <w:t>Methodology and Scoring Framework</w:t>
      </w:r>
    </w:p>
    <w:p>
      <w:r>
        <w:t>The review combined direct inspection of the public pages, rendered desktop views where available, semantic page structure, visible copy and navigation, content inventory, conversion routes, and current standards for web performance and accessibility. It is a comparative heuristic audit, not a replacement for analytics, moderated user testing, assistive-technology testing, or field performance data.</w:t>
      </w:r>
    </w:p>
    <w:tbl>
      <w:tblPr>
        <w:tblW w:type="auto" w:w="0"/>
        <w:jc w:val="center"/>
        <w:tblLayout w:type="fixed"/>
        <w:tblLook w:firstColumn="1" w:firstRow="1" w:lastColumn="0" w:lastRow="0" w:noHBand="0" w:noVBand="1" w:val="04A0"/>
        <w:tblBorders>
          <w:top w:val="single" w:sz="5" w:color="D9DDE2"/>
          <w:left w:val="single" w:sz="5" w:color="D9DDE2"/>
          <w:bottom w:val="single" w:sz="5" w:color="D9DDE2"/>
          <w:right w:val="single" w:sz="5" w:color="D9DDE2"/>
          <w:insideH w:val="single" w:sz="5" w:color="D9DDE2"/>
          <w:insideV w:val="single" w:sz="5" w:color="D9DDE2"/>
        </w:tblBorders>
      </w:tblPr>
      <w:tblGrid>
        <w:gridCol w:w="3331"/>
        <w:gridCol w:w="3331"/>
        <w:gridCol w:w="3331"/>
      </w:tblGrid>
      <w:tr>
        <w:trPr>
          <w:tblHeader w:val="true"/>
          <w:cantSplit/>
        </w:trPr>
        <w:tc>
          <w:tcPr>
            <w:tcW w:type="dxa" w:w="3331"/>
            <w:shd w:fill="0B1F33"/>
            <w:tcMar>
              <w:top w:w="90" w:type="dxa"/>
              <w:start w:w="110" w:type="dxa"/>
              <w:bottom w:w="90" w:type="dxa"/>
              <w:end w:w="110" w:type="dxa"/>
            </w:tcMar>
            <w:vAlign w:val="center"/>
          </w:tcPr>
          <w:p>
            <w:pPr>
              <w:spacing w:after="0"/>
              <w:jc w:val="center"/>
            </w:pPr>
            <w:r>
              <w:rPr>
                <w:b/>
                <w:color w:val="FFFFFF"/>
                <w:sz w:val="17"/>
              </w:rPr>
              <w:t>Dimension</w:t>
            </w:r>
          </w:p>
        </w:tc>
        <w:tc>
          <w:tcPr>
            <w:tcW w:type="dxa" w:w="3331"/>
            <w:shd w:fill="0B1F33"/>
            <w:tcMar>
              <w:top w:w="90" w:type="dxa"/>
              <w:start w:w="110" w:type="dxa"/>
              <w:bottom w:w="90" w:type="dxa"/>
              <w:end w:w="110" w:type="dxa"/>
            </w:tcMar>
            <w:vAlign w:val="center"/>
          </w:tcPr>
          <w:p>
            <w:pPr>
              <w:spacing w:after="0"/>
              <w:jc w:val="center"/>
            </w:pPr>
            <w:r>
              <w:rPr>
                <w:b/>
                <w:color w:val="FFFFFF"/>
                <w:sz w:val="17"/>
              </w:rPr>
              <w:t>Weight</w:t>
            </w:r>
          </w:p>
        </w:tc>
        <w:tc>
          <w:tcPr>
            <w:tcW w:type="dxa" w:w="3331"/>
            <w:shd w:fill="0B1F33"/>
            <w:tcMar>
              <w:top w:w="90" w:type="dxa"/>
              <w:start w:w="110" w:type="dxa"/>
              <w:bottom w:w="90" w:type="dxa"/>
              <w:end w:w="110" w:type="dxa"/>
            </w:tcMar>
            <w:vAlign w:val="center"/>
          </w:tcPr>
          <w:p>
            <w:pPr>
              <w:spacing w:after="0"/>
              <w:jc w:val="center"/>
            </w:pPr>
            <w:r>
              <w:rPr>
                <w:b/>
                <w:color w:val="FFFFFF"/>
                <w:sz w:val="17"/>
              </w:rPr>
              <w:t>What was examined</w:t>
            </w:r>
          </w:p>
        </w:tc>
      </w:tr>
      <w:tr>
        <w:trPr>
          <w:cantSplit/>
        </w:trPr>
        <w:tc>
          <w:tcPr>
            <w:tcW w:type="dxa" w:w="2448"/>
            <w:tcMar>
              <w:top w:w="90" w:type="dxa"/>
              <w:start w:w="110" w:type="dxa"/>
              <w:bottom w:w="90" w:type="dxa"/>
              <w:end w:w="110" w:type="dxa"/>
            </w:tcMar>
            <w:vAlign w:val="center"/>
          </w:tcPr>
          <w:p>
            <w:pPr>
              <w:spacing w:after="0" w:line="240" w:lineRule="auto"/>
            </w:pPr>
            <w:r>
              <w:rPr>
                <w:color w:val="20252B"/>
                <w:sz w:val="17"/>
              </w:rPr>
              <w:t>Brand and visual system</w:t>
            </w:r>
          </w:p>
        </w:tc>
        <w:tc>
          <w:tcPr>
            <w:tcW w:type="dxa" w:w="1008"/>
            <w:tcMar>
              <w:top w:w="90" w:type="dxa"/>
              <w:start w:w="110" w:type="dxa"/>
              <w:bottom w:w="90" w:type="dxa"/>
              <w:end w:w="110" w:type="dxa"/>
            </w:tcMar>
            <w:vAlign w:val="center"/>
          </w:tcPr>
          <w:p>
            <w:pPr>
              <w:spacing w:after="0" w:line="240" w:lineRule="auto"/>
              <w:jc w:val="center"/>
            </w:pPr>
            <w:r>
              <w:rPr>
                <w:color w:val="20252B"/>
                <w:sz w:val="17"/>
              </w:rPr>
              <w:t>15</w:t>
            </w:r>
          </w:p>
        </w:tc>
        <w:tc>
          <w:tcPr>
            <w:tcW w:type="dxa" w:w="6192"/>
            <w:tcMar>
              <w:top w:w="90" w:type="dxa"/>
              <w:start w:w="110" w:type="dxa"/>
              <w:bottom w:w="90" w:type="dxa"/>
              <w:end w:w="110" w:type="dxa"/>
            </w:tcMar>
            <w:vAlign w:val="center"/>
          </w:tcPr>
          <w:p>
            <w:pPr>
              <w:spacing w:after="0" w:line="240" w:lineRule="auto"/>
            </w:pPr>
            <w:r>
              <w:rPr>
                <w:color w:val="20252B"/>
                <w:sz w:val="17"/>
              </w:rPr>
              <w:t>Distinctiveness, typography, color discipline, imagery, motion, layout, and consistency</w:t>
            </w:r>
          </w:p>
        </w:tc>
      </w:tr>
      <w:tr>
        <w:trPr>
          <w:cantSplit/>
        </w:trPr>
        <w:tc>
          <w:tcPr>
            <w:tcW w:type="dxa" w:w="2448"/>
            <w:tcMar>
              <w:top w:w="90" w:type="dxa"/>
              <w:start w:w="110" w:type="dxa"/>
              <w:bottom w:w="90" w:type="dxa"/>
              <w:end w:w="110" w:type="dxa"/>
            </w:tcMar>
            <w:vAlign w:val="center"/>
            <w:shd w:fill="F4F6F8"/>
          </w:tcPr>
          <w:p>
            <w:pPr>
              <w:spacing w:after="0" w:line="240" w:lineRule="auto"/>
            </w:pPr>
            <w:r>
              <w:rPr>
                <w:color w:val="20252B"/>
                <w:sz w:val="17"/>
              </w:rPr>
              <w:t>Information architecture</w:t>
            </w:r>
          </w:p>
        </w:tc>
        <w:tc>
          <w:tcPr>
            <w:tcW w:type="dxa" w:w="1008"/>
            <w:tcMar>
              <w:top w:w="90" w:type="dxa"/>
              <w:start w:w="110" w:type="dxa"/>
              <w:bottom w:w="90" w:type="dxa"/>
              <w:end w:w="110" w:type="dxa"/>
            </w:tcMar>
            <w:vAlign w:val="center"/>
            <w:shd w:fill="F4F6F8"/>
          </w:tcPr>
          <w:p>
            <w:pPr>
              <w:spacing w:after="0" w:line="240" w:lineRule="auto"/>
              <w:jc w:val="center"/>
            </w:pPr>
            <w:r>
              <w:rPr>
                <w:color w:val="20252B"/>
                <w:sz w:val="17"/>
              </w:rPr>
              <w:t>15</w:t>
            </w:r>
          </w:p>
        </w:tc>
        <w:tc>
          <w:tcPr>
            <w:tcW w:type="dxa" w:w="6192"/>
            <w:tcMar>
              <w:top w:w="90" w:type="dxa"/>
              <w:start w:w="110" w:type="dxa"/>
              <w:bottom w:w="90" w:type="dxa"/>
              <w:end w:w="110" w:type="dxa"/>
            </w:tcMar>
            <w:vAlign w:val="center"/>
            <w:shd w:fill="F4F6F8"/>
          </w:tcPr>
          <w:p>
            <w:pPr>
              <w:spacing w:after="0" w:line="240" w:lineRule="auto"/>
            </w:pPr>
            <w:r>
              <w:rPr>
                <w:color w:val="20252B"/>
                <w:sz w:val="17"/>
              </w:rPr>
              <w:t>Navigation logic, findability, search, audience pathways, labeling, and depth management</w:t>
            </w:r>
          </w:p>
        </w:tc>
      </w:tr>
      <w:tr>
        <w:trPr>
          <w:cantSplit/>
        </w:trPr>
        <w:tc>
          <w:tcPr>
            <w:tcW w:type="dxa" w:w="2448"/>
            <w:tcMar>
              <w:top w:w="90" w:type="dxa"/>
              <w:start w:w="110" w:type="dxa"/>
              <w:bottom w:w="90" w:type="dxa"/>
              <w:end w:w="110" w:type="dxa"/>
            </w:tcMar>
            <w:vAlign w:val="center"/>
          </w:tcPr>
          <w:p>
            <w:pPr>
              <w:spacing w:after="0" w:line="240" w:lineRule="auto"/>
            </w:pPr>
            <w:r>
              <w:rPr>
                <w:color w:val="20252B"/>
                <w:sz w:val="17"/>
              </w:rPr>
              <w:t>Homepage narrative</w:t>
            </w:r>
          </w:p>
        </w:tc>
        <w:tc>
          <w:tcPr>
            <w:tcW w:type="dxa" w:w="1008"/>
            <w:tcMar>
              <w:top w:w="90" w:type="dxa"/>
              <w:start w:w="110" w:type="dxa"/>
              <w:bottom w:w="90" w:type="dxa"/>
              <w:end w:w="110" w:type="dxa"/>
            </w:tcMar>
            <w:vAlign w:val="center"/>
          </w:tcPr>
          <w:p>
            <w:pPr>
              <w:spacing w:after="0" w:line="240" w:lineRule="auto"/>
              <w:jc w:val="center"/>
            </w:pPr>
            <w:r>
              <w:rPr>
                <w:color w:val="20252B"/>
                <w:sz w:val="17"/>
              </w:rPr>
              <w:t>15</w:t>
            </w:r>
          </w:p>
        </w:tc>
        <w:tc>
          <w:tcPr>
            <w:tcW w:type="dxa" w:w="6192"/>
            <w:tcMar>
              <w:top w:w="90" w:type="dxa"/>
              <w:start w:w="110" w:type="dxa"/>
              <w:bottom w:w="90" w:type="dxa"/>
              <w:end w:w="110" w:type="dxa"/>
            </w:tcMar>
            <w:vAlign w:val="center"/>
          </w:tcPr>
          <w:p>
            <w:pPr>
              <w:spacing w:after="0" w:line="240" w:lineRule="auto"/>
            </w:pPr>
            <w:r>
              <w:rPr>
                <w:color w:val="20252B"/>
                <w:sz w:val="17"/>
              </w:rPr>
              <w:t>Clarity of proposition, sequencing, relevance, message hierarchy, and memorability</w:t>
            </w:r>
          </w:p>
        </w:tc>
      </w:tr>
      <w:tr>
        <w:trPr>
          <w:cantSplit/>
        </w:trPr>
        <w:tc>
          <w:tcPr>
            <w:tcW w:type="dxa" w:w="2448"/>
            <w:tcMar>
              <w:top w:w="90" w:type="dxa"/>
              <w:start w:w="110" w:type="dxa"/>
              <w:bottom w:w="90" w:type="dxa"/>
              <w:end w:w="110" w:type="dxa"/>
            </w:tcMar>
            <w:vAlign w:val="center"/>
            <w:shd w:fill="F4F6F8"/>
          </w:tcPr>
          <w:p>
            <w:pPr>
              <w:spacing w:after="0" w:line="240" w:lineRule="auto"/>
            </w:pPr>
            <w:r>
              <w:rPr>
                <w:color w:val="20252B"/>
                <w:sz w:val="17"/>
              </w:rPr>
              <w:t>Thought leadership</w:t>
            </w:r>
          </w:p>
        </w:tc>
        <w:tc>
          <w:tcPr>
            <w:tcW w:type="dxa" w:w="1008"/>
            <w:tcMar>
              <w:top w:w="90" w:type="dxa"/>
              <w:start w:w="110" w:type="dxa"/>
              <w:bottom w:w="90" w:type="dxa"/>
              <w:end w:w="110" w:type="dxa"/>
            </w:tcMar>
            <w:vAlign w:val="center"/>
            <w:shd w:fill="F4F6F8"/>
          </w:tcPr>
          <w:p>
            <w:pPr>
              <w:spacing w:after="0" w:line="240" w:lineRule="auto"/>
              <w:jc w:val="center"/>
            </w:pPr>
            <w:r>
              <w:rPr>
                <w:color w:val="20252B"/>
                <w:sz w:val="17"/>
              </w:rPr>
              <w:t>10</w:t>
            </w:r>
          </w:p>
        </w:tc>
        <w:tc>
          <w:tcPr>
            <w:tcW w:type="dxa" w:w="6192"/>
            <w:tcMar>
              <w:top w:w="90" w:type="dxa"/>
              <w:start w:w="110" w:type="dxa"/>
              <w:bottom w:w="90" w:type="dxa"/>
              <w:end w:w="110" w:type="dxa"/>
            </w:tcMar>
            <w:vAlign w:val="center"/>
            <w:shd w:fill="F4F6F8"/>
          </w:tcPr>
          <w:p>
            <w:pPr>
              <w:spacing w:after="0" w:line="240" w:lineRule="auto"/>
            </w:pPr>
            <w:r>
              <w:rPr>
                <w:color w:val="20252B"/>
                <w:sz w:val="17"/>
              </w:rPr>
              <w:t>Depth, freshness, editorial packaging, discoverability, and usefulness</w:t>
            </w:r>
          </w:p>
        </w:tc>
      </w:tr>
      <w:tr>
        <w:trPr>
          <w:cantSplit/>
        </w:trPr>
        <w:tc>
          <w:tcPr>
            <w:tcW w:type="dxa" w:w="2448"/>
            <w:tcMar>
              <w:top w:w="90" w:type="dxa"/>
              <w:start w:w="110" w:type="dxa"/>
              <w:bottom w:w="90" w:type="dxa"/>
              <w:end w:w="110" w:type="dxa"/>
            </w:tcMar>
            <w:vAlign w:val="center"/>
          </w:tcPr>
          <w:p>
            <w:pPr>
              <w:spacing w:after="0" w:line="240" w:lineRule="auto"/>
            </w:pPr>
            <w:r>
              <w:rPr>
                <w:color w:val="20252B"/>
                <w:sz w:val="17"/>
              </w:rPr>
              <w:t>Proof and trust</w:t>
            </w:r>
          </w:p>
        </w:tc>
        <w:tc>
          <w:tcPr>
            <w:tcW w:type="dxa" w:w="1008"/>
            <w:tcMar>
              <w:top w:w="90" w:type="dxa"/>
              <w:start w:w="110" w:type="dxa"/>
              <w:bottom w:w="90" w:type="dxa"/>
              <w:end w:w="110" w:type="dxa"/>
            </w:tcMar>
            <w:vAlign w:val="center"/>
          </w:tcPr>
          <w:p>
            <w:pPr>
              <w:spacing w:after="0" w:line="240" w:lineRule="auto"/>
              <w:jc w:val="center"/>
            </w:pPr>
            <w:r>
              <w:rPr>
                <w:color w:val="20252B"/>
                <w:sz w:val="17"/>
              </w:rPr>
              <w:t>15</w:t>
            </w:r>
          </w:p>
        </w:tc>
        <w:tc>
          <w:tcPr>
            <w:tcW w:type="dxa" w:w="6192"/>
            <w:tcMar>
              <w:top w:w="90" w:type="dxa"/>
              <w:start w:w="110" w:type="dxa"/>
              <w:bottom w:w="90" w:type="dxa"/>
              <w:end w:w="110" w:type="dxa"/>
            </w:tcMar>
            <w:vAlign w:val="center"/>
          </w:tcPr>
          <w:p>
            <w:pPr>
              <w:spacing w:after="0" w:line="240" w:lineRule="auto"/>
            </w:pPr>
            <w:r>
              <w:rPr>
                <w:color w:val="20252B"/>
                <w:sz w:val="17"/>
              </w:rPr>
              <w:t>Case studies, quantified outcomes, named clients, experts, credentials, governance, and transparency</w:t>
            </w:r>
          </w:p>
        </w:tc>
      </w:tr>
      <w:tr>
        <w:trPr>
          <w:cantSplit/>
        </w:trPr>
        <w:tc>
          <w:tcPr>
            <w:tcW w:type="dxa" w:w="2448"/>
            <w:tcMar>
              <w:top w:w="90" w:type="dxa"/>
              <w:start w:w="110" w:type="dxa"/>
              <w:bottom w:w="90" w:type="dxa"/>
              <w:end w:w="110" w:type="dxa"/>
            </w:tcMar>
            <w:vAlign w:val="center"/>
            <w:shd w:fill="F4F6F8"/>
          </w:tcPr>
          <w:p>
            <w:pPr>
              <w:spacing w:after="0" w:line="240" w:lineRule="auto"/>
            </w:pPr>
            <w:r>
              <w:rPr>
                <w:color w:val="20252B"/>
                <w:sz w:val="17"/>
              </w:rPr>
              <w:t>Conversion architecture</w:t>
            </w:r>
          </w:p>
        </w:tc>
        <w:tc>
          <w:tcPr>
            <w:tcW w:type="dxa" w:w="1008"/>
            <w:tcMar>
              <w:top w:w="90" w:type="dxa"/>
              <w:start w:w="110" w:type="dxa"/>
              <w:bottom w:w="90" w:type="dxa"/>
              <w:end w:w="110" w:type="dxa"/>
            </w:tcMar>
            <w:vAlign w:val="center"/>
            <w:shd w:fill="F4F6F8"/>
          </w:tcPr>
          <w:p>
            <w:pPr>
              <w:spacing w:after="0" w:line="240" w:lineRule="auto"/>
              <w:jc w:val="center"/>
            </w:pPr>
            <w:r>
              <w:rPr>
                <w:color w:val="20252B"/>
                <w:sz w:val="17"/>
              </w:rPr>
              <w:t>10</w:t>
            </w:r>
          </w:p>
        </w:tc>
        <w:tc>
          <w:tcPr>
            <w:tcW w:type="dxa" w:w="6192"/>
            <w:tcMar>
              <w:top w:w="90" w:type="dxa"/>
              <w:start w:w="110" w:type="dxa"/>
              <w:bottom w:w="90" w:type="dxa"/>
              <w:end w:w="110" w:type="dxa"/>
            </w:tcMar>
            <w:vAlign w:val="center"/>
            <w:shd w:fill="F4F6F8"/>
          </w:tcPr>
          <w:p>
            <w:pPr>
              <w:spacing w:after="0" w:line="240" w:lineRule="auto"/>
            </w:pPr>
            <w:r>
              <w:rPr>
                <w:color w:val="20252B"/>
                <w:sz w:val="17"/>
              </w:rPr>
              <w:t>Intent matching, CTA hierarchy, contact routes, friction, and continuity</w:t>
            </w:r>
          </w:p>
        </w:tc>
      </w:tr>
      <w:tr>
        <w:trPr>
          <w:cantSplit/>
        </w:trPr>
        <w:tc>
          <w:tcPr>
            <w:tcW w:type="dxa" w:w="2448"/>
            <w:tcMar>
              <w:top w:w="90" w:type="dxa"/>
              <w:start w:w="110" w:type="dxa"/>
              <w:bottom w:w="90" w:type="dxa"/>
              <w:end w:w="110" w:type="dxa"/>
            </w:tcMar>
            <w:vAlign w:val="center"/>
          </w:tcPr>
          <w:p>
            <w:pPr>
              <w:spacing w:after="0" w:line="240" w:lineRule="auto"/>
            </w:pPr>
            <w:r>
              <w:rPr>
                <w:color w:val="20252B"/>
                <w:sz w:val="17"/>
              </w:rPr>
              <w:t>Accessibility</w:t>
            </w:r>
          </w:p>
        </w:tc>
        <w:tc>
          <w:tcPr>
            <w:tcW w:type="dxa" w:w="1008"/>
            <w:tcMar>
              <w:top w:w="90" w:type="dxa"/>
              <w:start w:w="110" w:type="dxa"/>
              <w:bottom w:w="90" w:type="dxa"/>
              <w:end w:w="110" w:type="dxa"/>
            </w:tcMar>
            <w:vAlign w:val="center"/>
          </w:tcPr>
          <w:p>
            <w:pPr>
              <w:spacing w:after="0" w:line="240" w:lineRule="auto"/>
              <w:jc w:val="center"/>
            </w:pPr>
            <w:r>
              <w:rPr>
                <w:color w:val="20252B"/>
                <w:sz w:val="17"/>
              </w:rPr>
              <w:t>10</w:t>
            </w:r>
          </w:p>
        </w:tc>
        <w:tc>
          <w:tcPr>
            <w:tcW w:type="dxa" w:w="6192"/>
            <w:tcMar>
              <w:top w:w="90" w:type="dxa"/>
              <w:start w:w="110" w:type="dxa"/>
              <w:bottom w:w="90" w:type="dxa"/>
              <w:end w:w="110" w:type="dxa"/>
            </w:tcMar>
            <w:vAlign w:val="center"/>
          </w:tcPr>
          <w:p>
            <w:pPr>
              <w:spacing w:after="0" w:line="240" w:lineRule="auto"/>
            </w:pPr>
            <w:r>
              <w:rPr>
                <w:color w:val="20252B"/>
                <w:sz w:val="17"/>
              </w:rPr>
              <w:t>Semantic landmarks, skip links, contrast, target clarity, motion control, and content readability</w:t>
            </w:r>
          </w:p>
        </w:tc>
      </w:tr>
      <w:tr>
        <w:trPr>
          <w:cantSplit/>
        </w:trPr>
        <w:tc>
          <w:tcPr>
            <w:tcW w:type="dxa" w:w="2448"/>
            <w:tcMar>
              <w:top w:w="90" w:type="dxa"/>
              <w:start w:w="110" w:type="dxa"/>
              <w:bottom w:w="90" w:type="dxa"/>
              <w:end w:w="110" w:type="dxa"/>
            </w:tcMar>
            <w:vAlign w:val="center"/>
            <w:shd w:fill="F4F6F8"/>
          </w:tcPr>
          <w:p>
            <w:pPr>
              <w:spacing w:after="0" w:line="240" w:lineRule="auto"/>
            </w:pPr>
            <w:r>
              <w:rPr>
                <w:color w:val="20252B"/>
                <w:sz w:val="17"/>
              </w:rPr>
              <w:t>Technical and search signals</w:t>
            </w:r>
          </w:p>
        </w:tc>
        <w:tc>
          <w:tcPr>
            <w:tcW w:type="dxa" w:w="1008"/>
            <w:tcMar>
              <w:top w:w="90" w:type="dxa"/>
              <w:start w:w="110" w:type="dxa"/>
              <w:bottom w:w="90" w:type="dxa"/>
              <w:end w:w="110" w:type="dxa"/>
            </w:tcMar>
            <w:vAlign w:val="center"/>
            <w:shd w:fill="F4F6F8"/>
          </w:tcPr>
          <w:p>
            <w:pPr>
              <w:spacing w:after="0" w:line="240" w:lineRule="auto"/>
              <w:jc w:val="center"/>
            </w:pPr>
            <w:r>
              <w:rPr>
                <w:color w:val="20252B"/>
                <w:sz w:val="17"/>
              </w:rPr>
              <w:t>10</w:t>
            </w:r>
          </w:p>
        </w:tc>
        <w:tc>
          <w:tcPr>
            <w:tcW w:type="dxa" w:w="6192"/>
            <w:tcMar>
              <w:top w:w="90" w:type="dxa"/>
              <w:start w:w="110" w:type="dxa"/>
              <w:bottom w:w="90" w:type="dxa"/>
              <w:end w:w="110" w:type="dxa"/>
            </w:tcMar>
            <w:vAlign w:val="center"/>
            <w:shd w:fill="F4F6F8"/>
          </w:tcPr>
          <w:p>
            <w:pPr>
              <w:spacing w:after="0" w:line="240" w:lineRule="auto"/>
            </w:pPr>
            <w:r>
              <w:rPr>
                <w:color w:val="20252B"/>
                <w:sz w:val="17"/>
              </w:rPr>
              <w:t>Metadata, semantic structure, asset discipline, page complexity, and performance risk</w:t>
            </w:r>
          </w:p>
        </w:tc>
      </w:tr>
    </w:tbl>
    <w:p>
      <w:pPr>
        <w:spacing w:after="20"/>
      </w:pPr>
    </w:p>
    <w:p>
      <w:pPr>
        <w:pStyle w:val="Heading2"/>
      </w:pPr>
      <w:r>
        <w:t>Evidence boundaries</w:t>
      </w:r>
    </w:p>
    <w:p>
      <w:pPr>
        <w:pStyle w:val="ListBullet"/>
        <w:spacing w:after="60"/>
      </w:pPr>
      <w:r>
        <w:t>The audit reflects public pages as presented on the review date. Homepage campaigns and featured content change frequently.</w:t>
      </w:r>
    </w:p>
    <w:p>
      <w:pPr>
        <w:pStyle w:val="ListBullet"/>
        <w:spacing w:after="60"/>
      </w:pPr>
      <w:r>
        <w:t>Bain and some other sites presented automated-browser restrictions during direct visual inspection. Their content and structure were still reviewed through accessible public page content, but claims about animation or fine-grained rendering are intentionally limited.</w:t>
      </w:r>
    </w:p>
    <w:p>
      <w:pPr>
        <w:pStyle w:val="ListBullet"/>
        <w:spacing w:after="60"/>
      </w:pPr>
      <w:r>
        <w:t>No private analytics, conversion rates, heatmaps, CRM data, user recordings, A/B-test results, or content-governance processes were available.</w:t>
      </w:r>
    </w:p>
    <w:p>
      <w:pPr>
        <w:pStyle w:val="ListBullet"/>
        <w:spacing w:after="60"/>
      </w:pPr>
      <w:r>
        <w:t>Technical comments identify observable strengths and risks. They are not Lighthouse scores or field Core Web Vitals. Google's Core Web Vitals framework treats LCP, INP, and CLS as core user-experience measures.[10]</w:t>
      </w:r>
    </w:p>
    <w:p>
      <w:pPr>
        <w:pStyle w:val="ListBullet"/>
        <w:spacing w:after="60"/>
      </w:pPr>
      <w:r>
        <w:t>Accessibility comments are directional. Formal conformance requires testing against WCAG 2.2, including keyboard, screen-reader, zoom, contrast, focus, and target-size checks.[11]</w:t>
      </w:r>
    </w:p>
    <w:p>
      <w:pPr>
        <w:pStyle w:val="Heading2"/>
      </w:pPr>
      <w:r>
        <w:t>Score matrix</w:t>
      </w:r>
    </w:p>
    <w:tbl>
      <w:tblPr>
        <w:tblW w:type="auto" w:w="0"/>
        <w:jc w:val="center"/>
        <w:tblLayout w:type="fixed"/>
        <w:tblLook w:firstColumn="1" w:firstRow="1" w:lastColumn="0" w:lastRow="0" w:noHBand="0" w:noVBand="1" w:val="04A0"/>
        <w:tblBorders>
          <w:top w:val="single" w:sz="5" w:color="D9DDE2"/>
          <w:left w:val="single" w:sz="5" w:color="D9DDE2"/>
          <w:bottom w:val="single" w:sz="5" w:color="D9DDE2"/>
          <w:right w:val="single" w:sz="5" w:color="D9DDE2"/>
          <w:insideH w:val="single" w:sz="5" w:color="D9DDE2"/>
          <w:insideV w:val="single" w:sz="5" w:color="D9DDE2"/>
        </w:tblBorders>
      </w:tblPr>
      <w:tblGrid>
        <w:gridCol w:w="999"/>
        <w:gridCol w:w="999"/>
        <w:gridCol w:w="999"/>
        <w:gridCol w:w="999"/>
        <w:gridCol w:w="999"/>
        <w:gridCol w:w="999"/>
        <w:gridCol w:w="999"/>
        <w:gridCol w:w="999"/>
        <w:gridCol w:w="999"/>
        <w:gridCol w:w="999"/>
      </w:tblGrid>
      <w:tr>
        <w:trPr>
          <w:tblHeader w:val="true"/>
          <w:cantSplit/>
        </w:trPr>
        <w:tc>
          <w:tcPr>
            <w:tcW w:type="dxa" w:w="999"/>
            <w:shd w:fill="0B1F33"/>
            <w:tcMar>
              <w:top w:w="90" w:type="dxa"/>
              <w:start w:w="110" w:type="dxa"/>
              <w:bottom w:w="90" w:type="dxa"/>
              <w:end w:w="110" w:type="dxa"/>
            </w:tcMar>
            <w:vAlign w:val="center"/>
          </w:tcPr>
          <w:p>
            <w:pPr>
              <w:spacing w:after="0"/>
              <w:jc w:val="center"/>
            </w:pPr>
            <w:r>
              <w:rPr>
                <w:b/>
                <w:color w:val="FFFFFF"/>
                <w:sz w:val="14"/>
              </w:rPr>
              <w:t>Site</w:t>
            </w:r>
          </w:p>
        </w:tc>
        <w:tc>
          <w:tcPr>
            <w:tcW w:type="dxa" w:w="999"/>
            <w:shd w:fill="0B1F33"/>
            <w:tcMar>
              <w:top w:w="90" w:type="dxa"/>
              <w:start w:w="110" w:type="dxa"/>
              <w:bottom w:w="90" w:type="dxa"/>
              <w:end w:w="110" w:type="dxa"/>
            </w:tcMar>
            <w:vAlign w:val="center"/>
          </w:tcPr>
          <w:p>
            <w:pPr>
              <w:spacing w:after="0"/>
              <w:jc w:val="center"/>
            </w:pPr>
            <w:r>
              <w:rPr>
                <w:b/>
                <w:color w:val="FFFFFF"/>
                <w:sz w:val="14"/>
              </w:rPr>
              <w:t>Brand 15</w:t>
            </w:r>
          </w:p>
        </w:tc>
        <w:tc>
          <w:tcPr>
            <w:tcW w:type="dxa" w:w="999"/>
            <w:shd w:fill="0B1F33"/>
            <w:tcMar>
              <w:top w:w="90" w:type="dxa"/>
              <w:start w:w="110" w:type="dxa"/>
              <w:bottom w:w="90" w:type="dxa"/>
              <w:end w:w="110" w:type="dxa"/>
            </w:tcMar>
            <w:vAlign w:val="center"/>
          </w:tcPr>
          <w:p>
            <w:pPr>
              <w:spacing w:after="0"/>
              <w:jc w:val="center"/>
            </w:pPr>
            <w:r>
              <w:rPr>
                <w:b/>
                <w:color w:val="FFFFFF"/>
                <w:sz w:val="14"/>
              </w:rPr>
              <w:t>IA 15</w:t>
            </w:r>
          </w:p>
        </w:tc>
        <w:tc>
          <w:tcPr>
            <w:tcW w:type="dxa" w:w="999"/>
            <w:shd w:fill="0B1F33"/>
            <w:tcMar>
              <w:top w:w="90" w:type="dxa"/>
              <w:start w:w="110" w:type="dxa"/>
              <w:bottom w:w="90" w:type="dxa"/>
              <w:end w:w="110" w:type="dxa"/>
            </w:tcMar>
            <w:vAlign w:val="center"/>
          </w:tcPr>
          <w:p>
            <w:pPr>
              <w:spacing w:after="0"/>
              <w:jc w:val="center"/>
            </w:pPr>
            <w:r>
              <w:rPr>
                <w:b/>
                <w:color w:val="FFFFFF"/>
                <w:sz w:val="14"/>
              </w:rPr>
              <w:t>Story 15</w:t>
            </w:r>
          </w:p>
        </w:tc>
        <w:tc>
          <w:tcPr>
            <w:tcW w:type="dxa" w:w="999"/>
            <w:shd w:fill="0B1F33"/>
            <w:tcMar>
              <w:top w:w="90" w:type="dxa"/>
              <w:start w:w="110" w:type="dxa"/>
              <w:bottom w:w="90" w:type="dxa"/>
              <w:end w:w="110" w:type="dxa"/>
            </w:tcMar>
            <w:vAlign w:val="center"/>
          </w:tcPr>
          <w:p>
            <w:pPr>
              <w:spacing w:after="0"/>
              <w:jc w:val="center"/>
            </w:pPr>
            <w:r>
              <w:rPr>
                <w:b/>
                <w:color w:val="FFFFFF"/>
                <w:sz w:val="14"/>
              </w:rPr>
              <w:t>Ideas 10</w:t>
            </w:r>
          </w:p>
        </w:tc>
        <w:tc>
          <w:tcPr>
            <w:tcW w:type="dxa" w:w="999"/>
            <w:shd w:fill="0B1F33"/>
            <w:tcMar>
              <w:top w:w="90" w:type="dxa"/>
              <w:start w:w="110" w:type="dxa"/>
              <w:bottom w:w="90" w:type="dxa"/>
              <w:end w:w="110" w:type="dxa"/>
            </w:tcMar>
            <w:vAlign w:val="center"/>
          </w:tcPr>
          <w:p>
            <w:pPr>
              <w:spacing w:after="0"/>
              <w:jc w:val="center"/>
            </w:pPr>
            <w:r>
              <w:rPr>
                <w:b/>
                <w:color w:val="FFFFFF"/>
                <w:sz w:val="14"/>
              </w:rPr>
              <w:t>Proof 15</w:t>
            </w:r>
          </w:p>
        </w:tc>
        <w:tc>
          <w:tcPr>
            <w:tcW w:type="dxa" w:w="999"/>
            <w:shd w:fill="0B1F33"/>
            <w:tcMar>
              <w:top w:w="90" w:type="dxa"/>
              <w:start w:w="110" w:type="dxa"/>
              <w:bottom w:w="90" w:type="dxa"/>
              <w:end w:w="110" w:type="dxa"/>
            </w:tcMar>
            <w:vAlign w:val="center"/>
          </w:tcPr>
          <w:p>
            <w:pPr>
              <w:spacing w:after="0"/>
              <w:jc w:val="center"/>
            </w:pPr>
            <w:r>
              <w:rPr>
                <w:b/>
                <w:color w:val="FFFFFF"/>
                <w:sz w:val="14"/>
              </w:rPr>
              <w:t>CTA 10</w:t>
            </w:r>
          </w:p>
        </w:tc>
        <w:tc>
          <w:tcPr>
            <w:tcW w:type="dxa" w:w="999"/>
            <w:shd w:fill="0B1F33"/>
            <w:tcMar>
              <w:top w:w="90" w:type="dxa"/>
              <w:start w:w="110" w:type="dxa"/>
              <w:bottom w:w="90" w:type="dxa"/>
              <w:end w:w="110" w:type="dxa"/>
            </w:tcMar>
            <w:vAlign w:val="center"/>
          </w:tcPr>
          <w:p>
            <w:pPr>
              <w:spacing w:after="0"/>
              <w:jc w:val="center"/>
            </w:pPr>
            <w:r>
              <w:rPr>
                <w:b/>
                <w:color w:val="FFFFFF"/>
                <w:sz w:val="14"/>
              </w:rPr>
              <w:t>A11y 10</w:t>
            </w:r>
          </w:p>
        </w:tc>
        <w:tc>
          <w:tcPr>
            <w:tcW w:type="dxa" w:w="999"/>
            <w:shd w:fill="0B1F33"/>
            <w:tcMar>
              <w:top w:w="90" w:type="dxa"/>
              <w:start w:w="110" w:type="dxa"/>
              <w:bottom w:w="90" w:type="dxa"/>
              <w:end w:w="110" w:type="dxa"/>
            </w:tcMar>
            <w:vAlign w:val="center"/>
          </w:tcPr>
          <w:p>
            <w:pPr>
              <w:spacing w:after="0"/>
              <w:jc w:val="center"/>
            </w:pPr>
            <w:r>
              <w:rPr>
                <w:b/>
                <w:color w:val="FFFFFF"/>
                <w:sz w:val="14"/>
              </w:rPr>
              <w:t>Tech 10</w:t>
            </w:r>
          </w:p>
        </w:tc>
        <w:tc>
          <w:tcPr>
            <w:tcW w:type="dxa" w:w="999"/>
            <w:shd w:fill="0B1F33"/>
            <w:tcMar>
              <w:top w:w="90" w:type="dxa"/>
              <w:start w:w="110" w:type="dxa"/>
              <w:bottom w:w="90" w:type="dxa"/>
              <w:end w:w="110" w:type="dxa"/>
            </w:tcMar>
            <w:vAlign w:val="center"/>
          </w:tcPr>
          <w:p>
            <w:pPr>
              <w:spacing w:after="0"/>
              <w:jc w:val="center"/>
            </w:pPr>
            <w:r>
              <w:rPr>
                <w:b/>
                <w:color w:val="FFFFFF"/>
                <w:sz w:val="14"/>
              </w:rPr>
              <w:t>Total</w:t>
            </w:r>
          </w:p>
        </w:tc>
      </w:tr>
      <w:tr>
        <w:trPr>
          <w:cantSplit/>
        </w:trPr>
        <w:tc>
          <w:tcPr>
            <w:tcW w:type="dxa" w:w="1440"/>
            <w:tcMar>
              <w:top w:w="90" w:type="dxa"/>
              <w:start w:w="110" w:type="dxa"/>
              <w:bottom w:w="90" w:type="dxa"/>
              <w:end w:w="110" w:type="dxa"/>
            </w:tcMar>
            <w:vAlign w:val="center"/>
          </w:tcPr>
          <w:p>
            <w:pPr>
              <w:spacing w:after="0" w:line="240" w:lineRule="auto"/>
            </w:pPr>
            <w:r>
              <w:rPr>
                <w:color w:val="20252B"/>
                <w:sz w:val="14"/>
              </w:rPr>
              <w:t>Bain</w:t>
            </w:r>
          </w:p>
        </w:tc>
        <w:tc>
          <w:tcPr>
            <w:tcW w:type="dxa" w:w="792"/>
            <w:tcMar>
              <w:top w:w="90" w:type="dxa"/>
              <w:start w:w="110" w:type="dxa"/>
              <w:bottom w:w="90" w:type="dxa"/>
              <w:end w:w="110" w:type="dxa"/>
            </w:tcMar>
            <w:vAlign w:val="center"/>
          </w:tcPr>
          <w:p>
            <w:pPr>
              <w:spacing w:after="0" w:line="240" w:lineRule="auto"/>
              <w:jc w:val="center"/>
            </w:pPr>
            <w:r>
              <w:rPr>
                <w:color w:val="20252B"/>
                <w:sz w:val="14"/>
              </w:rPr>
              <w:t>15</w:t>
            </w:r>
          </w:p>
        </w:tc>
        <w:tc>
          <w:tcPr>
            <w:tcW w:type="dxa" w:w="648"/>
            <w:tcMar>
              <w:top w:w="90" w:type="dxa"/>
              <w:start w:w="110" w:type="dxa"/>
              <w:bottom w:w="90" w:type="dxa"/>
              <w:end w:w="110" w:type="dxa"/>
            </w:tcMar>
            <w:vAlign w:val="center"/>
          </w:tcPr>
          <w:p>
            <w:pPr>
              <w:spacing w:after="0" w:line="240" w:lineRule="auto"/>
              <w:jc w:val="center"/>
            </w:pPr>
            <w:r>
              <w:rPr>
                <w:color w:val="20252B"/>
                <w:sz w:val="14"/>
              </w:rPr>
              <w:t>14</w:t>
            </w:r>
          </w:p>
        </w:tc>
        <w:tc>
          <w:tcPr>
            <w:tcW w:type="dxa" w:w="792"/>
            <w:tcMar>
              <w:top w:w="90" w:type="dxa"/>
              <w:start w:w="110" w:type="dxa"/>
              <w:bottom w:w="90" w:type="dxa"/>
              <w:end w:w="110" w:type="dxa"/>
            </w:tcMar>
            <w:vAlign w:val="center"/>
          </w:tcPr>
          <w:p>
            <w:pPr>
              <w:spacing w:after="0" w:line="240" w:lineRule="auto"/>
              <w:jc w:val="center"/>
            </w:pPr>
            <w:r>
              <w:rPr>
                <w:color w:val="20252B"/>
                <w:sz w:val="14"/>
              </w:rPr>
              <w:t>15</w:t>
            </w:r>
          </w:p>
        </w:tc>
        <w:tc>
          <w:tcPr>
            <w:tcW w:type="dxa" w:w="720"/>
            <w:tcMar>
              <w:top w:w="90" w:type="dxa"/>
              <w:start w:w="110" w:type="dxa"/>
              <w:bottom w:w="90" w:type="dxa"/>
              <w:end w:w="110" w:type="dxa"/>
            </w:tcMar>
            <w:vAlign w:val="center"/>
          </w:tcPr>
          <w:p>
            <w:pPr>
              <w:spacing w:after="0" w:line="240" w:lineRule="auto"/>
              <w:jc w:val="center"/>
            </w:pPr>
            <w:r>
              <w:rPr>
                <w:color w:val="20252B"/>
                <w:sz w:val="14"/>
              </w:rPr>
              <w:t>10</w:t>
            </w:r>
          </w:p>
        </w:tc>
        <w:tc>
          <w:tcPr>
            <w:tcW w:type="dxa" w:w="720"/>
            <w:tcMar>
              <w:top w:w="90" w:type="dxa"/>
              <w:start w:w="110" w:type="dxa"/>
              <w:bottom w:w="90" w:type="dxa"/>
              <w:end w:w="110" w:type="dxa"/>
            </w:tcMar>
            <w:vAlign w:val="center"/>
          </w:tcPr>
          <w:p>
            <w:pPr>
              <w:spacing w:after="0" w:line="240" w:lineRule="auto"/>
              <w:jc w:val="center"/>
            </w:pPr>
            <w:r>
              <w:rPr>
                <w:color w:val="20252B"/>
                <w:sz w:val="14"/>
              </w:rPr>
              <w:t>15</w:t>
            </w:r>
          </w:p>
        </w:tc>
        <w:tc>
          <w:tcPr>
            <w:tcW w:type="dxa" w:w="720"/>
            <w:tcMar>
              <w:top w:w="90" w:type="dxa"/>
              <w:start w:w="110" w:type="dxa"/>
              <w:bottom w:w="90" w:type="dxa"/>
              <w:end w:w="110" w:type="dxa"/>
            </w:tcMar>
            <w:vAlign w:val="center"/>
          </w:tcPr>
          <w:p>
            <w:pPr>
              <w:spacing w:after="0" w:line="240" w:lineRule="auto"/>
              <w:jc w:val="center"/>
            </w:pPr>
            <w:r>
              <w:rPr>
                <w:color w:val="20252B"/>
                <w:sz w:val="14"/>
              </w:rPr>
              <w:t>9</w:t>
            </w:r>
          </w:p>
        </w:tc>
        <w:tc>
          <w:tcPr>
            <w:tcW w:type="dxa" w:w="792"/>
            <w:tcMar>
              <w:top w:w="90" w:type="dxa"/>
              <w:start w:w="110" w:type="dxa"/>
              <w:bottom w:w="90" w:type="dxa"/>
              <w:end w:w="110" w:type="dxa"/>
            </w:tcMar>
            <w:vAlign w:val="center"/>
          </w:tcPr>
          <w:p>
            <w:pPr>
              <w:spacing w:after="0" w:line="240" w:lineRule="auto"/>
              <w:jc w:val="center"/>
            </w:pPr>
            <w:r>
              <w:rPr>
                <w:color w:val="20252B"/>
                <w:sz w:val="14"/>
              </w:rPr>
              <w:t>8</w:t>
            </w:r>
          </w:p>
        </w:tc>
        <w:tc>
          <w:tcPr>
            <w:tcW w:type="dxa" w:w="720"/>
            <w:tcMar>
              <w:top w:w="90" w:type="dxa"/>
              <w:start w:w="110" w:type="dxa"/>
              <w:bottom w:w="90" w:type="dxa"/>
              <w:end w:w="110" w:type="dxa"/>
            </w:tcMar>
            <w:vAlign w:val="center"/>
          </w:tcPr>
          <w:p>
            <w:pPr>
              <w:spacing w:after="0" w:line="240" w:lineRule="auto"/>
              <w:jc w:val="center"/>
            </w:pPr>
            <w:r>
              <w:rPr>
                <w:color w:val="20252B"/>
                <w:sz w:val="14"/>
              </w:rPr>
              <w:t>7</w:t>
            </w:r>
          </w:p>
        </w:tc>
        <w:tc>
          <w:tcPr>
            <w:tcW w:type="dxa" w:w="792"/>
            <w:tcMar>
              <w:top w:w="90" w:type="dxa"/>
              <w:start w:w="110" w:type="dxa"/>
              <w:bottom w:w="90" w:type="dxa"/>
              <w:end w:w="110" w:type="dxa"/>
            </w:tcMar>
            <w:vAlign w:val="center"/>
          </w:tcPr>
          <w:p>
            <w:pPr>
              <w:spacing w:after="0" w:line="240" w:lineRule="auto"/>
              <w:jc w:val="center"/>
            </w:pPr>
            <w:r>
              <w:rPr>
                <w:color w:val="20252B"/>
                <w:sz w:val="14"/>
              </w:rPr>
              <w:t>93</w:t>
            </w:r>
          </w:p>
        </w:tc>
      </w:tr>
      <w:tr>
        <w:trPr>
          <w:cantSplit/>
        </w:trPr>
        <w:tc>
          <w:tcPr>
            <w:tcW w:type="dxa" w:w="1440"/>
            <w:tcMar>
              <w:top w:w="90" w:type="dxa"/>
              <w:start w:w="110" w:type="dxa"/>
              <w:bottom w:w="90" w:type="dxa"/>
              <w:end w:w="110" w:type="dxa"/>
            </w:tcMar>
            <w:vAlign w:val="center"/>
            <w:shd w:fill="F4F6F8"/>
          </w:tcPr>
          <w:p>
            <w:pPr>
              <w:spacing w:after="0" w:line="240" w:lineRule="auto"/>
            </w:pPr>
            <w:r>
              <w:rPr>
                <w:color w:val="20252B"/>
                <w:sz w:val="14"/>
              </w:rPr>
              <w:t>BCG</w:t>
            </w:r>
          </w:p>
        </w:tc>
        <w:tc>
          <w:tcPr>
            <w:tcW w:type="dxa" w:w="792"/>
            <w:tcMar>
              <w:top w:w="90" w:type="dxa"/>
              <w:start w:w="110" w:type="dxa"/>
              <w:bottom w:w="90" w:type="dxa"/>
              <w:end w:w="110" w:type="dxa"/>
            </w:tcMar>
            <w:vAlign w:val="center"/>
            <w:shd w:fill="F4F6F8"/>
          </w:tcPr>
          <w:p>
            <w:pPr>
              <w:spacing w:after="0" w:line="240" w:lineRule="auto"/>
              <w:jc w:val="center"/>
            </w:pPr>
            <w:r>
              <w:rPr>
                <w:color w:val="20252B"/>
                <w:sz w:val="14"/>
              </w:rPr>
              <w:t>15</w:t>
            </w:r>
          </w:p>
        </w:tc>
        <w:tc>
          <w:tcPr>
            <w:tcW w:type="dxa" w:w="648"/>
            <w:tcMar>
              <w:top w:w="90" w:type="dxa"/>
              <w:start w:w="110" w:type="dxa"/>
              <w:bottom w:w="90" w:type="dxa"/>
              <w:end w:w="110" w:type="dxa"/>
            </w:tcMar>
            <w:vAlign w:val="center"/>
            <w:shd w:fill="F4F6F8"/>
          </w:tcPr>
          <w:p>
            <w:pPr>
              <w:spacing w:after="0" w:line="240" w:lineRule="auto"/>
              <w:jc w:val="center"/>
            </w:pPr>
            <w:r>
              <w:rPr>
                <w:color w:val="20252B"/>
                <w:sz w:val="14"/>
              </w:rPr>
              <w:t>13</w:t>
            </w:r>
          </w:p>
        </w:tc>
        <w:tc>
          <w:tcPr>
            <w:tcW w:type="dxa" w:w="792"/>
            <w:tcMar>
              <w:top w:w="90" w:type="dxa"/>
              <w:start w:w="110" w:type="dxa"/>
              <w:bottom w:w="90" w:type="dxa"/>
              <w:end w:w="110" w:type="dxa"/>
            </w:tcMar>
            <w:vAlign w:val="center"/>
            <w:shd w:fill="F4F6F8"/>
          </w:tcPr>
          <w:p>
            <w:pPr>
              <w:spacing w:after="0" w:line="240" w:lineRule="auto"/>
              <w:jc w:val="center"/>
            </w:pPr>
            <w:r>
              <w:rPr>
                <w:color w:val="20252B"/>
                <w:sz w:val="14"/>
              </w:rPr>
              <w:t>14</w:t>
            </w:r>
          </w:p>
        </w:tc>
        <w:tc>
          <w:tcPr>
            <w:tcW w:type="dxa" w:w="720"/>
            <w:tcMar>
              <w:top w:w="90" w:type="dxa"/>
              <w:start w:w="110" w:type="dxa"/>
              <w:bottom w:w="90" w:type="dxa"/>
              <w:end w:w="110" w:type="dxa"/>
            </w:tcMar>
            <w:vAlign w:val="center"/>
            <w:shd w:fill="F4F6F8"/>
          </w:tcPr>
          <w:p>
            <w:pPr>
              <w:spacing w:after="0" w:line="240" w:lineRule="auto"/>
              <w:jc w:val="center"/>
            </w:pPr>
            <w:r>
              <w:rPr>
                <w:color w:val="20252B"/>
                <w:sz w:val="14"/>
              </w:rPr>
              <w:t>10</w:t>
            </w:r>
          </w:p>
        </w:tc>
        <w:tc>
          <w:tcPr>
            <w:tcW w:type="dxa" w:w="720"/>
            <w:tcMar>
              <w:top w:w="90" w:type="dxa"/>
              <w:start w:w="110" w:type="dxa"/>
              <w:bottom w:w="90" w:type="dxa"/>
              <w:end w:w="110" w:type="dxa"/>
            </w:tcMar>
            <w:vAlign w:val="center"/>
            <w:shd w:fill="F4F6F8"/>
          </w:tcPr>
          <w:p>
            <w:pPr>
              <w:spacing w:after="0" w:line="240" w:lineRule="auto"/>
              <w:jc w:val="center"/>
            </w:pPr>
            <w:r>
              <w:rPr>
                <w:color w:val="20252B"/>
                <w:sz w:val="14"/>
              </w:rPr>
              <w:t>13</w:t>
            </w:r>
          </w:p>
        </w:tc>
        <w:tc>
          <w:tcPr>
            <w:tcW w:type="dxa" w:w="720"/>
            <w:tcMar>
              <w:top w:w="90" w:type="dxa"/>
              <w:start w:w="110" w:type="dxa"/>
              <w:bottom w:w="90" w:type="dxa"/>
              <w:end w:w="110" w:type="dxa"/>
            </w:tcMar>
            <w:vAlign w:val="center"/>
            <w:shd w:fill="F4F6F8"/>
          </w:tcPr>
          <w:p>
            <w:pPr>
              <w:spacing w:after="0" w:line="240" w:lineRule="auto"/>
              <w:jc w:val="center"/>
            </w:pPr>
            <w:r>
              <w:rPr>
                <w:color w:val="20252B"/>
                <w:sz w:val="14"/>
              </w:rPr>
              <w:t>8</w:t>
            </w:r>
          </w:p>
        </w:tc>
        <w:tc>
          <w:tcPr>
            <w:tcW w:type="dxa" w:w="792"/>
            <w:tcMar>
              <w:top w:w="90" w:type="dxa"/>
              <w:start w:w="110" w:type="dxa"/>
              <w:bottom w:w="90" w:type="dxa"/>
              <w:end w:w="110" w:type="dxa"/>
            </w:tcMar>
            <w:vAlign w:val="center"/>
            <w:shd w:fill="F4F6F8"/>
          </w:tcPr>
          <w:p>
            <w:pPr>
              <w:spacing w:after="0" w:line="240" w:lineRule="auto"/>
              <w:jc w:val="center"/>
            </w:pPr>
            <w:r>
              <w:rPr>
                <w:color w:val="20252B"/>
                <w:sz w:val="14"/>
              </w:rPr>
              <w:t>8</w:t>
            </w:r>
          </w:p>
        </w:tc>
        <w:tc>
          <w:tcPr>
            <w:tcW w:type="dxa" w:w="720"/>
            <w:tcMar>
              <w:top w:w="90" w:type="dxa"/>
              <w:start w:w="110" w:type="dxa"/>
              <w:bottom w:w="90" w:type="dxa"/>
              <w:end w:w="110" w:type="dxa"/>
            </w:tcMar>
            <w:vAlign w:val="center"/>
            <w:shd w:fill="F4F6F8"/>
          </w:tcPr>
          <w:p>
            <w:pPr>
              <w:spacing w:after="0" w:line="240" w:lineRule="auto"/>
              <w:jc w:val="center"/>
            </w:pPr>
            <w:r>
              <w:rPr>
                <w:color w:val="20252B"/>
                <w:sz w:val="14"/>
              </w:rPr>
              <w:t>8</w:t>
            </w:r>
          </w:p>
        </w:tc>
        <w:tc>
          <w:tcPr>
            <w:tcW w:type="dxa" w:w="792"/>
            <w:tcMar>
              <w:top w:w="90" w:type="dxa"/>
              <w:start w:w="110" w:type="dxa"/>
              <w:bottom w:w="90" w:type="dxa"/>
              <w:end w:w="110" w:type="dxa"/>
            </w:tcMar>
            <w:vAlign w:val="center"/>
            <w:shd w:fill="F4F6F8"/>
          </w:tcPr>
          <w:p>
            <w:pPr>
              <w:spacing w:after="0" w:line="240" w:lineRule="auto"/>
              <w:jc w:val="center"/>
            </w:pPr>
            <w:r>
              <w:rPr>
                <w:color w:val="20252B"/>
                <w:sz w:val="14"/>
              </w:rPr>
              <w:t>89</w:t>
            </w:r>
          </w:p>
        </w:tc>
      </w:tr>
      <w:tr>
        <w:trPr>
          <w:cantSplit/>
        </w:trPr>
        <w:tc>
          <w:tcPr>
            <w:tcW w:type="dxa" w:w="1440"/>
            <w:tcMar>
              <w:top w:w="90" w:type="dxa"/>
              <w:start w:w="110" w:type="dxa"/>
              <w:bottom w:w="90" w:type="dxa"/>
              <w:end w:w="110" w:type="dxa"/>
            </w:tcMar>
            <w:vAlign w:val="center"/>
          </w:tcPr>
          <w:p>
            <w:pPr>
              <w:spacing w:after="0" w:line="240" w:lineRule="auto"/>
            </w:pPr>
            <w:r>
              <w:rPr>
                <w:color w:val="20252B"/>
                <w:sz w:val="14"/>
              </w:rPr>
              <w:t>Accenture</w:t>
            </w:r>
          </w:p>
        </w:tc>
        <w:tc>
          <w:tcPr>
            <w:tcW w:type="dxa" w:w="792"/>
            <w:tcMar>
              <w:top w:w="90" w:type="dxa"/>
              <w:start w:w="110" w:type="dxa"/>
              <w:bottom w:w="90" w:type="dxa"/>
              <w:end w:w="110" w:type="dxa"/>
            </w:tcMar>
            <w:vAlign w:val="center"/>
          </w:tcPr>
          <w:p>
            <w:pPr>
              <w:spacing w:after="0" w:line="240" w:lineRule="auto"/>
              <w:jc w:val="center"/>
            </w:pPr>
            <w:r>
              <w:rPr>
                <w:color w:val="20252B"/>
                <w:sz w:val="14"/>
              </w:rPr>
              <w:t>15</w:t>
            </w:r>
          </w:p>
        </w:tc>
        <w:tc>
          <w:tcPr>
            <w:tcW w:type="dxa" w:w="648"/>
            <w:tcMar>
              <w:top w:w="90" w:type="dxa"/>
              <w:start w:w="110" w:type="dxa"/>
              <w:bottom w:w="90" w:type="dxa"/>
              <w:end w:w="110" w:type="dxa"/>
            </w:tcMar>
            <w:vAlign w:val="center"/>
          </w:tcPr>
          <w:p>
            <w:pPr>
              <w:spacing w:after="0" w:line="240" w:lineRule="auto"/>
              <w:jc w:val="center"/>
            </w:pPr>
            <w:r>
              <w:rPr>
                <w:color w:val="20252B"/>
                <w:sz w:val="14"/>
              </w:rPr>
              <w:t>13</w:t>
            </w:r>
          </w:p>
        </w:tc>
        <w:tc>
          <w:tcPr>
            <w:tcW w:type="dxa" w:w="792"/>
            <w:tcMar>
              <w:top w:w="90" w:type="dxa"/>
              <w:start w:w="110" w:type="dxa"/>
              <w:bottom w:w="90" w:type="dxa"/>
              <w:end w:w="110" w:type="dxa"/>
            </w:tcMar>
            <w:vAlign w:val="center"/>
          </w:tcPr>
          <w:p>
            <w:pPr>
              <w:spacing w:after="0" w:line="240" w:lineRule="auto"/>
              <w:jc w:val="center"/>
            </w:pPr>
            <w:r>
              <w:rPr>
                <w:color w:val="20252B"/>
                <w:sz w:val="14"/>
              </w:rPr>
              <w:t>14</w:t>
            </w:r>
          </w:p>
        </w:tc>
        <w:tc>
          <w:tcPr>
            <w:tcW w:type="dxa" w:w="720"/>
            <w:tcMar>
              <w:top w:w="90" w:type="dxa"/>
              <w:start w:w="110" w:type="dxa"/>
              <w:bottom w:w="90" w:type="dxa"/>
              <w:end w:w="110" w:type="dxa"/>
            </w:tcMar>
            <w:vAlign w:val="center"/>
          </w:tcPr>
          <w:p>
            <w:pPr>
              <w:spacing w:after="0" w:line="240" w:lineRule="auto"/>
              <w:jc w:val="center"/>
            </w:pPr>
            <w:r>
              <w:rPr>
                <w:color w:val="20252B"/>
                <w:sz w:val="14"/>
              </w:rPr>
              <w:t>10</w:t>
            </w:r>
          </w:p>
        </w:tc>
        <w:tc>
          <w:tcPr>
            <w:tcW w:type="dxa" w:w="720"/>
            <w:tcMar>
              <w:top w:w="90" w:type="dxa"/>
              <w:start w:w="110" w:type="dxa"/>
              <w:bottom w:w="90" w:type="dxa"/>
              <w:end w:w="110" w:type="dxa"/>
            </w:tcMar>
            <w:vAlign w:val="center"/>
          </w:tcPr>
          <w:p>
            <w:pPr>
              <w:spacing w:after="0" w:line="240" w:lineRule="auto"/>
              <w:jc w:val="center"/>
            </w:pPr>
            <w:r>
              <w:rPr>
                <w:color w:val="20252B"/>
                <w:sz w:val="14"/>
              </w:rPr>
              <w:t>13</w:t>
            </w:r>
          </w:p>
        </w:tc>
        <w:tc>
          <w:tcPr>
            <w:tcW w:type="dxa" w:w="720"/>
            <w:tcMar>
              <w:top w:w="90" w:type="dxa"/>
              <w:start w:w="110" w:type="dxa"/>
              <w:bottom w:w="90" w:type="dxa"/>
              <w:end w:w="110" w:type="dxa"/>
            </w:tcMar>
            <w:vAlign w:val="center"/>
          </w:tcPr>
          <w:p>
            <w:pPr>
              <w:spacing w:after="0" w:line="240" w:lineRule="auto"/>
              <w:jc w:val="center"/>
            </w:pPr>
            <w:r>
              <w:rPr>
                <w:color w:val="20252B"/>
                <w:sz w:val="14"/>
              </w:rPr>
              <w:t>8</w:t>
            </w:r>
          </w:p>
        </w:tc>
        <w:tc>
          <w:tcPr>
            <w:tcW w:type="dxa" w:w="792"/>
            <w:tcMar>
              <w:top w:w="90" w:type="dxa"/>
              <w:start w:w="110" w:type="dxa"/>
              <w:bottom w:w="90" w:type="dxa"/>
              <w:end w:w="110" w:type="dxa"/>
            </w:tcMar>
            <w:vAlign w:val="center"/>
          </w:tcPr>
          <w:p>
            <w:pPr>
              <w:spacing w:after="0" w:line="240" w:lineRule="auto"/>
              <w:jc w:val="center"/>
            </w:pPr>
            <w:r>
              <w:rPr>
                <w:color w:val="20252B"/>
                <w:sz w:val="14"/>
              </w:rPr>
              <w:t>8</w:t>
            </w:r>
          </w:p>
        </w:tc>
        <w:tc>
          <w:tcPr>
            <w:tcW w:type="dxa" w:w="720"/>
            <w:tcMar>
              <w:top w:w="90" w:type="dxa"/>
              <w:start w:w="110" w:type="dxa"/>
              <w:bottom w:w="90" w:type="dxa"/>
              <w:end w:w="110" w:type="dxa"/>
            </w:tcMar>
            <w:vAlign w:val="center"/>
          </w:tcPr>
          <w:p>
            <w:pPr>
              <w:spacing w:after="0" w:line="240" w:lineRule="auto"/>
              <w:jc w:val="center"/>
            </w:pPr>
            <w:r>
              <w:rPr>
                <w:color w:val="20252B"/>
                <w:sz w:val="14"/>
              </w:rPr>
              <w:t>8</w:t>
            </w:r>
          </w:p>
        </w:tc>
        <w:tc>
          <w:tcPr>
            <w:tcW w:type="dxa" w:w="792"/>
            <w:tcMar>
              <w:top w:w="90" w:type="dxa"/>
              <w:start w:w="110" w:type="dxa"/>
              <w:bottom w:w="90" w:type="dxa"/>
              <w:end w:w="110" w:type="dxa"/>
            </w:tcMar>
            <w:vAlign w:val="center"/>
          </w:tcPr>
          <w:p>
            <w:pPr>
              <w:spacing w:after="0" w:line="240" w:lineRule="auto"/>
              <w:jc w:val="center"/>
            </w:pPr>
            <w:r>
              <w:rPr>
                <w:color w:val="20252B"/>
                <w:sz w:val="14"/>
              </w:rPr>
              <w:t>89</w:t>
            </w:r>
          </w:p>
        </w:tc>
      </w:tr>
      <w:tr>
        <w:trPr>
          <w:cantSplit/>
        </w:trPr>
        <w:tc>
          <w:tcPr>
            <w:tcW w:type="dxa" w:w="1440"/>
            <w:tcMar>
              <w:top w:w="90" w:type="dxa"/>
              <w:start w:w="110" w:type="dxa"/>
              <w:bottom w:w="90" w:type="dxa"/>
              <w:end w:w="110" w:type="dxa"/>
            </w:tcMar>
            <w:vAlign w:val="center"/>
            <w:shd w:fill="F4F6F8"/>
          </w:tcPr>
          <w:p>
            <w:pPr>
              <w:spacing w:after="0" w:line="240" w:lineRule="auto"/>
            </w:pPr>
            <w:r>
              <w:rPr>
                <w:color w:val="20252B"/>
                <w:sz w:val="14"/>
              </w:rPr>
              <w:t>Deloitte</w:t>
            </w:r>
          </w:p>
        </w:tc>
        <w:tc>
          <w:tcPr>
            <w:tcW w:type="dxa" w:w="792"/>
            <w:tcMar>
              <w:top w:w="90" w:type="dxa"/>
              <w:start w:w="110" w:type="dxa"/>
              <w:bottom w:w="90" w:type="dxa"/>
              <w:end w:w="110" w:type="dxa"/>
            </w:tcMar>
            <w:vAlign w:val="center"/>
            <w:shd w:fill="F4F6F8"/>
          </w:tcPr>
          <w:p>
            <w:pPr>
              <w:spacing w:after="0" w:line="240" w:lineRule="auto"/>
              <w:jc w:val="center"/>
            </w:pPr>
            <w:r>
              <w:rPr>
                <w:color w:val="20252B"/>
                <w:sz w:val="14"/>
              </w:rPr>
              <w:t>12</w:t>
            </w:r>
          </w:p>
        </w:tc>
        <w:tc>
          <w:tcPr>
            <w:tcW w:type="dxa" w:w="648"/>
            <w:tcMar>
              <w:top w:w="90" w:type="dxa"/>
              <w:start w:w="110" w:type="dxa"/>
              <w:bottom w:w="90" w:type="dxa"/>
              <w:end w:w="110" w:type="dxa"/>
            </w:tcMar>
            <w:vAlign w:val="center"/>
            <w:shd w:fill="F4F6F8"/>
          </w:tcPr>
          <w:p>
            <w:pPr>
              <w:spacing w:after="0" w:line="240" w:lineRule="auto"/>
              <w:jc w:val="center"/>
            </w:pPr>
            <w:r>
              <w:rPr>
                <w:color w:val="20252B"/>
                <w:sz w:val="14"/>
              </w:rPr>
              <w:t>13</w:t>
            </w:r>
          </w:p>
        </w:tc>
        <w:tc>
          <w:tcPr>
            <w:tcW w:type="dxa" w:w="792"/>
            <w:tcMar>
              <w:top w:w="90" w:type="dxa"/>
              <w:start w:w="110" w:type="dxa"/>
              <w:bottom w:w="90" w:type="dxa"/>
              <w:end w:w="110" w:type="dxa"/>
            </w:tcMar>
            <w:vAlign w:val="center"/>
            <w:shd w:fill="F4F6F8"/>
          </w:tcPr>
          <w:p>
            <w:pPr>
              <w:spacing w:after="0" w:line="240" w:lineRule="auto"/>
              <w:jc w:val="center"/>
            </w:pPr>
            <w:r>
              <w:rPr>
                <w:color w:val="20252B"/>
                <w:sz w:val="14"/>
              </w:rPr>
              <w:t>12</w:t>
            </w:r>
          </w:p>
        </w:tc>
        <w:tc>
          <w:tcPr>
            <w:tcW w:type="dxa" w:w="720"/>
            <w:tcMar>
              <w:top w:w="90" w:type="dxa"/>
              <w:start w:w="110" w:type="dxa"/>
              <w:bottom w:w="90" w:type="dxa"/>
              <w:end w:w="110" w:type="dxa"/>
            </w:tcMar>
            <w:vAlign w:val="center"/>
            <w:shd w:fill="F4F6F8"/>
          </w:tcPr>
          <w:p>
            <w:pPr>
              <w:spacing w:after="0" w:line="240" w:lineRule="auto"/>
              <w:jc w:val="center"/>
            </w:pPr>
            <w:r>
              <w:rPr>
                <w:color w:val="20252B"/>
                <w:sz w:val="14"/>
              </w:rPr>
              <w:t>9</w:t>
            </w:r>
          </w:p>
        </w:tc>
        <w:tc>
          <w:tcPr>
            <w:tcW w:type="dxa" w:w="720"/>
            <w:tcMar>
              <w:top w:w="90" w:type="dxa"/>
              <w:start w:w="110" w:type="dxa"/>
              <w:bottom w:w="90" w:type="dxa"/>
              <w:end w:w="110" w:type="dxa"/>
            </w:tcMar>
            <w:vAlign w:val="center"/>
            <w:shd w:fill="F4F6F8"/>
          </w:tcPr>
          <w:p>
            <w:pPr>
              <w:spacing w:after="0" w:line="240" w:lineRule="auto"/>
              <w:jc w:val="center"/>
            </w:pPr>
            <w:r>
              <w:rPr>
                <w:color w:val="20252B"/>
                <w:sz w:val="14"/>
              </w:rPr>
              <w:t>13</w:t>
            </w:r>
          </w:p>
        </w:tc>
        <w:tc>
          <w:tcPr>
            <w:tcW w:type="dxa" w:w="720"/>
            <w:tcMar>
              <w:top w:w="90" w:type="dxa"/>
              <w:start w:w="110" w:type="dxa"/>
              <w:bottom w:w="90" w:type="dxa"/>
              <w:end w:w="110" w:type="dxa"/>
            </w:tcMar>
            <w:vAlign w:val="center"/>
            <w:shd w:fill="F4F6F8"/>
          </w:tcPr>
          <w:p>
            <w:pPr>
              <w:spacing w:after="0" w:line="240" w:lineRule="auto"/>
              <w:jc w:val="center"/>
            </w:pPr>
            <w:r>
              <w:rPr>
                <w:color w:val="20252B"/>
                <w:sz w:val="14"/>
              </w:rPr>
              <w:t>8</w:t>
            </w:r>
          </w:p>
        </w:tc>
        <w:tc>
          <w:tcPr>
            <w:tcW w:type="dxa" w:w="792"/>
            <w:tcMar>
              <w:top w:w="90" w:type="dxa"/>
              <w:start w:w="110" w:type="dxa"/>
              <w:bottom w:w="90" w:type="dxa"/>
              <w:end w:w="110" w:type="dxa"/>
            </w:tcMar>
            <w:vAlign w:val="center"/>
            <w:shd w:fill="F4F6F8"/>
          </w:tcPr>
          <w:p>
            <w:pPr>
              <w:spacing w:after="0" w:line="240" w:lineRule="auto"/>
              <w:jc w:val="center"/>
            </w:pPr>
            <w:r>
              <w:rPr>
                <w:color w:val="20252B"/>
                <w:sz w:val="14"/>
              </w:rPr>
              <w:t>8</w:t>
            </w:r>
          </w:p>
        </w:tc>
        <w:tc>
          <w:tcPr>
            <w:tcW w:type="dxa" w:w="720"/>
            <w:tcMar>
              <w:top w:w="90" w:type="dxa"/>
              <w:start w:w="110" w:type="dxa"/>
              <w:bottom w:w="90" w:type="dxa"/>
              <w:end w:w="110" w:type="dxa"/>
            </w:tcMar>
            <w:vAlign w:val="center"/>
            <w:shd w:fill="F4F6F8"/>
          </w:tcPr>
          <w:p>
            <w:pPr>
              <w:spacing w:after="0" w:line="240" w:lineRule="auto"/>
              <w:jc w:val="center"/>
            </w:pPr>
            <w:r>
              <w:rPr>
                <w:color w:val="20252B"/>
                <w:sz w:val="14"/>
              </w:rPr>
              <w:t>8</w:t>
            </w:r>
          </w:p>
        </w:tc>
        <w:tc>
          <w:tcPr>
            <w:tcW w:type="dxa" w:w="792"/>
            <w:tcMar>
              <w:top w:w="90" w:type="dxa"/>
              <w:start w:w="110" w:type="dxa"/>
              <w:bottom w:w="90" w:type="dxa"/>
              <w:end w:w="110" w:type="dxa"/>
            </w:tcMar>
            <w:vAlign w:val="center"/>
            <w:shd w:fill="F4F6F8"/>
          </w:tcPr>
          <w:p>
            <w:pPr>
              <w:spacing w:after="0" w:line="240" w:lineRule="auto"/>
              <w:jc w:val="center"/>
            </w:pPr>
            <w:r>
              <w:rPr>
                <w:color w:val="20252B"/>
                <w:sz w:val="14"/>
              </w:rPr>
              <w:t>83</w:t>
            </w:r>
          </w:p>
        </w:tc>
      </w:tr>
      <w:tr>
        <w:trPr>
          <w:cantSplit/>
        </w:trPr>
        <w:tc>
          <w:tcPr>
            <w:tcW w:type="dxa" w:w="1440"/>
            <w:tcMar>
              <w:top w:w="90" w:type="dxa"/>
              <w:start w:w="110" w:type="dxa"/>
              <w:bottom w:w="90" w:type="dxa"/>
              <w:end w:w="110" w:type="dxa"/>
            </w:tcMar>
            <w:vAlign w:val="center"/>
          </w:tcPr>
          <w:p>
            <w:pPr>
              <w:spacing w:after="0" w:line="240" w:lineRule="auto"/>
            </w:pPr>
            <w:r>
              <w:rPr>
                <w:color w:val="20252B"/>
                <w:sz w:val="14"/>
              </w:rPr>
              <w:t>EY</w:t>
            </w:r>
          </w:p>
        </w:tc>
        <w:tc>
          <w:tcPr>
            <w:tcW w:type="dxa" w:w="792"/>
            <w:tcMar>
              <w:top w:w="90" w:type="dxa"/>
              <w:start w:w="110" w:type="dxa"/>
              <w:bottom w:w="90" w:type="dxa"/>
              <w:end w:w="110" w:type="dxa"/>
            </w:tcMar>
            <w:vAlign w:val="center"/>
          </w:tcPr>
          <w:p>
            <w:pPr>
              <w:spacing w:after="0" w:line="240" w:lineRule="auto"/>
              <w:jc w:val="center"/>
            </w:pPr>
            <w:r>
              <w:rPr>
                <w:color w:val="20252B"/>
                <w:sz w:val="14"/>
              </w:rPr>
              <w:t>12</w:t>
            </w:r>
          </w:p>
        </w:tc>
        <w:tc>
          <w:tcPr>
            <w:tcW w:type="dxa" w:w="648"/>
            <w:tcMar>
              <w:top w:w="90" w:type="dxa"/>
              <w:start w:w="110" w:type="dxa"/>
              <w:bottom w:w="90" w:type="dxa"/>
              <w:end w:w="110" w:type="dxa"/>
            </w:tcMar>
            <w:vAlign w:val="center"/>
          </w:tcPr>
          <w:p>
            <w:pPr>
              <w:spacing w:after="0" w:line="240" w:lineRule="auto"/>
              <w:jc w:val="center"/>
            </w:pPr>
            <w:r>
              <w:rPr>
                <w:color w:val="20252B"/>
                <w:sz w:val="14"/>
              </w:rPr>
              <w:t>12</w:t>
            </w:r>
          </w:p>
        </w:tc>
        <w:tc>
          <w:tcPr>
            <w:tcW w:type="dxa" w:w="792"/>
            <w:tcMar>
              <w:top w:w="90" w:type="dxa"/>
              <w:start w:w="110" w:type="dxa"/>
              <w:bottom w:w="90" w:type="dxa"/>
              <w:end w:w="110" w:type="dxa"/>
            </w:tcMar>
            <w:vAlign w:val="center"/>
          </w:tcPr>
          <w:p>
            <w:pPr>
              <w:spacing w:after="0" w:line="240" w:lineRule="auto"/>
              <w:jc w:val="center"/>
            </w:pPr>
            <w:r>
              <w:rPr>
                <w:color w:val="20252B"/>
                <w:sz w:val="14"/>
              </w:rPr>
              <w:t>11</w:t>
            </w:r>
          </w:p>
        </w:tc>
        <w:tc>
          <w:tcPr>
            <w:tcW w:type="dxa" w:w="720"/>
            <w:tcMar>
              <w:top w:w="90" w:type="dxa"/>
              <w:start w:w="110" w:type="dxa"/>
              <w:bottom w:w="90" w:type="dxa"/>
              <w:end w:w="110" w:type="dxa"/>
            </w:tcMar>
            <w:vAlign w:val="center"/>
          </w:tcPr>
          <w:p>
            <w:pPr>
              <w:spacing w:after="0" w:line="240" w:lineRule="auto"/>
              <w:jc w:val="center"/>
            </w:pPr>
            <w:r>
              <w:rPr>
                <w:color w:val="20252B"/>
                <w:sz w:val="14"/>
              </w:rPr>
              <w:t>9</w:t>
            </w:r>
          </w:p>
        </w:tc>
        <w:tc>
          <w:tcPr>
            <w:tcW w:type="dxa" w:w="720"/>
            <w:tcMar>
              <w:top w:w="90" w:type="dxa"/>
              <w:start w:w="110" w:type="dxa"/>
              <w:bottom w:w="90" w:type="dxa"/>
              <w:end w:w="110" w:type="dxa"/>
            </w:tcMar>
            <w:vAlign w:val="center"/>
          </w:tcPr>
          <w:p>
            <w:pPr>
              <w:spacing w:after="0" w:line="240" w:lineRule="auto"/>
              <w:jc w:val="center"/>
            </w:pPr>
            <w:r>
              <w:rPr>
                <w:color w:val="20252B"/>
                <w:sz w:val="14"/>
              </w:rPr>
              <w:t>13</w:t>
            </w:r>
          </w:p>
        </w:tc>
        <w:tc>
          <w:tcPr>
            <w:tcW w:type="dxa" w:w="720"/>
            <w:tcMar>
              <w:top w:w="90" w:type="dxa"/>
              <w:start w:w="110" w:type="dxa"/>
              <w:bottom w:w="90" w:type="dxa"/>
              <w:end w:w="110" w:type="dxa"/>
            </w:tcMar>
            <w:vAlign w:val="center"/>
          </w:tcPr>
          <w:p>
            <w:pPr>
              <w:spacing w:after="0" w:line="240" w:lineRule="auto"/>
              <w:jc w:val="center"/>
            </w:pPr>
            <w:r>
              <w:rPr>
                <w:color w:val="20252B"/>
                <w:sz w:val="14"/>
              </w:rPr>
              <w:t>7</w:t>
            </w:r>
          </w:p>
        </w:tc>
        <w:tc>
          <w:tcPr>
            <w:tcW w:type="dxa" w:w="792"/>
            <w:tcMar>
              <w:top w:w="90" w:type="dxa"/>
              <w:start w:w="110" w:type="dxa"/>
              <w:bottom w:w="90" w:type="dxa"/>
              <w:end w:w="110" w:type="dxa"/>
            </w:tcMar>
            <w:vAlign w:val="center"/>
          </w:tcPr>
          <w:p>
            <w:pPr>
              <w:spacing w:after="0" w:line="240" w:lineRule="auto"/>
              <w:jc w:val="center"/>
            </w:pPr>
            <w:r>
              <w:rPr>
                <w:color w:val="20252B"/>
                <w:sz w:val="14"/>
              </w:rPr>
              <w:t>8</w:t>
            </w:r>
          </w:p>
        </w:tc>
        <w:tc>
          <w:tcPr>
            <w:tcW w:type="dxa" w:w="720"/>
            <w:tcMar>
              <w:top w:w="90" w:type="dxa"/>
              <w:start w:w="110" w:type="dxa"/>
              <w:bottom w:w="90" w:type="dxa"/>
              <w:end w:w="110" w:type="dxa"/>
            </w:tcMar>
            <w:vAlign w:val="center"/>
          </w:tcPr>
          <w:p>
            <w:pPr>
              <w:spacing w:after="0" w:line="240" w:lineRule="auto"/>
              <w:jc w:val="center"/>
            </w:pPr>
            <w:r>
              <w:rPr>
                <w:color w:val="20252B"/>
                <w:sz w:val="14"/>
              </w:rPr>
              <w:t>8</w:t>
            </w:r>
          </w:p>
        </w:tc>
        <w:tc>
          <w:tcPr>
            <w:tcW w:type="dxa" w:w="792"/>
            <w:tcMar>
              <w:top w:w="90" w:type="dxa"/>
              <w:start w:w="110" w:type="dxa"/>
              <w:bottom w:w="90" w:type="dxa"/>
              <w:end w:w="110" w:type="dxa"/>
            </w:tcMar>
            <w:vAlign w:val="center"/>
          </w:tcPr>
          <w:p>
            <w:pPr>
              <w:spacing w:after="0" w:line="240" w:lineRule="auto"/>
              <w:jc w:val="center"/>
            </w:pPr>
            <w:r>
              <w:rPr>
                <w:color w:val="20252B"/>
                <w:sz w:val="14"/>
              </w:rPr>
              <w:t>80</w:t>
            </w:r>
          </w:p>
        </w:tc>
      </w:tr>
      <w:tr>
        <w:trPr>
          <w:cantSplit/>
        </w:trPr>
        <w:tc>
          <w:tcPr>
            <w:tcW w:type="dxa" w:w="1440"/>
            <w:tcMar>
              <w:top w:w="90" w:type="dxa"/>
              <w:start w:w="110" w:type="dxa"/>
              <w:bottom w:w="90" w:type="dxa"/>
              <w:end w:w="110" w:type="dxa"/>
            </w:tcMar>
            <w:vAlign w:val="center"/>
            <w:shd w:fill="F4F6F8"/>
          </w:tcPr>
          <w:p>
            <w:pPr>
              <w:spacing w:after="0" w:line="240" w:lineRule="auto"/>
            </w:pPr>
            <w:r>
              <w:rPr>
                <w:color w:val="20252B"/>
                <w:sz w:val="14"/>
              </w:rPr>
              <w:t>PwC</w:t>
            </w:r>
          </w:p>
        </w:tc>
        <w:tc>
          <w:tcPr>
            <w:tcW w:type="dxa" w:w="792"/>
            <w:tcMar>
              <w:top w:w="90" w:type="dxa"/>
              <w:start w:w="110" w:type="dxa"/>
              <w:bottom w:w="90" w:type="dxa"/>
              <w:end w:w="110" w:type="dxa"/>
            </w:tcMar>
            <w:vAlign w:val="center"/>
            <w:shd w:fill="F4F6F8"/>
          </w:tcPr>
          <w:p>
            <w:pPr>
              <w:spacing w:after="0" w:line="240" w:lineRule="auto"/>
              <w:jc w:val="center"/>
            </w:pPr>
            <w:r>
              <w:rPr>
                <w:color w:val="20252B"/>
                <w:sz w:val="14"/>
              </w:rPr>
              <w:t>12</w:t>
            </w:r>
          </w:p>
        </w:tc>
        <w:tc>
          <w:tcPr>
            <w:tcW w:type="dxa" w:w="648"/>
            <w:tcMar>
              <w:top w:w="90" w:type="dxa"/>
              <w:start w:w="110" w:type="dxa"/>
              <w:bottom w:w="90" w:type="dxa"/>
              <w:end w:w="110" w:type="dxa"/>
            </w:tcMar>
            <w:vAlign w:val="center"/>
            <w:shd w:fill="F4F6F8"/>
          </w:tcPr>
          <w:p>
            <w:pPr>
              <w:spacing w:after="0" w:line="240" w:lineRule="auto"/>
              <w:jc w:val="center"/>
            </w:pPr>
            <w:r>
              <w:rPr>
                <w:color w:val="20252B"/>
                <w:sz w:val="14"/>
              </w:rPr>
              <w:t>11</w:t>
            </w:r>
          </w:p>
        </w:tc>
        <w:tc>
          <w:tcPr>
            <w:tcW w:type="dxa" w:w="792"/>
            <w:tcMar>
              <w:top w:w="90" w:type="dxa"/>
              <w:start w:w="110" w:type="dxa"/>
              <w:bottom w:w="90" w:type="dxa"/>
              <w:end w:w="110" w:type="dxa"/>
            </w:tcMar>
            <w:vAlign w:val="center"/>
            <w:shd w:fill="F4F6F8"/>
          </w:tcPr>
          <w:p>
            <w:pPr>
              <w:spacing w:after="0" w:line="240" w:lineRule="auto"/>
              <w:jc w:val="center"/>
            </w:pPr>
            <w:r>
              <w:rPr>
                <w:color w:val="20252B"/>
                <w:sz w:val="14"/>
              </w:rPr>
              <w:t>11</w:t>
            </w:r>
          </w:p>
        </w:tc>
        <w:tc>
          <w:tcPr>
            <w:tcW w:type="dxa" w:w="720"/>
            <w:tcMar>
              <w:top w:w="90" w:type="dxa"/>
              <w:start w:w="110" w:type="dxa"/>
              <w:bottom w:w="90" w:type="dxa"/>
              <w:end w:w="110" w:type="dxa"/>
            </w:tcMar>
            <w:vAlign w:val="center"/>
            <w:shd w:fill="F4F6F8"/>
          </w:tcPr>
          <w:p>
            <w:pPr>
              <w:spacing w:after="0" w:line="240" w:lineRule="auto"/>
              <w:jc w:val="center"/>
            </w:pPr>
            <w:r>
              <w:rPr>
                <w:color w:val="20252B"/>
                <w:sz w:val="14"/>
              </w:rPr>
              <w:t>9</w:t>
            </w:r>
          </w:p>
        </w:tc>
        <w:tc>
          <w:tcPr>
            <w:tcW w:type="dxa" w:w="720"/>
            <w:tcMar>
              <w:top w:w="90" w:type="dxa"/>
              <w:start w:w="110" w:type="dxa"/>
              <w:bottom w:w="90" w:type="dxa"/>
              <w:end w:w="110" w:type="dxa"/>
            </w:tcMar>
            <w:vAlign w:val="center"/>
            <w:shd w:fill="F4F6F8"/>
          </w:tcPr>
          <w:p>
            <w:pPr>
              <w:spacing w:after="0" w:line="240" w:lineRule="auto"/>
              <w:jc w:val="center"/>
            </w:pPr>
            <w:r>
              <w:rPr>
                <w:color w:val="20252B"/>
                <w:sz w:val="14"/>
              </w:rPr>
              <w:t>12</w:t>
            </w:r>
          </w:p>
        </w:tc>
        <w:tc>
          <w:tcPr>
            <w:tcW w:type="dxa" w:w="720"/>
            <w:tcMar>
              <w:top w:w="90" w:type="dxa"/>
              <w:start w:w="110" w:type="dxa"/>
              <w:bottom w:w="90" w:type="dxa"/>
              <w:end w:w="110" w:type="dxa"/>
            </w:tcMar>
            <w:vAlign w:val="center"/>
            <w:shd w:fill="F4F6F8"/>
          </w:tcPr>
          <w:p>
            <w:pPr>
              <w:spacing w:after="0" w:line="240" w:lineRule="auto"/>
              <w:jc w:val="center"/>
            </w:pPr>
            <w:r>
              <w:rPr>
                <w:color w:val="20252B"/>
                <w:sz w:val="14"/>
              </w:rPr>
              <w:t>7</w:t>
            </w:r>
          </w:p>
        </w:tc>
        <w:tc>
          <w:tcPr>
            <w:tcW w:type="dxa" w:w="792"/>
            <w:tcMar>
              <w:top w:w="90" w:type="dxa"/>
              <w:start w:w="110" w:type="dxa"/>
              <w:bottom w:w="90" w:type="dxa"/>
              <w:end w:w="110" w:type="dxa"/>
            </w:tcMar>
            <w:vAlign w:val="center"/>
            <w:shd w:fill="F4F6F8"/>
          </w:tcPr>
          <w:p>
            <w:pPr>
              <w:spacing w:after="0" w:line="240" w:lineRule="auto"/>
              <w:jc w:val="center"/>
            </w:pPr>
            <w:r>
              <w:rPr>
                <w:color w:val="20252B"/>
                <w:sz w:val="14"/>
              </w:rPr>
              <w:t>8</w:t>
            </w:r>
          </w:p>
        </w:tc>
        <w:tc>
          <w:tcPr>
            <w:tcW w:type="dxa" w:w="720"/>
            <w:tcMar>
              <w:top w:w="90" w:type="dxa"/>
              <w:start w:w="110" w:type="dxa"/>
              <w:bottom w:w="90" w:type="dxa"/>
              <w:end w:w="110" w:type="dxa"/>
            </w:tcMar>
            <w:vAlign w:val="center"/>
            <w:shd w:fill="F4F6F8"/>
          </w:tcPr>
          <w:p>
            <w:pPr>
              <w:spacing w:after="0" w:line="240" w:lineRule="auto"/>
              <w:jc w:val="center"/>
            </w:pPr>
            <w:r>
              <w:rPr>
                <w:color w:val="20252B"/>
                <w:sz w:val="14"/>
              </w:rPr>
              <w:t>8</w:t>
            </w:r>
          </w:p>
        </w:tc>
        <w:tc>
          <w:tcPr>
            <w:tcW w:type="dxa" w:w="792"/>
            <w:tcMar>
              <w:top w:w="90" w:type="dxa"/>
              <w:start w:w="110" w:type="dxa"/>
              <w:bottom w:w="90" w:type="dxa"/>
              <w:end w:w="110" w:type="dxa"/>
            </w:tcMar>
            <w:vAlign w:val="center"/>
            <w:shd w:fill="F4F6F8"/>
          </w:tcPr>
          <w:p>
            <w:pPr>
              <w:spacing w:after="0" w:line="240" w:lineRule="auto"/>
              <w:jc w:val="center"/>
            </w:pPr>
            <w:r>
              <w:rPr>
                <w:color w:val="20252B"/>
                <w:sz w:val="14"/>
              </w:rPr>
              <w:t>78</w:t>
            </w:r>
          </w:p>
        </w:tc>
      </w:tr>
      <w:tr>
        <w:trPr>
          <w:cantSplit/>
        </w:trPr>
        <w:tc>
          <w:tcPr>
            <w:tcW w:type="dxa" w:w="1440"/>
            <w:tcMar>
              <w:top w:w="90" w:type="dxa"/>
              <w:start w:w="110" w:type="dxa"/>
              <w:bottom w:w="90" w:type="dxa"/>
              <w:end w:w="110" w:type="dxa"/>
            </w:tcMar>
            <w:vAlign w:val="center"/>
          </w:tcPr>
          <w:p>
            <w:pPr>
              <w:spacing w:after="0" w:line="240" w:lineRule="auto"/>
            </w:pPr>
            <w:r>
              <w:rPr>
                <w:color w:val="20252B"/>
                <w:sz w:val="14"/>
              </w:rPr>
              <w:t>EchoFrame</w:t>
            </w:r>
          </w:p>
        </w:tc>
        <w:tc>
          <w:tcPr>
            <w:tcW w:type="dxa" w:w="792"/>
            <w:tcMar>
              <w:top w:w="90" w:type="dxa"/>
              <w:start w:w="110" w:type="dxa"/>
              <w:bottom w:w="90" w:type="dxa"/>
              <w:end w:w="110" w:type="dxa"/>
            </w:tcMar>
            <w:vAlign w:val="center"/>
          </w:tcPr>
          <w:p>
            <w:pPr>
              <w:spacing w:after="0" w:line="240" w:lineRule="auto"/>
              <w:jc w:val="center"/>
            </w:pPr>
            <w:r>
              <w:rPr>
                <w:color w:val="20252B"/>
                <w:sz w:val="14"/>
              </w:rPr>
              <w:t>13</w:t>
            </w:r>
          </w:p>
        </w:tc>
        <w:tc>
          <w:tcPr>
            <w:tcW w:type="dxa" w:w="648"/>
            <w:tcMar>
              <w:top w:w="90" w:type="dxa"/>
              <w:start w:w="110" w:type="dxa"/>
              <w:bottom w:w="90" w:type="dxa"/>
              <w:end w:w="110" w:type="dxa"/>
            </w:tcMar>
            <w:vAlign w:val="center"/>
          </w:tcPr>
          <w:p>
            <w:pPr>
              <w:spacing w:after="0" w:line="240" w:lineRule="auto"/>
              <w:jc w:val="center"/>
            </w:pPr>
            <w:r>
              <w:rPr>
                <w:color w:val="20252B"/>
                <w:sz w:val="14"/>
              </w:rPr>
              <w:t>12</w:t>
            </w:r>
          </w:p>
        </w:tc>
        <w:tc>
          <w:tcPr>
            <w:tcW w:type="dxa" w:w="792"/>
            <w:tcMar>
              <w:top w:w="90" w:type="dxa"/>
              <w:start w:w="110" w:type="dxa"/>
              <w:bottom w:w="90" w:type="dxa"/>
              <w:end w:w="110" w:type="dxa"/>
            </w:tcMar>
            <w:vAlign w:val="center"/>
          </w:tcPr>
          <w:p>
            <w:pPr>
              <w:spacing w:after="0" w:line="240" w:lineRule="auto"/>
              <w:jc w:val="center"/>
            </w:pPr>
            <w:r>
              <w:rPr>
                <w:color w:val="20252B"/>
                <w:sz w:val="14"/>
              </w:rPr>
              <w:t>14</w:t>
            </w:r>
          </w:p>
        </w:tc>
        <w:tc>
          <w:tcPr>
            <w:tcW w:type="dxa" w:w="720"/>
            <w:tcMar>
              <w:top w:w="90" w:type="dxa"/>
              <w:start w:w="110" w:type="dxa"/>
              <w:bottom w:w="90" w:type="dxa"/>
              <w:end w:w="110" w:type="dxa"/>
            </w:tcMar>
            <w:vAlign w:val="center"/>
          </w:tcPr>
          <w:p>
            <w:pPr>
              <w:spacing w:after="0" w:line="240" w:lineRule="auto"/>
              <w:jc w:val="center"/>
            </w:pPr>
            <w:r>
              <w:rPr>
                <w:color w:val="20252B"/>
                <w:sz w:val="14"/>
              </w:rPr>
              <w:t>4</w:t>
            </w:r>
          </w:p>
        </w:tc>
        <w:tc>
          <w:tcPr>
            <w:tcW w:type="dxa" w:w="720"/>
            <w:tcMar>
              <w:top w:w="90" w:type="dxa"/>
              <w:start w:w="110" w:type="dxa"/>
              <w:bottom w:w="90" w:type="dxa"/>
              <w:end w:w="110" w:type="dxa"/>
            </w:tcMar>
            <w:vAlign w:val="center"/>
          </w:tcPr>
          <w:p>
            <w:pPr>
              <w:spacing w:after="0" w:line="240" w:lineRule="auto"/>
              <w:jc w:val="center"/>
            </w:pPr>
            <w:r>
              <w:rPr>
                <w:color w:val="20252B"/>
                <w:sz w:val="14"/>
              </w:rPr>
              <w:t>7</w:t>
            </w:r>
          </w:p>
        </w:tc>
        <w:tc>
          <w:tcPr>
            <w:tcW w:type="dxa" w:w="720"/>
            <w:tcMar>
              <w:top w:w="90" w:type="dxa"/>
              <w:start w:w="110" w:type="dxa"/>
              <w:bottom w:w="90" w:type="dxa"/>
              <w:end w:w="110" w:type="dxa"/>
            </w:tcMar>
            <w:vAlign w:val="center"/>
          </w:tcPr>
          <w:p>
            <w:pPr>
              <w:spacing w:after="0" w:line="240" w:lineRule="auto"/>
              <w:jc w:val="center"/>
            </w:pPr>
            <w:r>
              <w:rPr>
                <w:color w:val="20252B"/>
                <w:sz w:val="14"/>
              </w:rPr>
              <w:t>10</w:t>
            </w:r>
          </w:p>
        </w:tc>
        <w:tc>
          <w:tcPr>
            <w:tcW w:type="dxa" w:w="792"/>
            <w:tcMar>
              <w:top w:w="90" w:type="dxa"/>
              <w:start w:w="110" w:type="dxa"/>
              <w:bottom w:w="90" w:type="dxa"/>
              <w:end w:w="110" w:type="dxa"/>
            </w:tcMar>
            <w:vAlign w:val="center"/>
          </w:tcPr>
          <w:p>
            <w:pPr>
              <w:spacing w:after="0" w:line="240" w:lineRule="auto"/>
              <w:jc w:val="center"/>
            </w:pPr>
            <w:r>
              <w:rPr>
                <w:color w:val="20252B"/>
                <w:sz w:val="14"/>
              </w:rPr>
              <w:t>8</w:t>
            </w:r>
          </w:p>
        </w:tc>
        <w:tc>
          <w:tcPr>
            <w:tcW w:type="dxa" w:w="720"/>
            <w:tcMar>
              <w:top w:w="90" w:type="dxa"/>
              <w:start w:w="110" w:type="dxa"/>
              <w:bottom w:w="90" w:type="dxa"/>
              <w:end w:w="110" w:type="dxa"/>
            </w:tcMar>
            <w:vAlign w:val="center"/>
          </w:tcPr>
          <w:p>
            <w:pPr>
              <w:spacing w:after="0" w:line="240" w:lineRule="auto"/>
              <w:jc w:val="center"/>
            </w:pPr>
            <w:r>
              <w:rPr>
                <w:color w:val="20252B"/>
                <w:sz w:val="14"/>
              </w:rPr>
              <w:t>8</w:t>
            </w:r>
          </w:p>
        </w:tc>
        <w:tc>
          <w:tcPr>
            <w:tcW w:type="dxa" w:w="792"/>
            <w:tcMar>
              <w:top w:w="90" w:type="dxa"/>
              <w:start w:w="110" w:type="dxa"/>
              <w:bottom w:w="90" w:type="dxa"/>
              <w:end w:w="110" w:type="dxa"/>
            </w:tcMar>
            <w:vAlign w:val="center"/>
          </w:tcPr>
          <w:p>
            <w:pPr>
              <w:spacing w:after="0" w:line="240" w:lineRule="auto"/>
              <w:jc w:val="center"/>
            </w:pPr>
            <w:r>
              <w:rPr>
                <w:color w:val="20252B"/>
                <w:sz w:val="14"/>
              </w:rPr>
              <w:t>76</w:t>
            </w:r>
          </w:p>
        </w:tc>
      </w:tr>
      <w:tr>
        <w:trPr>
          <w:cantSplit/>
        </w:trPr>
        <w:tc>
          <w:tcPr>
            <w:tcW w:type="dxa" w:w="1440"/>
            <w:tcMar>
              <w:top w:w="90" w:type="dxa"/>
              <w:start w:w="110" w:type="dxa"/>
              <w:bottom w:w="90" w:type="dxa"/>
              <w:end w:w="110" w:type="dxa"/>
            </w:tcMar>
            <w:vAlign w:val="center"/>
            <w:shd w:fill="F4F6F8"/>
          </w:tcPr>
          <w:p>
            <w:pPr>
              <w:spacing w:after="0" w:line="240" w:lineRule="auto"/>
            </w:pPr>
            <w:r>
              <w:rPr>
                <w:color w:val="20252B"/>
                <w:sz w:val="14"/>
              </w:rPr>
              <w:t>KPMG</w:t>
            </w:r>
          </w:p>
        </w:tc>
        <w:tc>
          <w:tcPr>
            <w:tcW w:type="dxa" w:w="792"/>
            <w:tcMar>
              <w:top w:w="90" w:type="dxa"/>
              <w:start w:w="110" w:type="dxa"/>
              <w:bottom w:w="90" w:type="dxa"/>
              <w:end w:w="110" w:type="dxa"/>
            </w:tcMar>
            <w:vAlign w:val="center"/>
            <w:shd w:fill="F4F6F8"/>
          </w:tcPr>
          <w:p>
            <w:pPr>
              <w:spacing w:after="0" w:line="240" w:lineRule="auto"/>
              <w:jc w:val="center"/>
            </w:pPr>
            <w:r>
              <w:rPr>
                <w:color w:val="20252B"/>
                <w:sz w:val="14"/>
              </w:rPr>
              <w:t>11</w:t>
            </w:r>
          </w:p>
        </w:tc>
        <w:tc>
          <w:tcPr>
            <w:tcW w:type="dxa" w:w="648"/>
            <w:tcMar>
              <w:top w:w="90" w:type="dxa"/>
              <w:start w:w="110" w:type="dxa"/>
              <w:bottom w:w="90" w:type="dxa"/>
              <w:end w:w="110" w:type="dxa"/>
            </w:tcMar>
            <w:vAlign w:val="center"/>
            <w:shd w:fill="F4F6F8"/>
          </w:tcPr>
          <w:p>
            <w:pPr>
              <w:spacing w:after="0" w:line="240" w:lineRule="auto"/>
              <w:jc w:val="center"/>
            </w:pPr>
            <w:r>
              <w:rPr>
                <w:color w:val="20252B"/>
                <w:sz w:val="14"/>
              </w:rPr>
              <w:t>11</w:t>
            </w:r>
          </w:p>
        </w:tc>
        <w:tc>
          <w:tcPr>
            <w:tcW w:type="dxa" w:w="792"/>
            <w:tcMar>
              <w:top w:w="90" w:type="dxa"/>
              <w:start w:w="110" w:type="dxa"/>
              <w:bottom w:w="90" w:type="dxa"/>
              <w:end w:w="110" w:type="dxa"/>
            </w:tcMar>
            <w:vAlign w:val="center"/>
            <w:shd w:fill="F4F6F8"/>
          </w:tcPr>
          <w:p>
            <w:pPr>
              <w:spacing w:after="0" w:line="240" w:lineRule="auto"/>
              <w:jc w:val="center"/>
            </w:pPr>
            <w:r>
              <w:rPr>
                <w:color w:val="20252B"/>
                <w:sz w:val="14"/>
              </w:rPr>
              <w:t>10</w:t>
            </w:r>
          </w:p>
        </w:tc>
        <w:tc>
          <w:tcPr>
            <w:tcW w:type="dxa" w:w="720"/>
            <w:tcMar>
              <w:top w:w="90" w:type="dxa"/>
              <w:start w:w="110" w:type="dxa"/>
              <w:bottom w:w="90" w:type="dxa"/>
              <w:end w:w="110" w:type="dxa"/>
            </w:tcMar>
            <w:vAlign w:val="center"/>
            <w:shd w:fill="F4F6F8"/>
          </w:tcPr>
          <w:p>
            <w:pPr>
              <w:spacing w:after="0" w:line="240" w:lineRule="auto"/>
              <w:jc w:val="center"/>
            </w:pPr>
            <w:r>
              <w:rPr>
                <w:color w:val="20252B"/>
                <w:sz w:val="14"/>
              </w:rPr>
              <w:t>8</w:t>
            </w:r>
          </w:p>
        </w:tc>
        <w:tc>
          <w:tcPr>
            <w:tcW w:type="dxa" w:w="720"/>
            <w:tcMar>
              <w:top w:w="90" w:type="dxa"/>
              <w:start w:w="110" w:type="dxa"/>
              <w:bottom w:w="90" w:type="dxa"/>
              <w:end w:w="110" w:type="dxa"/>
            </w:tcMar>
            <w:vAlign w:val="center"/>
            <w:shd w:fill="F4F6F8"/>
          </w:tcPr>
          <w:p>
            <w:pPr>
              <w:spacing w:after="0" w:line="240" w:lineRule="auto"/>
              <w:jc w:val="center"/>
            </w:pPr>
            <w:r>
              <w:rPr>
                <w:color w:val="20252B"/>
                <w:sz w:val="14"/>
              </w:rPr>
              <w:t>12</w:t>
            </w:r>
          </w:p>
        </w:tc>
        <w:tc>
          <w:tcPr>
            <w:tcW w:type="dxa" w:w="720"/>
            <w:tcMar>
              <w:top w:w="90" w:type="dxa"/>
              <w:start w:w="110" w:type="dxa"/>
              <w:bottom w:w="90" w:type="dxa"/>
              <w:end w:w="110" w:type="dxa"/>
            </w:tcMar>
            <w:vAlign w:val="center"/>
            <w:shd w:fill="F4F6F8"/>
          </w:tcPr>
          <w:p>
            <w:pPr>
              <w:spacing w:after="0" w:line="240" w:lineRule="auto"/>
              <w:jc w:val="center"/>
            </w:pPr>
            <w:r>
              <w:rPr>
                <w:color w:val="20252B"/>
                <w:sz w:val="14"/>
              </w:rPr>
              <w:t>8</w:t>
            </w:r>
          </w:p>
        </w:tc>
        <w:tc>
          <w:tcPr>
            <w:tcW w:type="dxa" w:w="792"/>
            <w:tcMar>
              <w:top w:w="90" w:type="dxa"/>
              <w:start w:w="110" w:type="dxa"/>
              <w:bottom w:w="90" w:type="dxa"/>
              <w:end w:w="110" w:type="dxa"/>
            </w:tcMar>
            <w:vAlign w:val="center"/>
            <w:shd w:fill="F4F6F8"/>
          </w:tcPr>
          <w:p>
            <w:pPr>
              <w:spacing w:after="0" w:line="240" w:lineRule="auto"/>
              <w:jc w:val="center"/>
            </w:pPr>
            <w:r>
              <w:rPr>
                <w:color w:val="20252B"/>
                <w:sz w:val="14"/>
              </w:rPr>
              <w:t>7</w:t>
            </w:r>
          </w:p>
        </w:tc>
        <w:tc>
          <w:tcPr>
            <w:tcW w:type="dxa" w:w="720"/>
            <w:tcMar>
              <w:top w:w="90" w:type="dxa"/>
              <w:start w:w="110" w:type="dxa"/>
              <w:bottom w:w="90" w:type="dxa"/>
              <w:end w:w="110" w:type="dxa"/>
            </w:tcMar>
            <w:vAlign w:val="center"/>
            <w:shd w:fill="F4F6F8"/>
          </w:tcPr>
          <w:p>
            <w:pPr>
              <w:spacing w:after="0" w:line="240" w:lineRule="auto"/>
              <w:jc w:val="center"/>
            </w:pPr>
            <w:r>
              <w:rPr>
                <w:color w:val="20252B"/>
                <w:sz w:val="14"/>
              </w:rPr>
              <w:t>7</w:t>
            </w:r>
          </w:p>
        </w:tc>
        <w:tc>
          <w:tcPr>
            <w:tcW w:type="dxa" w:w="792"/>
            <w:tcMar>
              <w:top w:w="90" w:type="dxa"/>
              <w:start w:w="110" w:type="dxa"/>
              <w:bottom w:w="90" w:type="dxa"/>
              <w:end w:w="110" w:type="dxa"/>
            </w:tcMar>
            <w:vAlign w:val="center"/>
            <w:shd w:fill="F4F6F8"/>
          </w:tcPr>
          <w:p>
            <w:pPr>
              <w:spacing w:after="0" w:line="240" w:lineRule="auto"/>
              <w:jc w:val="center"/>
            </w:pPr>
            <w:r>
              <w:rPr>
                <w:color w:val="20252B"/>
                <w:sz w:val="14"/>
              </w:rPr>
              <w:t>74</w:t>
            </w:r>
          </w:p>
        </w:tc>
      </w:tr>
      <w:tr>
        <w:trPr>
          <w:cantSplit/>
        </w:trPr>
        <w:tc>
          <w:tcPr>
            <w:tcW w:type="dxa" w:w="1440"/>
            <w:tcMar>
              <w:top w:w="90" w:type="dxa"/>
              <w:start w:w="110" w:type="dxa"/>
              <w:bottom w:w="90" w:type="dxa"/>
              <w:end w:w="110" w:type="dxa"/>
            </w:tcMar>
            <w:vAlign w:val="center"/>
          </w:tcPr>
          <w:p>
            <w:pPr>
              <w:spacing w:after="0" w:line="240" w:lineRule="auto"/>
            </w:pPr>
            <w:r>
              <w:rPr>
                <w:color w:val="20252B"/>
                <w:sz w:val="14"/>
              </w:rPr>
              <w:t>Baker Tilly</w:t>
            </w:r>
          </w:p>
        </w:tc>
        <w:tc>
          <w:tcPr>
            <w:tcW w:type="dxa" w:w="792"/>
            <w:tcMar>
              <w:top w:w="90" w:type="dxa"/>
              <w:start w:w="110" w:type="dxa"/>
              <w:bottom w:w="90" w:type="dxa"/>
              <w:end w:w="110" w:type="dxa"/>
            </w:tcMar>
            <w:vAlign w:val="center"/>
          </w:tcPr>
          <w:p>
            <w:pPr>
              <w:spacing w:after="0" w:line="240" w:lineRule="auto"/>
              <w:jc w:val="center"/>
            </w:pPr>
            <w:r>
              <w:rPr>
                <w:color w:val="20252B"/>
                <w:sz w:val="14"/>
              </w:rPr>
              <w:t>12</w:t>
            </w:r>
          </w:p>
        </w:tc>
        <w:tc>
          <w:tcPr>
            <w:tcW w:type="dxa" w:w="648"/>
            <w:tcMar>
              <w:top w:w="90" w:type="dxa"/>
              <w:start w:w="110" w:type="dxa"/>
              <w:bottom w:w="90" w:type="dxa"/>
              <w:end w:w="110" w:type="dxa"/>
            </w:tcMar>
            <w:vAlign w:val="center"/>
          </w:tcPr>
          <w:p>
            <w:pPr>
              <w:spacing w:after="0" w:line="240" w:lineRule="auto"/>
              <w:jc w:val="center"/>
            </w:pPr>
            <w:r>
              <w:rPr>
                <w:color w:val="20252B"/>
                <w:sz w:val="14"/>
              </w:rPr>
              <w:t>8</w:t>
            </w:r>
          </w:p>
        </w:tc>
        <w:tc>
          <w:tcPr>
            <w:tcW w:type="dxa" w:w="792"/>
            <w:tcMar>
              <w:top w:w="90" w:type="dxa"/>
              <w:start w:w="110" w:type="dxa"/>
              <w:bottom w:w="90" w:type="dxa"/>
              <w:end w:w="110" w:type="dxa"/>
            </w:tcMar>
            <w:vAlign w:val="center"/>
          </w:tcPr>
          <w:p>
            <w:pPr>
              <w:spacing w:after="0" w:line="240" w:lineRule="auto"/>
              <w:jc w:val="center"/>
            </w:pPr>
            <w:r>
              <w:rPr>
                <w:color w:val="20252B"/>
                <w:sz w:val="14"/>
              </w:rPr>
              <w:t>9</w:t>
            </w:r>
          </w:p>
        </w:tc>
        <w:tc>
          <w:tcPr>
            <w:tcW w:type="dxa" w:w="720"/>
            <w:tcMar>
              <w:top w:w="90" w:type="dxa"/>
              <w:start w:w="110" w:type="dxa"/>
              <w:bottom w:w="90" w:type="dxa"/>
              <w:end w:w="110" w:type="dxa"/>
            </w:tcMar>
            <w:vAlign w:val="center"/>
          </w:tcPr>
          <w:p>
            <w:pPr>
              <w:spacing w:after="0" w:line="240" w:lineRule="auto"/>
              <w:jc w:val="center"/>
            </w:pPr>
            <w:r>
              <w:rPr>
                <w:color w:val="20252B"/>
                <w:sz w:val="14"/>
              </w:rPr>
              <w:t>7</w:t>
            </w:r>
          </w:p>
        </w:tc>
        <w:tc>
          <w:tcPr>
            <w:tcW w:type="dxa" w:w="720"/>
            <w:tcMar>
              <w:top w:w="90" w:type="dxa"/>
              <w:start w:w="110" w:type="dxa"/>
              <w:bottom w:w="90" w:type="dxa"/>
              <w:end w:w="110" w:type="dxa"/>
            </w:tcMar>
            <w:vAlign w:val="center"/>
          </w:tcPr>
          <w:p>
            <w:pPr>
              <w:spacing w:after="0" w:line="240" w:lineRule="auto"/>
              <w:jc w:val="center"/>
            </w:pPr>
            <w:r>
              <w:rPr>
                <w:color w:val="20252B"/>
                <w:sz w:val="14"/>
              </w:rPr>
              <w:t>8</w:t>
            </w:r>
          </w:p>
        </w:tc>
        <w:tc>
          <w:tcPr>
            <w:tcW w:type="dxa" w:w="720"/>
            <w:tcMar>
              <w:top w:w="90" w:type="dxa"/>
              <w:start w:w="110" w:type="dxa"/>
              <w:bottom w:w="90" w:type="dxa"/>
              <w:end w:w="110" w:type="dxa"/>
            </w:tcMar>
            <w:vAlign w:val="center"/>
          </w:tcPr>
          <w:p>
            <w:pPr>
              <w:spacing w:after="0" w:line="240" w:lineRule="auto"/>
              <w:jc w:val="center"/>
            </w:pPr>
            <w:r>
              <w:rPr>
                <w:color w:val="20252B"/>
                <w:sz w:val="14"/>
              </w:rPr>
              <w:t>7</w:t>
            </w:r>
          </w:p>
        </w:tc>
        <w:tc>
          <w:tcPr>
            <w:tcW w:type="dxa" w:w="792"/>
            <w:tcMar>
              <w:top w:w="90" w:type="dxa"/>
              <w:start w:w="110" w:type="dxa"/>
              <w:bottom w:w="90" w:type="dxa"/>
              <w:end w:w="110" w:type="dxa"/>
            </w:tcMar>
            <w:vAlign w:val="center"/>
          </w:tcPr>
          <w:p>
            <w:pPr>
              <w:spacing w:after="0" w:line="240" w:lineRule="auto"/>
              <w:jc w:val="center"/>
            </w:pPr>
            <w:r>
              <w:rPr>
                <w:color w:val="20252B"/>
                <w:sz w:val="14"/>
              </w:rPr>
              <w:t>6</w:t>
            </w:r>
          </w:p>
        </w:tc>
        <w:tc>
          <w:tcPr>
            <w:tcW w:type="dxa" w:w="720"/>
            <w:tcMar>
              <w:top w:w="90" w:type="dxa"/>
              <w:start w:w="110" w:type="dxa"/>
              <w:bottom w:w="90" w:type="dxa"/>
              <w:end w:w="110" w:type="dxa"/>
            </w:tcMar>
            <w:vAlign w:val="center"/>
          </w:tcPr>
          <w:p>
            <w:pPr>
              <w:spacing w:after="0" w:line="240" w:lineRule="auto"/>
              <w:jc w:val="center"/>
            </w:pPr>
            <w:r>
              <w:rPr>
                <w:color w:val="20252B"/>
                <w:sz w:val="14"/>
              </w:rPr>
              <w:t>7</w:t>
            </w:r>
          </w:p>
        </w:tc>
        <w:tc>
          <w:tcPr>
            <w:tcW w:type="dxa" w:w="792"/>
            <w:tcMar>
              <w:top w:w="90" w:type="dxa"/>
              <w:start w:w="110" w:type="dxa"/>
              <w:bottom w:w="90" w:type="dxa"/>
              <w:end w:w="110" w:type="dxa"/>
            </w:tcMar>
            <w:vAlign w:val="center"/>
          </w:tcPr>
          <w:p>
            <w:pPr>
              <w:spacing w:after="0" w:line="240" w:lineRule="auto"/>
              <w:jc w:val="center"/>
            </w:pPr>
            <w:r>
              <w:rPr>
                <w:color w:val="20252B"/>
                <w:sz w:val="14"/>
              </w:rPr>
              <w:t>64</w:t>
            </w:r>
          </w:p>
        </w:tc>
      </w:tr>
    </w:tbl>
    <w:p>
      <w:pPr>
        <w:spacing w:after="20"/>
      </w:pPr>
    </w:p>
    <w:p>
      <w:r>
        <w:br w:type="page"/>
      </w:r>
    </w:p>
    <w:p>
      <w:pPr>
        <w:pStyle w:val="Heading1"/>
      </w:pPr>
      <w:r>
        <w:t>The Elite Website Formula</w:t>
      </w:r>
    </w:p>
    <w:p>
      <w:pPr>
        <w:pStyle w:val="Heading2"/>
      </w:pPr>
      <w:r>
        <w:t>1 Authority is designed as a sequence</w:t>
      </w:r>
    </w:p>
    <w:p>
      <w:r>
        <w:t>The best pages control the order in which confidence develops. A visitor first encounters a sharp idea, then recognizes a relevant problem, then sees evidence that the firm has solved comparable problems, and only then receives a commercial invitation. This sequencing matters because professional-services buyers are not purchasing a visible product. They are evaluating judgment, fit, risk, and the likelihood that the firm can operate inside a complex organization.</w:t>
      </w:r>
    </w:p>
    <w:p>
      <w:r>
        <w:t>Bain's homepage is the clearest example. It begins with a broad promise, lets visitors identify an industry and business need, follows with quantified client outcomes, continues into current insights, and ends with contact and career routes.[1] The experience behaves like a confidence ladder rather than a service catalog.</w:t>
      </w:r>
    </w:p>
    <w:p>
      <w:pPr>
        <w:pStyle w:val="Heading2"/>
      </w:pPr>
      <w:r>
        <w:t>2 The homepage carries a point of view</w:t>
      </w:r>
    </w:p>
    <w:p>
      <w:r>
        <w:t>Elite firms avoid opening with a complete description of themselves. They open with a framing of the market. BCG pairs strategic clarity with applied AI.[2] KPMG leads with adaptability at scale.[4] PwC asks what happens when a business works as one.[6] EchoFrame opens with a concrete operating result and then argues for architectural restraint.[9] The strongest versions create both relevance and a recognizable worldview.</w:t>
      </w:r>
    </w:p>
    <w:p>
      <w:r>
        <w:t>A weak proposition is broadly agreeable but commercially empty. Phrases such as 'unlock value,' 'navigate complexity,' and 'drive transformation' appear throughout the category. They sound appropriate because they are familiar, but they do little to identify which firm should be chosen. Elite execution requires a memorable organizing idea that can support services, proof, and content over time.</w:t>
      </w:r>
    </w:p>
    <w:p>
      <w:pPr>
        <w:pStyle w:val="Heading2"/>
      </w:pPr>
      <w:r>
        <w:t>3 Brand codes do more than decorate</w:t>
      </w:r>
    </w:p>
    <w:p>
      <w:r>
        <w:t>The leading visual systems have a small number of high-recognition assets: a dominant background behavior, a signature accent, a consistent typographic voice, a recognizable image treatment, and a repeatable interaction pattern. Accenture's black canvas, white type, and purple greater-than mark create immediate recognition. BCG's dark green, serif-sans pairing, soft panels, and rounded imagery communicate strategic confidence without looking institutional. Bain's red acts as a decisive editorial accent rather than a constant fill.</w:t>
      </w:r>
    </w:p>
    <w:p>
      <w:r>
        <w:t>The critical trait is consistency. Elite sites do not reinvent the visual language for every section. Variation appears inside a controlled system, so each new report or case study inherits authority from the whole brand.</w:t>
      </w:r>
    </w:p>
    <w:p>
      <w:pPr>
        <w:pStyle w:val="Heading2"/>
      </w:pPr>
      <w:r>
        <w:t>4 Content is infrastructure</w:t>
      </w:r>
    </w:p>
    <w:p>
      <w:r>
        <w:t>Thought leadership is not a footer blog. It is the mechanism by which a consulting firm demonstrates that it sees the market early, has access to evidence, and can form a useful judgment. Accenture's homepage packages perspectives, research reports, client stories, executive quotations, and awards as a continuously updated content surface.[3] BCG labels content by industry, format, and date, making the page feel like a current executive briefing.[2]</w:t>
      </w:r>
    </w:p>
    <w:p>
      <w:r>
        <w:t>The best systems support several discovery modes: browsing by topic, industry, role, service, content type, and recency; searching across services, experts, and insights; saving or subscribing; and continuing from an article to a relevant expert or capability. This is why elite sites feel larger than their homepages.</w:t>
      </w:r>
    </w:p>
    <w:p>
      <w:pPr>
        <w:pStyle w:val="Heading2"/>
      </w:pPr>
      <w:r>
        <w:t>5 Proof is specific and proximal</w:t>
      </w:r>
    </w:p>
    <w:p>
      <w:r>
        <w:t>A proof statement is strongest when it appears next to the promise it validates. Bain explicitly labels 'The impact' and surfaces numerical results.[1] Deloitte uses recognizable, concrete stories such as reducing underwriting from 35 days to 30 minutes.[5] EY maintains a broad case-study system with named organizations such as Xcel Energy, Bristol Myers Squibb, Microsoft, and Medtronic.[7]</w:t>
      </w:r>
    </w:p>
    <w:p>
      <w:r>
        <w:t>Logos alone are weaker than contextual evidence. A credible proof unit explains the starting condition, intervention, operating constraint, and measurable change. Named clients improve confidence, but anonymized cases can still work when the operational detail and measurement are precise.</w:t>
      </w:r>
    </w:p>
    <w:p>
      <w:pPr>
        <w:pStyle w:val="Heading2"/>
      </w:pPr>
      <w:r>
        <w:t>6 Conversion matches intent</w:t>
      </w:r>
    </w:p>
    <w:p>
      <w:r>
        <w:t>A visitor reading an insight is not always ready to request a proposal. Elite sites therefore offer several legitimate next actions. High-intent visitors can contact the firm. Research-oriented visitors can subscribe, save content, explore experts, or move into a relevant capability. Career visitors have a separate route. This reduces pressure without losing commercial continuity.</w:t>
      </w:r>
    </w:p>
    <w:p>
      <w:r>
        <w:t>Bain's guided selector is especially strong because it converts ambiguity into a personalized content path.[1] EchoFrame's direct 'Request a Quote' route is appropriately simple for a small firm with a narrow funnel.[9] A large firm needs more paths; a small firm needs fewer, clearer ones.</w:t>
      </w:r>
    </w:p>
    <w:p>
      <w:pPr>
        <w:pStyle w:val="Heading2"/>
      </w:pPr>
      <w:r>
        <w:t>7 Institutional details quietly lower risk</w:t>
      </w:r>
    </w:p>
    <w:p>
      <w:r>
        <w:t>Region and language selectors, office pages, leadership profiles, privacy controls, accessibility statements, legal structure, newsroom content, and robust footers are rarely visually exciting. They matter because professional-services buyers evaluate whether a firm can be trusted with sensitive information, regulated work, complex stakeholders, and long engagements. Institutional completeness acts as a background risk signal.</w:t>
      </w:r>
    </w:p>
    <w:p>
      <w:r>
        <w:br w:type="page"/>
      </w:r>
    </w:p>
    <w:p>
      <w:pPr>
        <w:pStyle w:val="Heading1"/>
      </w:pPr>
      <w:r>
        <w:t>Firm by Firm Audit</w:t>
      </w:r>
    </w:p>
    <w:p>
      <w:pPr>
        <w:pStyle w:val="Heading2"/>
      </w:pPr>
      <w:r>
        <w:t>Bain</w:t>
      </w:r>
    </w:p>
    <w:p>
      <w:r>
        <w:t>The strongest overall consulting website because its design, content, and conversion logic all express the same idea: decisive thinking tied to measurable results.</w:t>
      </w:r>
    </w:p>
    <w:p>
      <w:pPr>
        <w:pStyle w:val="Heading3"/>
      </w:pPr>
      <w:r>
        <w:t>What works</w:t>
      </w:r>
    </w:p>
    <w:p>
      <w:pPr>
        <w:pStyle w:val="ListBullet"/>
        <w:spacing w:after="60"/>
      </w:pPr>
      <w:r>
        <w:t>Guided relevance. The two-question selector asks for industry and business need, turning a broad global site into a more personal discovery experience.[1]</w:t>
      </w:r>
    </w:p>
    <w:p>
      <w:pPr>
        <w:pStyle w:val="ListBullet"/>
        <w:spacing w:after="60"/>
      </w:pPr>
      <w:r>
        <w:t>Quantified proof. Client stories foreground outcome numbers rather than relying on praise or abstract claims.[1]</w:t>
      </w:r>
    </w:p>
    <w:p>
      <w:pPr>
        <w:pStyle w:val="ListBullet"/>
        <w:spacing w:after="60"/>
      </w:pPr>
      <w:r>
        <w:t>Editorial confidence. Short, declarative copy and disciplined red accents make the site feel authored rather than assembled.</w:t>
      </w:r>
    </w:p>
    <w:p>
      <w:pPr>
        <w:pStyle w:val="ListBullet"/>
        <w:spacing w:after="60"/>
      </w:pPr>
      <w:r>
        <w:t>Role-aware information architecture. Industries, consulting services, insights, executive agendas, client results, experts, and offices create several logical paths without collapsing them into one taxonomy.[1]</w:t>
      </w:r>
    </w:p>
    <w:p>
      <w:pPr>
        <w:pStyle w:val="ListBullet"/>
        <w:spacing w:after="60"/>
      </w:pPr>
      <w:r>
        <w:t>Commercial restraint. Contact appears clearly, but the page earns the request through ideas and evidence first.</w:t>
      </w:r>
    </w:p>
    <w:p>
      <w:pPr>
        <w:pStyle w:val="Heading3"/>
      </w:pPr>
      <w:r>
        <w:t>Where it loses ground</w:t>
      </w:r>
    </w:p>
    <w:p>
      <w:pPr>
        <w:pStyle w:val="ListBullet"/>
        <w:spacing w:after="60"/>
      </w:pPr>
      <w:r>
        <w:t>The global navigation is still extensive and requires cognitive effort, particularly when industries, services, topics, and executive-role content overlap.</w:t>
      </w:r>
    </w:p>
    <w:p>
      <w:pPr>
        <w:pStyle w:val="ListBullet"/>
        <w:spacing w:after="60"/>
      </w:pPr>
      <w:r>
        <w:t>Personalization and saved-content features add utility but also increase state, privacy, and implementation complexity.</w:t>
      </w:r>
    </w:p>
    <w:p>
      <w:pPr>
        <w:pStyle w:val="ListBullet"/>
        <w:spacing w:after="60"/>
      </w:pPr>
      <w:r>
        <w:t>Automated-browser verification creates an access and crawl-risk signal in some contexts, even though it may be a deliberate security choice.</w:t>
      </w:r>
    </w:p>
    <w:p>
      <w:pPr>
        <w:pStyle w:val="Heading3"/>
      </w:pPr>
      <w:r>
        <w:t>Core lesson</w:t>
      </w:r>
    </w:p>
    <w:p>
      <w:r>
        <w:t>Elite consulting design is not a visual style. It is a controlled argument. Bain's strongest move is placing quantified client evidence at the center of the homepage rather than treating case studies as a secondary library.</w:t>
      </w:r>
    </w:p>
    <w:p>
      <w:pPr>
        <w:pStyle w:val="Heading2"/>
      </w:pPr>
      <w:r>
        <w:t>BCG</w:t>
      </w:r>
    </w:p>
    <w:p>
      <w:r>
        <w:t>The best editorial and strategic-brand hybrid, with a warmer and more distinctive visual language than most enterprise consultancies.</w:t>
      </w:r>
    </w:p>
    <w:p>
      <w:pPr>
        <w:pStyle w:val="Heading3"/>
      </w:pPr>
      <w:r>
        <w:t>What works</w:t>
      </w:r>
    </w:p>
    <w:p>
      <w:pPr>
        <w:pStyle w:val="ListBullet"/>
        <w:spacing w:after="60"/>
      </w:pPr>
      <w:r>
        <w:t>A clear contemporary position: strategic clarity plus applied AI. The phrasing is short, relevant, and supported throughout the page.[2]</w:t>
      </w:r>
    </w:p>
    <w:p>
      <w:pPr>
        <w:pStyle w:val="ListBullet"/>
        <w:spacing w:after="60"/>
      </w:pPr>
      <w:r>
        <w:t>Strong editorial packaging. Content includes format, industry, date, headline, explanatory deck, and direct action, which creates the feel of a premium publication.[2]</w:t>
      </w:r>
    </w:p>
    <w:p>
      <w:pPr>
        <w:pStyle w:val="ListBullet"/>
        <w:spacing w:after="60"/>
      </w:pPr>
      <w:r>
        <w:t>A sophisticated brand system. Dark green, restrained serif typography, rounded media, and spacious composition feel premium without resembling a bank or software vendor.</w:t>
      </w:r>
    </w:p>
    <w:p>
      <w:pPr>
        <w:pStyle w:val="ListBullet"/>
        <w:spacing w:after="60"/>
      </w:pPr>
      <w:r>
        <w:t>Productization of expertise. BCG Answer turns the content archive into an AI-assisted discovery experience, showing the firm can apply its own technology position to the site.[2]</w:t>
      </w:r>
    </w:p>
    <w:p>
      <w:pPr>
        <w:pStyle w:val="ListBullet"/>
        <w:spacing w:after="60"/>
      </w:pPr>
      <w:r>
        <w:t>Freshness. Current dates and changing business topics make the homepage feel actively governed.</w:t>
      </w:r>
    </w:p>
    <w:p>
      <w:pPr>
        <w:pStyle w:val="Heading3"/>
      </w:pPr>
      <w:r>
        <w:t>Where it loses ground</w:t>
      </w:r>
    </w:p>
    <w:p>
      <w:pPr>
        <w:pStyle w:val="ListBullet"/>
        <w:spacing w:after="60"/>
      </w:pPr>
      <w:r>
        <w:t>The navigation and underlying content inventory are very large. Search and taxonomy must work perfectly to prevent overload.</w:t>
      </w:r>
    </w:p>
    <w:p>
      <w:pPr>
        <w:pStyle w:val="ListBullet"/>
        <w:spacing w:after="60"/>
      </w:pPr>
      <w:r>
        <w:t>Rounded cards and layered panels are visually distinctive now but can become trend-bound if overused.</w:t>
      </w:r>
    </w:p>
    <w:p>
      <w:pPr>
        <w:pStyle w:val="ListBullet"/>
        <w:spacing w:after="60"/>
      </w:pPr>
      <w:r>
        <w:t>The homepage prioritizes insights so strongly that a visitor seeking a simple service explanation may need an extra step.</w:t>
      </w:r>
    </w:p>
    <w:p>
      <w:pPr>
        <w:pStyle w:val="Heading3"/>
      </w:pPr>
      <w:r>
        <w:t>Core lesson</w:t>
      </w:r>
    </w:p>
    <w:p>
      <w:r>
        <w:t>BCG proves that intellectual seriousness does not require visual coldness. Its site combines an editorial publication, a research library, and a consulting brand without losing a coherent voice.</w:t>
      </w:r>
    </w:p>
    <w:p>
      <w:r>
        <w:br w:type="page"/>
      </w:r>
    </w:p>
    <w:p>
      <w:pPr>
        <w:pStyle w:val="Heading2"/>
      </w:pPr>
      <w:r>
        <w:t>Accenture</w:t>
      </w:r>
    </w:p>
    <w:p>
      <w:r>
        <w:t>The most memorable digital brand experience, using type, motion, contrast, and a proprietary visual code to make a very large organization feel current.</w:t>
      </w:r>
    </w:p>
    <w:p>
      <w:pPr>
        <w:pStyle w:val="Heading3"/>
      </w:pPr>
      <w:r>
        <w:t>What works</w:t>
      </w:r>
    </w:p>
    <w:p>
      <w:pPr>
        <w:pStyle w:val="ListBullet"/>
        <w:spacing w:after="60"/>
      </w:pPr>
      <w:r>
        <w:t>Immediate recognition. Black, white, and purple create a high-contrast world that no competitor in this set can easily own.</w:t>
      </w:r>
    </w:p>
    <w:p>
      <w:pPr>
        <w:pStyle w:val="ListBullet"/>
        <w:spacing w:after="60"/>
      </w:pPr>
      <w:r>
        <w:t>Motion supports the brand idea of reinvention rather than appearing as decorative animation.</w:t>
      </w:r>
    </w:p>
    <w:p>
      <w:pPr>
        <w:pStyle w:val="ListBullet"/>
        <w:spacing w:after="60"/>
      </w:pPr>
      <w:r>
        <w:t>Content density is handled through card-based expansion. Visitors can scan many perspectives and research reports before choosing depth.[3]</w:t>
      </w:r>
    </w:p>
    <w:p>
      <w:pPr>
        <w:pStyle w:val="ListBullet"/>
        <w:spacing w:after="60"/>
      </w:pPr>
      <w:r>
        <w:t>Named global clients and executive voice connect the brand promise to recognizable enterprise work.[3]</w:t>
      </w:r>
    </w:p>
    <w:p>
      <w:pPr>
        <w:pStyle w:val="ListBullet"/>
        <w:spacing w:after="60"/>
      </w:pPr>
      <w:r>
        <w:t>The information architecture uses a small top-level set - what we do, what we think, who we are, and careers - to contain enormous breadth.[3]</w:t>
      </w:r>
    </w:p>
    <w:p>
      <w:pPr>
        <w:pStyle w:val="Heading3"/>
      </w:pPr>
      <w:r>
        <w:t>Where it loses ground</w:t>
      </w:r>
    </w:p>
    <w:p>
      <w:pPr>
        <w:pStyle w:val="ListBullet"/>
        <w:spacing w:after="60"/>
      </w:pPr>
      <w:r>
        <w:t>The experience is resource-heavy by design: video, animation, many interactive controls, and custom fonts increase performance and accessibility risk.</w:t>
      </w:r>
    </w:p>
    <w:p>
      <w:pPr>
        <w:pStyle w:val="ListBullet"/>
        <w:spacing w:after="60"/>
      </w:pPr>
      <w:r>
        <w:t>The hero phrase is emotionally strong but less specific about the exact commercial outcome than Bain or EchoFrame.</w:t>
      </w:r>
    </w:p>
    <w:p>
      <w:pPr>
        <w:pStyle w:val="ListBullet"/>
        <w:spacing w:after="60"/>
      </w:pPr>
      <w:r>
        <w:t>The first-visit cookie panel consumes a large share of the viewport and competes with the primary experience.</w:t>
      </w:r>
    </w:p>
    <w:p>
      <w:pPr>
        <w:pStyle w:val="ListBullet"/>
        <w:spacing w:after="60"/>
      </w:pPr>
      <w:r>
        <w:t>Card expansion and carousels can create interaction cost and hidden content, especially for keyboard and screen-reader users if implementation is imperfect.</w:t>
      </w:r>
    </w:p>
    <w:p>
      <w:pPr>
        <w:pStyle w:val="Heading3"/>
      </w:pPr>
      <w:r>
        <w:t>Core lesson</w:t>
      </w:r>
    </w:p>
    <w:p>
      <w:r>
        <w:t>Distinctiveness compounds. Accenture does not need to explain that it is innovative before the page has already demonstrated it. The risk is allowing spectacle to outrun speed, readability, or proof.</w:t>
      </w:r>
    </w:p>
    <w:p>
      <w:pPr>
        <w:pStyle w:val="Heading2"/>
      </w:pPr>
      <w:r>
        <w:t>Deloitte</w:t>
      </w:r>
    </w:p>
    <w:p>
      <w:r>
        <w:t>A strong global corporate platform that succeeds through breadth, current stories, and recognizable impact, though it is less visually singular than the top three.</w:t>
      </w:r>
    </w:p>
    <w:p>
      <w:pPr>
        <w:pStyle w:val="Heading3"/>
      </w:pPr>
      <w:r>
        <w:t>What works</w:t>
      </w:r>
    </w:p>
    <w:p>
      <w:pPr>
        <w:pStyle w:val="ListBullet"/>
        <w:spacing w:after="60"/>
      </w:pPr>
      <w:r>
        <w:t>The homepage ties a current cultural moment to the brand, then moves into a broader progress narrative.[5]</w:t>
      </w:r>
    </w:p>
    <w:p>
      <w:pPr>
        <w:pStyle w:val="ListBullet"/>
        <w:spacing w:after="60"/>
      </w:pPr>
      <w:r>
        <w:t>Client stories use concrete situations and outcomes, including underwriting reduced from 35 days to 30 minutes.[5]</w:t>
      </w:r>
    </w:p>
    <w:p>
      <w:pPr>
        <w:pStyle w:val="ListBullet"/>
        <w:spacing w:after="60"/>
      </w:pPr>
      <w:r>
        <w:t>The service and industry architecture is comprehensive and well suited to a multidisciplinary firm.[5]</w:t>
      </w:r>
    </w:p>
    <w:p>
      <w:pPr>
        <w:pStyle w:val="ListBullet"/>
        <w:spacing w:after="60"/>
      </w:pPr>
      <w:r>
        <w:t>Alliances, careers, governance, facts, recognition, and research centers communicate institutional scale.</w:t>
      </w:r>
    </w:p>
    <w:p>
      <w:pPr>
        <w:pStyle w:val="ListBullet"/>
        <w:spacing w:after="60"/>
      </w:pPr>
      <w:r>
        <w:t>The familiar black, white, and green-dot system is consistent and restrained.</w:t>
      </w:r>
    </w:p>
    <w:p>
      <w:pPr>
        <w:pStyle w:val="Heading3"/>
      </w:pPr>
      <w:r>
        <w:t>Where it loses ground</w:t>
      </w:r>
    </w:p>
    <w:p>
      <w:pPr>
        <w:pStyle w:val="ListBullet"/>
        <w:spacing w:after="60"/>
      </w:pPr>
      <w:r>
        <w:t>The menu exposes a very large number of services and subservices. This demonstrates breadth but places a classification burden on visitors.</w:t>
      </w:r>
    </w:p>
    <w:p>
      <w:pPr>
        <w:pStyle w:val="ListBullet"/>
        <w:spacing w:after="60"/>
      </w:pPr>
      <w:r>
        <w:t>The campaign hero can feel more like sponsorship or corporate communications than a direct explanation of why a buyer should choose Deloitte.</w:t>
      </w:r>
    </w:p>
    <w:p>
      <w:pPr>
        <w:pStyle w:val="ListBullet"/>
        <w:spacing w:after="60"/>
      </w:pPr>
      <w:r>
        <w:t>Generic language around connection and progress is less ownable than Bain's results orientation or BCG's strategic clarity plus applied AI.</w:t>
      </w:r>
    </w:p>
    <w:p>
      <w:pPr>
        <w:pStyle w:val="ListBullet"/>
        <w:spacing w:after="60"/>
      </w:pPr>
      <w:r>
        <w:t>The site's JavaScript dependence can weaken graceful degradation and increases the importance of disciplined performance engineering.</w:t>
      </w:r>
    </w:p>
    <w:p>
      <w:pPr>
        <w:pStyle w:val="Heading3"/>
      </w:pPr>
      <w:r>
        <w:t>Core lesson</w:t>
      </w:r>
    </w:p>
    <w:p>
      <w:r>
        <w:t>Deloitte shows how a complex firm can use stories as the organizing layer above an enormous capability map. Its strongest material is concrete; its weakest is generic corporate language.</w:t>
      </w:r>
    </w:p>
    <w:p>
      <w:r>
        <w:br w:type="page"/>
      </w:r>
    </w:p>
    <w:p>
      <w:pPr>
        <w:pStyle w:val="Heading2"/>
      </w:pPr>
      <w:r>
        <w:t>EY</w:t>
      </w:r>
    </w:p>
    <w:p>
      <w:r>
        <w:t>A deep institutional portal with extensive proof, strong category recognition, and a clear visual code, but a heavier browsing experience.</w:t>
      </w:r>
    </w:p>
    <w:p>
      <w:pPr>
        <w:pStyle w:val="Heading3"/>
      </w:pPr>
      <w:r>
        <w:t>What works</w:t>
      </w:r>
    </w:p>
    <w:p>
      <w:pPr>
        <w:pStyle w:val="ListBullet"/>
        <w:spacing w:after="60"/>
      </w:pPr>
      <w:r>
        <w:t>EY yellow against black creates high recognition and clear hierarchy when used with restraint.</w:t>
      </w:r>
    </w:p>
    <w:p>
      <w:pPr>
        <w:pStyle w:val="ListBullet"/>
        <w:spacing w:after="60"/>
      </w:pPr>
      <w:r>
        <w:t>The site covers services, industries, case studies, insights, C-suite agendas, news, careers, locations, and legal information in a complete institutional system.[7]</w:t>
      </w:r>
    </w:p>
    <w:p>
      <w:pPr>
        <w:pStyle w:val="ListBullet"/>
        <w:spacing w:after="60"/>
      </w:pPr>
      <w:r>
        <w:t>Named case studies across Xcel Energy, Bristol Myers Squibb, Microsoft, Medtronic, and others make the breadth tangible.[7]</w:t>
      </w:r>
    </w:p>
    <w:p>
      <w:pPr>
        <w:pStyle w:val="ListBullet"/>
        <w:spacing w:after="60"/>
      </w:pPr>
      <w:r>
        <w:t>The purpose statement and capital-markets role reinforce trust appropriate to an assurance-led network.[7]</w:t>
      </w:r>
    </w:p>
    <w:p>
      <w:pPr>
        <w:pStyle w:val="ListBullet"/>
        <w:spacing w:after="60"/>
      </w:pPr>
      <w:r>
        <w:t>The homepage distinguishes current insights, cases, press releases, and executive agendas rather than treating all content as interchangeable cards.[7]</w:t>
      </w:r>
    </w:p>
    <w:p>
      <w:pPr>
        <w:pStyle w:val="Heading3"/>
      </w:pPr>
      <w:r>
        <w:t>Where it loses ground</w:t>
      </w:r>
    </w:p>
    <w:p>
      <w:pPr>
        <w:pStyle w:val="ListBullet"/>
        <w:spacing w:after="60"/>
      </w:pPr>
      <w:r>
        <w:t>The interface exposes repeated 'read more/read less' and carousel controls, suggesting a dense component system that can feel mechanical.</w:t>
      </w:r>
    </w:p>
    <w:p>
      <w:pPr>
        <w:pStyle w:val="ListBullet"/>
        <w:spacing w:after="60"/>
      </w:pPr>
      <w:r>
        <w:t>The homepage carries many organizational objectives at once, reducing the strength of the opening commercial narrative.</w:t>
      </w:r>
    </w:p>
    <w:p>
      <w:pPr>
        <w:pStyle w:val="ListBullet"/>
        <w:spacing w:after="60"/>
      </w:pPr>
      <w:r>
        <w:t>The content depth makes consistency, accessibility labels, and governance difficult to maintain.</w:t>
      </w:r>
    </w:p>
    <w:p>
      <w:pPr>
        <w:pStyle w:val="ListBullet"/>
        <w:spacing w:after="60"/>
      </w:pPr>
      <w:r>
        <w:t>The broad promise to shape the future with confidence is polished but not highly differentiating inside the consulting category.</w:t>
      </w:r>
    </w:p>
    <w:p>
      <w:pPr>
        <w:pStyle w:val="Heading3"/>
      </w:pPr>
      <w:r>
        <w:t>Core lesson</w:t>
      </w:r>
    </w:p>
    <w:p>
      <w:r>
        <w:t>EY's strongest asset is not its hero. It is the accumulated proof system beneath it. The site communicates scale through the range and specificity of work, even when the overall experience is busy.</w:t>
      </w:r>
    </w:p>
    <w:p>
      <w:pPr>
        <w:pStyle w:val="Heading2"/>
      </w:pPr>
      <w:r>
        <w:t>PwC</w:t>
      </w:r>
    </w:p>
    <w:p>
      <w:r>
        <w:t>A restrained and contemporary enterprise homepage with clear content prioritization, though it does less than the leaders to create a singular emotional or intellectual world.</w:t>
      </w:r>
    </w:p>
    <w:p>
      <w:pPr>
        <w:pStyle w:val="Heading3"/>
      </w:pPr>
      <w:r>
        <w:t>What works</w:t>
      </w:r>
    </w:p>
    <w:p>
      <w:pPr>
        <w:pStyle w:val="ListBullet"/>
        <w:spacing w:after="60"/>
      </w:pPr>
      <w:r>
        <w:t>The central question, 'What happens when your business works as one?', is simple and broad enough to connect multiple capabilities.[6]</w:t>
      </w:r>
    </w:p>
    <w:p>
      <w:pPr>
        <w:pStyle w:val="ListBullet"/>
        <w:spacing w:after="60"/>
      </w:pPr>
      <w:r>
        <w:t>The homepage is relatively concise, with current research labeled by format and estimated reading time.[6]</w:t>
      </w:r>
    </w:p>
    <w:p>
      <w:pPr>
        <w:pStyle w:val="ListBullet"/>
        <w:spacing w:after="60"/>
      </w:pPr>
      <w:r>
        <w:t>The warm PwC palette and geometric mark provide recognizable brand assets without overwhelming the content.</w:t>
      </w:r>
    </w:p>
    <w:p>
      <w:pPr>
        <w:pStyle w:val="ListBullet"/>
        <w:spacing w:after="60"/>
      </w:pPr>
      <w:r>
        <w:t>Current topics include intelligent enterprise, AI workforce planning, deals, trust and safety, and AI spending, showing deliberate editorial relevance.[6]</w:t>
      </w:r>
    </w:p>
    <w:p>
      <w:pPr>
        <w:pStyle w:val="ListBullet"/>
        <w:spacing w:after="60"/>
      </w:pPr>
      <w:r>
        <w:t>The language generally connects technology to operating outcomes rather than celebrating technology on its own.</w:t>
      </w:r>
    </w:p>
    <w:p>
      <w:pPr>
        <w:pStyle w:val="Heading3"/>
      </w:pPr>
      <w:r>
        <w:t>Where it loses ground</w:t>
      </w:r>
    </w:p>
    <w:p>
      <w:pPr>
        <w:pStyle w:val="ListBullet"/>
        <w:spacing w:after="60"/>
      </w:pPr>
      <w:r>
        <w:t>The proposition is coherent but broad enough that several competitors could plausibly use it.</w:t>
      </w:r>
    </w:p>
    <w:p>
      <w:pPr>
        <w:pStyle w:val="ListBullet"/>
        <w:spacing w:after="60"/>
      </w:pPr>
      <w:r>
        <w:t>The very large link and navigation inventory creates underlying complexity that is not obvious from the concise homepage.</w:t>
      </w:r>
    </w:p>
    <w:p>
      <w:pPr>
        <w:pStyle w:val="ListBullet"/>
        <w:spacing w:after="60"/>
      </w:pPr>
      <w:r>
        <w:t>The homepage provides less immediate quantified proof than Bain and fewer recognizable client narratives than Accenture or EY.</w:t>
      </w:r>
    </w:p>
    <w:p>
      <w:pPr>
        <w:pStyle w:val="ListBullet"/>
        <w:spacing w:after="60"/>
      </w:pPr>
      <w:r>
        <w:t>Video-led hero execution increases the need for strong poster images, captions, reduced-motion behavior, and performance controls.</w:t>
      </w:r>
    </w:p>
    <w:p>
      <w:pPr>
        <w:pStyle w:val="Heading3"/>
      </w:pPr>
      <w:r>
        <w:t>Core lesson</w:t>
      </w:r>
    </w:p>
    <w:p>
      <w:r>
        <w:t>PwC demonstrates the value of editorial restraint. Its strongest choice is not trying to summarize the entire firm on the homepage. Its opportunity is to make the central proposition more unmistakably PwC.</w:t>
      </w:r>
    </w:p>
    <w:p>
      <w:r>
        <w:br w:type="page"/>
      </w:r>
    </w:p>
    <w:p>
      <w:pPr>
        <w:pStyle w:val="Heading2"/>
      </w:pPr>
      <w:r>
        <w:t>KPMG</w:t>
      </w:r>
    </w:p>
    <w:p>
      <w:r>
        <w:t>A competent, recognizable Big Four site with clear sections and solid client material, but one that often feels conventionally corporate rather than category-leading.</w:t>
      </w:r>
    </w:p>
    <w:p>
      <w:pPr>
        <w:pStyle w:val="Heading3"/>
      </w:pPr>
      <w:r>
        <w:t>What works</w:t>
      </w:r>
    </w:p>
    <w:p>
      <w:pPr>
        <w:pStyle w:val="ListBullet"/>
        <w:spacing w:after="60"/>
      </w:pPr>
      <w:r>
        <w:t>A clean two-level header separates institutional links from primary navigation.</w:t>
      </w:r>
    </w:p>
    <w:p>
      <w:pPr>
        <w:pStyle w:val="ListBullet"/>
        <w:spacing w:after="60"/>
      </w:pPr>
      <w:r>
        <w:t>The hero and featured-insights panel connect the campaign message to current research.[4]</w:t>
      </w:r>
    </w:p>
    <w:p>
      <w:pPr>
        <w:pStyle w:val="ListBullet"/>
        <w:spacing w:after="60"/>
      </w:pPr>
      <w:r>
        <w:t>The 'Opportunity is (In)sight' section moves from brand language into client stories across AI, M&amp;A, sports, and community data.[4]</w:t>
      </w:r>
    </w:p>
    <w:p>
      <w:pPr>
        <w:pStyle w:val="ListBullet"/>
        <w:spacing w:after="60"/>
      </w:pPr>
      <w:r>
        <w:t>KPMG blue is used consistently across imagery, buttons, and interface accents.</w:t>
      </w:r>
    </w:p>
    <w:p>
      <w:pPr>
        <w:pStyle w:val="ListBullet"/>
        <w:spacing w:after="60"/>
      </w:pPr>
      <w:r>
        <w:t>Newsletter capture and a prominent contact route create both medium- and high-intent conversions.[4]</w:t>
      </w:r>
    </w:p>
    <w:p>
      <w:pPr>
        <w:pStyle w:val="Heading3"/>
      </w:pPr>
      <w:r>
        <w:t>Where it loses ground</w:t>
      </w:r>
    </w:p>
    <w:p>
      <w:pPr>
        <w:pStyle w:val="ListBullet"/>
        <w:spacing w:after="60"/>
      </w:pPr>
      <w:r>
        <w:t>The first-visit cookie modal blocks almost the entire core experience and asks users to process a long policy explanation before seeing the page.</w:t>
      </w:r>
    </w:p>
    <w:p>
      <w:pPr>
        <w:pStyle w:val="ListBullet"/>
        <w:spacing w:after="60"/>
      </w:pPr>
      <w:r>
        <w:t>'Adaptability at scale' and 'Make the difference' are polished but generic, requiring supporting content to do most of the differentiating work.[4]</w:t>
      </w:r>
    </w:p>
    <w:p>
      <w:pPr>
        <w:pStyle w:val="ListBullet"/>
        <w:spacing w:after="60"/>
      </w:pPr>
      <w:r>
        <w:t>The opening visual treatment resembles enterprise technology marketing and is less editorially distinctive than Bain or BCG.</w:t>
      </w:r>
    </w:p>
    <w:p>
      <w:pPr>
        <w:pStyle w:val="ListBullet"/>
        <w:spacing w:after="60"/>
      </w:pPr>
      <w:r>
        <w:t>A detected absence of an obvious skip link in the inspected rendered structure is an accessibility concern that should be verified manually.</w:t>
      </w:r>
    </w:p>
    <w:p>
      <w:pPr>
        <w:pStyle w:val="ListBullet"/>
        <w:spacing w:after="60"/>
      </w:pPr>
      <w:r>
        <w:t>The page uses a high number of links, buttons, images, and navigation landmarks, increasing maintenance and focus-order risk.</w:t>
      </w:r>
    </w:p>
    <w:p>
      <w:pPr>
        <w:pStyle w:val="Heading3"/>
      </w:pPr>
      <w:r>
        <w:t>Core lesson</w:t>
      </w:r>
    </w:p>
    <w:p>
      <w:r>
        <w:t>KPMG is a useful example of the difference between professional and elite. Nothing feels amateur, but fewer elements feel uniquely ownable, and the consent experience weakens the first impression.</w:t>
      </w:r>
    </w:p>
    <w:p>
      <w:pPr>
        <w:pStyle w:val="Heading2"/>
      </w:pPr>
      <w:r>
        <w:t>Baker Tilly</w:t>
      </w:r>
    </w:p>
    <w:p>
      <w:r>
        <w:t>A visually mature consulting page with excellent typography and spacing, but insufficient commercial specificity and proof for a service page expected to generate demand.</w:t>
      </w:r>
    </w:p>
    <w:p>
      <w:pPr>
        <w:pStyle w:val="Heading3"/>
      </w:pPr>
      <w:r>
        <w:t>What works</w:t>
      </w:r>
    </w:p>
    <w:p>
      <w:pPr>
        <w:pStyle w:val="ListBullet"/>
        <w:spacing w:after="60"/>
      </w:pPr>
      <w:r>
        <w:t>The dark navy field, large serif headings, and generous spacing create a calm and premium first impression.</w:t>
      </w:r>
    </w:p>
    <w:p>
      <w:pPr>
        <w:pStyle w:val="ListBullet"/>
        <w:spacing w:after="60"/>
      </w:pPr>
      <w:r>
        <w:t>Typography supplies much of the brand character without relying on unnecessary graphics.</w:t>
      </w:r>
    </w:p>
    <w:p>
      <w:pPr>
        <w:pStyle w:val="ListBullet"/>
        <w:spacing w:after="60"/>
      </w:pPr>
      <w:r>
        <w:t>The page clearly frames consulting around protecting and enhancing value.[8]</w:t>
      </w:r>
    </w:p>
    <w:p>
      <w:pPr>
        <w:pStyle w:val="ListBullet"/>
        <w:spacing w:after="60"/>
      </w:pPr>
      <w:r>
        <w:t>The service catalog includes relevant digital capabilities such as AI, cloud, analytics, strategy, enterprise systems, and intelligent automation.[8]</w:t>
      </w:r>
    </w:p>
    <w:p>
      <w:pPr>
        <w:pStyle w:val="Heading3"/>
      </w:pPr>
      <w:r>
        <w:t>Where it loses ground</w:t>
      </w:r>
    </w:p>
    <w:p>
      <w:pPr>
        <w:pStyle w:val="ListBullet"/>
        <w:spacing w:after="60"/>
      </w:pPr>
      <w:r>
        <w:t>The hero lacks an obvious next action above the fold, leaving a motivated visitor without a clear continuation.</w:t>
      </w:r>
    </w:p>
    <w:p>
      <w:pPr>
        <w:pStyle w:val="ListBullet"/>
        <w:spacing w:after="60"/>
      </w:pPr>
      <w:r>
        <w:t>'Address challenges and uncover opportunities' is generic category language and does not identify a buyer, problem, method, or outcome.[8]</w:t>
      </w:r>
    </w:p>
    <w:p>
      <w:pPr>
        <w:pStyle w:val="ListBullet"/>
        <w:spacing w:after="60"/>
      </w:pPr>
      <w:r>
        <w:t>Related insights appear before the core consulting explanation in the accessible content order, which can dilute commercial focus.[8]</w:t>
      </w:r>
    </w:p>
    <w:p>
      <w:pPr>
        <w:pStyle w:val="ListBullet"/>
        <w:spacing w:after="60"/>
      </w:pPr>
      <w:r>
        <w:t>Proof is thin and inconsistently connected to the service promise. One case example is not enough to establish breadth or measurable impact.</w:t>
      </w:r>
    </w:p>
    <w:p>
      <w:pPr>
        <w:pStyle w:val="ListBullet"/>
        <w:spacing w:after="60"/>
      </w:pPr>
      <w:r>
        <w:t>A hamburger-only desktop navigation hides the firm's scope and increases interaction cost.</w:t>
      </w:r>
    </w:p>
    <w:p>
      <w:pPr>
        <w:pStyle w:val="ListBullet"/>
        <w:spacing w:after="60"/>
      </w:pPr>
      <w:r>
        <w:t>The inspected structure did not reveal an obvious skip link, which should be checked through keyboard testing.</w:t>
      </w:r>
    </w:p>
    <w:p>
      <w:pPr>
        <w:pStyle w:val="Heading3"/>
      </w:pPr>
      <w:r>
        <w:t>Core lesson</w:t>
      </w:r>
    </w:p>
    <w:p>
      <w:r>
        <w:t>Beautiful typography can make a page feel expensive, but it cannot replace differentiation, outcome evidence, and a strong CTA. Baker Tilly is polished presentation with a weaker sales argument.</w:t>
      </w:r>
    </w:p>
    <w:p>
      <w:r>
        <w:br w:type="page"/>
      </w:r>
    </w:p>
    <w:p>
      <w:pPr>
        <w:pStyle w:val="Heading2"/>
      </w:pPr>
      <w:r>
        <w:t>EchoFrame</w:t>
      </w:r>
    </w:p>
    <w:p>
      <w:r>
        <w:t>The strongest small-firm homepage narrative in the set on specificity and conversion clarity, but not yet an elite authority system because the proof, expert, and publishing layers remain shallow.</w:t>
      </w:r>
    </w:p>
    <w:p>
      <w:pPr>
        <w:pStyle w:val="Heading3"/>
      </w:pPr>
      <w:r>
        <w:t>What works</w:t>
      </w:r>
    </w:p>
    <w:p>
      <w:pPr>
        <w:pStyle w:val="ListBullet"/>
        <w:spacing w:after="60"/>
      </w:pPr>
      <w:r>
        <w:t>A concrete hero result - five hours of daily reconciliation reduced to zero - immediately communicates operational value.[9]</w:t>
      </w:r>
    </w:p>
    <w:p>
      <w:pPr>
        <w:pStyle w:val="ListBullet"/>
        <w:spacing w:after="60"/>
      </w:pPr>
      <w:r>
        <w:t>The black-and-white architectural image, serif display type, navy accent, and restrained header create a serious professional-services tone.</w:t>
      </w:r>
    </w:p>
    <w:p>
      <w:pPr>
        <w:pStyle w:val="ListBullet"/>
        <w:spacing w:after="60"/>
      </w:pPr>
      <w:r>
        <w:t>The point of view on architectural restraint gives the firm a worldview beyond 'we build AI automations.'[9]</w:t>
      </w:r>
    </w:p>
    <w:p>
      <w:pPr>
        <w:pStyle w:val="ListBullet"/>
        <w:spacing w:after="60"/>
      </w:pPr>
      <w:r>
        <w:t>The industry selector, OWNED Method, delivery model, service detail, pricing explanation, and repeated quote CTA create a coherent conversion journey.[9]</w:t>
      </w:r>
    </w:p>
    <w:p>
      <w:pPr>
        <w:pStyle w:val="ListBullet"/>
        <w:spacing w:after="60"/>
      </w:pPr>
      <w:r>
        <w:t>The site is unusually transparent about price, travel fees, food stipend, legal status, and the boundary of its claims.[9]</w:t>
      </w:r>
    </w:p>
    <w:p>
      <w:pPr>
        <w:pStyle w:val="ListBullet"/>
        <w:spacing w:after="60"/>
      </w:pPr>
      <w:r>
        <w:t>The homepage includes one clear H1, a main landmark, a skip link, sensible metadata, and relatively few images and links compared with the enterprise sites.</w:t>
      </w:r>
    </w:p>
    <w:p>
      <w:pPr>
        <w:pStyle w:val="Heading3"/>
      </w:pPr>
      <w:r>
        <w:t>Where it loses ground</w:t>
      </w:r>
    </w:p>
    <w:p>
      <w:pPr>
        <w:pStyle w:val="ListBullet"/>
        <w:spacing w:after="60"/>
      </w:pPr>
      <w:r>
        <w:t>The central proof story appears to be a single case and does not yet show an independent client name, quotation, implementation artifact, before-and-after evidence, or verifiable result methodology.</w:t>
      </w:r>
    </w:p>
    <w:p>
      <w:pPr>
        <w:pStyle w:val="ListBullet"/>
        <w:spacing w:after="60"/>
      </w:pPr>
      <w:r>
        <w:t>The thought-leadership system is minimal. An Insights link exists, but the homepage cannot yet demonstrate an ongoing research or publishing cadence comparable to the leaders.</w:t>
      </w:r>
    </w:p>
    <w:p>
      <w:pPr>
        <w:pStyle w:val="ListBullet"/>
        <w:spacing w:after="60"/>
      </w:pPr>
      <w:r>
        <w:t>The hero copy is strong but long. On smaller screens, the headline and supporting paragraph may dominate the first viewport.</w:t>
      </w:r>
    </w:p>
    <w:p>
      <w:pPr>
        <w:pStyle w:val="ListBullet"/>
        <w:spacing w:after="60"/>
      </w:pPr>
      <w:r>
        <w:t>The homepage shifts from premium editorial language to highly conversational pricing copy. The candor is valuable, but phrases about 'a receipt for the food' slightly reduce the institutional tone.</w:t>
      </w:r>
    </w:p>
    <w:p>
      <w:pPr>
        <w:pStyle w:val="ListBullet"/>
        <w:spacing w:after="60"/>
      </w:pPr>
      <w:r>
        <w:t>The public Open Graph image was observed resolving to a localhost URL, which is a concrete sharing-preview defect and should be fixed.[9]</w:t>
      </w:r>
    </w:p>
    <w:p>
      <w:pPr>
        <w:pStyle w:val="ListBullet"/>
        <w:spacing w:after="60"/>
      </w:pPr>
      <w:r>
        <w:t>The site says it serves the Northeast while listing a Georgia address. That can be strategically valid, but the geography should be explained so it does not create hesitation.</w:t>
      </w:r>
    </w:p>
    <w:p>
      <w:pPr>
        <w:pStyle w:val="ListBullet"/>
        <w:spacing w:after="60"/>
      </w:pPr>
      <w:r>
        <w:t>Security, method, and process claims are extensive relative to the amount of external validation currently visible.</w:t>
      </w:r>
    </w:p>
    <w:p>
      <w:pPr>
        <w:pStyle w:val="Heading3"/>
      </w:pPr>
      <w:r>
        <w:t>Core lesson</w:t>
      </w:r>
    </w:p>
    <w:p>
      <w:r>
        <w:t>EchoFrame already borrows the right structural idea from elite firms: lead with a sharp point of view and measurable work, not a generic service inventory. Its next level is not more visual polish. It is a deeper, independently credible authority system.</w:t>
      </w:r>
    </w:p>
    <w:p>
      <w:r>
        <w:br w:type="page"/>
      </w:r>
    </w:p>
    <w:p>
      <w:pPr>
        <w:pStyle w:val="Heading1"/>
      </w:pPr>
      <w:r>
        <w:t>Comparative Findings by Discipline</w:t>
      </w:r>
    </w:p>
    <w:p>
      <w:pPr>
        <w:pStyle w:val="Heading2"/>
      </w:pPr>
      <w:r>
        <w:t>Brand positioning</w:t>
      </w:r>
    </w:p>
    <w:tbl>
      <w:tblPr>
        <w:tblW w:type="auto" w:w="0"/>
        <w:jc w:val="center"/>
        <w:tblLayout w:type="fixed"/>
        <w:tblLook w:firstColumn="1" w:firstRow="1" w:lastColumn="0" w:lastRow="0" w:noHBand="0" w:noVBand="1" w:val="04A0"/>
        <w:tblBorders>
          <w:top w:val="single" w:sz="5" w:color="D9DDE2"/>
          <w:left w:val="single" w:sz="5" w:color="D9DDE2"/>
          <w:bottom w:val="single" w:sz="5" w:color="D9DDE2"/>
          <w:right w:val="single" w:sz="5" w:color="D9DDE2"/>
          <w:insideH w:val="single" w:sz="5" w:color="D9DDE2"/>
          <w:insideV w:val="single" w:sz="5" w:color="D9DDE2"/>
        </w:tblBorders>
      </w:tblPr>
      <w:tblGrid>
        <w:gridCol w:w="3331"/>
        <w:gridCol w:w="3331"/>
        <w:gridCol w:w="3331"/>
      </w:tblGrid>
      <w:tr>
        <w:trPr>
          <w:tblHeader w:val="true"/>
          <w:cantSplit/>
        </w:trPr>
        <w:tc>
          <w:tcPr>
            <w:tcW w:type="dxa" w:w="3331"/>
            <w:shd w:fill="0B1F33"/>
            <w:tcMar>
              <w:top w:w="90" w:type="dxa"/>
              <w:start w:w="110" w:type="dxa"/>
              <w:bottom w:w="90" w:type="dxa"/>
              <w:end w:w="110" w:type="dxa"/>
            </w:tcMar>
            <w:vAlign w:val="center"/>
          </w:tcPr>
          <w:p>
            <w:pPr>
              <w:spacing w:after="0"/>
              <w:jc w:val="center"/>
            </w:pPr>
            <w:r>
              <w:rPr>
                <w:b/>
                <w:color w:val="FFFFFF"/>
                <w:sz w:val="16"/>
              </w:rPr>
              <w:t>Tier</w:t>
            </w:r>
          </w:p>
        </w:tc>
        <w:tc>
          <w:tcPr>
            <w:tcW w:type="dxa" w:w="3331"/>
            <w:shd w:fill="0B1F33"/>
            <w:tcMar>
              <w:top w:w="90" w:type="dxa"/>
              <w:start w:w="110" w:type="dxa"/>
              <w:bottom w:w="90" w:type="dxa"/>
              <w:end w:w="110" w:type="dxa"/>
            </w:tcMar>
            <w:vAlign w:val="center"/>
          </w:tcPr>
          <w:p>
            <w:pPr>
              <w:spacing w:after="0"/>
              <w:jc w:val="center"/>
            </w:pPr>
            <w:r>
              <w:rPr>
                <w:b/>
                <w:color w:val="FFFFFF"/>
                <w:sz w:val="16"/>
              </w:rPr>
              <w:t>Sites</w:t>
            </w:r>
          </w:p>
        </w:tc>
        <w:tc>
          <w:tcPr>
            <w:tcW w:type="dxa" w:w="3331"/>
            <w:shd w:fill="0B1F33"/>
            <w:tcMar>
              <w:top w:w="90" w:type="dxa"/>
              <w:start w:w="110" w:type="dxa"/>
              <w:bottom w:w="90" w:type="dxa"/>
              <w:end w:w="110" w:type="dxa"/>
            </w:tcMar>
            <w:vAlign w:val="center"/>
          </w:tcPr>
          <w:p>
            <w:pPr>
              <w:spacing w:after="0"/>
              <w:jc w:val="center"/>
            </w:pPr>
            <w:r>
              <w:rPr>
                <w:b/>
                <w:color w:val="FFFFFF"/>
                <w:sz w:val="16"/>
              </w:rPr>
              <w:t>Assessment</w:t>
            </w:r>
          </w:p>
        </w:tc>
      </w:tr>
      <w:tr>
        <w:trPr>
          <w:cantSplit/>
        </w:trPr>
        <w:tc>
          <w:tcPr>
            <w:tcW w:type="dxa" w:w="1872"/>
            <w:tcMar>
              <w:top w:w="90" w:type="dxa"/>
              <w:start w:w="110" w:type="dxa"/>
              <w:bottom w:w="90" w:type="dxa"/>
              <w:end w:w="110" w:type="dxa"/>
            </w:tcMar>
            <w:vAlign w:val="center"/>
          </w:tcPr>
          <w:p>
            <w:pPr>
              <w:spacing w:after="0" w:line="240" w:lineRule="auto"/>
            </w:pPr>
            <w:r>
              <w:rPr>
                <w:color w:val="20252B"/>
                <w:sz w:val="16"/>
              </w:rPr>
              <w:t>Category defining</w:t>
            </w:r>
          </w:p>
        </w:tc>
        <w:tc>
          <w:tcPr>
            <w:tcW w:type="dxa" w:w="2232"/>
            <w:tcMar>
              <w:top w:w="90" w:type="dxa"/>
              <w:start w:w="110" w:type="dxa"/>
              <w:bottom w:w="90" w:type="dxa"/>
              <w:end w:w="110" w:type="dxa"/>
            </w:tcMar>
            <w:vAlign w:val="center"/>
          </w:tcPr>
          <w:p>
            <w:pPr>
              <w:spacing w:after="0" w:line="240" w:lineRule="auto"/>
            </w:pPr>
            <w:r>
              <w:rPr>
                <w:color w:val="20252B"/>
                <w:sz w:val="16"/>
              </w:rPr>
              <w:t>Bain, BCG, Accenture</w:t>
            </w:r>
          </w:p>
        </w:tc>
        <w:tc>
          <w:tcPr>
            <w:tcW w:type="dxa" w:w="5544"/>
            <w:tcMar>
              <w:top w:w="90" w:type="dxa"/>
              <w:start w:w="110" w:type="dxa"/>
              <w:bottom w:w="90" w:type="dxa"/>
              <w:end w:w="110" w:type="dxa"/>
            </w:tcMar>
            <w:vAlign w:val="center"/>
          </w:tcPr>
          <w:p>
            <w:pPr>
              <w:spacing w:after="0" w:line="240" w:lineRule="auto"/>
            </w:pPr>
            <w:r>
              <w:rPr>
                <w:color w:val="20252B"/>
                <w:sz w:val="16"/>
              </w:rPr>
              <w:t>Each owns a distinct voice and visual world. Their propositions connect to a broader system of proof and ideas.</w:t>
            </w:r>
          </w:p>
        </w:tc>
      </w:tr>
      <w:tr>
        <w:trPr>
          <w:cantSplit/>
        </w:trPr>
        <w:tc>
          <w:tcPr>
            <w:tcW w:type="dxa" w:w="1872"/>
            <w:tcMar>
              <w:top w:w="90" w:type="dxa"/>
              <w:start w:w="110" w:type="dxa"/>
              <w:bottom w:w="90" w:type="dxa"/>
              <w:end w:w="110" w:type="dxa"/>
            </w:tcMar>
            <w:vAlign w:val="center"/>
            <w:shd w:fill="F4F6F8"/>
          </w:tcPr>
          <w:p>
            <w:pPr>
              <w:spacing w:after="0" w:line="240" w:lineRule="auto"/>
            </w:pPr>
            <w:r>
              <w:rPr>
                <w:color w:val="20252B"/>
                <w:sz w:val="16"/>
              </w:rPr>
              <w:t>Institutionally strong</w:t>
            </w:r>
          </w:p>
        </w:tc>
        <w:tc>
          <w:tcPr>
            <w:tcW w:type="dxa" w:w="2232"/>
            <w:tcMar>
              <w:top w:w="90" w:type="dxa"/>
              <w:start w:w="110" w:type="dxa"/>
              <w:bottom w:w="90" w:type="dxa"/>
              <w:end w:w="110" w:type="dxa"/>
            </w:tcMar>
            <w:vAlign w:val="center"/>
            <w:shd w:fill="F4F6F8"/>
          </w:tcPr>
          <w:p>
            <w:pPr>
              <w:spacing w:after="0" w:line="240" w:lineRule="auto"/>
              <w:jc w:val="center"/>
            </w:pPr>
            <w:r>
              <w:rPr>
                <w:color w:val="20252B"/>
                <w:sz w:val="16"/>
              </w:rPr>
              <w:t>Deloitte, EY, PwC</w:t>
            </w:r>
          </w:p>
        </w:tc>
        <w:tc>
          <w:tcPr>
            <w:tcW w:type="dxa" w:w="5544"/>
            <w:tcMar>
              <w:top w:w="90" w:type="dxa"/>
              <w:start w:w="110" w:type="dxa"/>
              <w:bottom w:w="90" w:type="dxa"/>
              <w:end w:w="110" w:type="dxa"/>
            </w:tcMar>
            <w:vAlign w:val="center"/>
            <w:shd w:fill="F4F6F8"/>
          </w:tcPr>
          <w:p>
            <w:pPr>
              <w:spacing w:after="0" w:line="240" w:lineRule="auto"/>
            </w:pPr>
            <w:r>
              <w:rPr>
                <w:color w:val="20252B"/>
                <w:sz w:val="16"/>
              </w:rPr>
              <w:t>Highly credible and recognizable, but the homepage language is less exclusive to the brand.</w:t>
            </w:r>
          </w:p>
        </w:tc>
      </w:tr>
      <w:tr>
        <w:trPr>
          <w:cantSplit/>
        </w:trPr>
        <w:tc>
          <w:tcPr>
            <w:tcW w:type="dxa" w:w="1872"/>
            <w:tcMar>
              <w:top w:w="90" w:type="dxa"/>
              <w:start w:w="110" w:type="dxa"/>
              <w:bottom w:w="90" w:type="dxa"/>
              <w:end w:w="110" w:type="dxa"/>
            </w:tcMar>
            <w:vAlign w:val="center"/>
          </w:tcPr>
          <w:p>
            <w:pPr>
              <w:spacing w:after="0" w:line="240" w:lineRule="auto"/>
            </w:pPr>
            <w:r>
              <w:rPr>
                <w:color w:val="20252B"/>
                <w:sz w:val="16"/>
              </w:rPr>
              <w:t>Professionally competent</w:t>
            </w:r>
          </w:p>
        </w:tc>
        <w:tc>
          <w:tcPr>
            <w:tcW w:type="dxa" w:w="2232"/>
            <w:tcMar>
              <w:top w:w="90" w:type="dxa"/>
              <w:start w:w="110" w:type="dxa"/>
              <w:bottom w:w="90" w:type="dxa"/>
              <w:end w:w="110" w:type="dxa"/>
            </w:tcMar>
            <w:vAlign w:val="center"/>
          </w:tcPr>
          <w:p>
            <w:pPr>
              <w:spacing w:after="0" w:line="240" w:lineRule="auto"/>
              <w:jc w:val="center"/>
            </w:pPr>
            <w:r>
              <w:rPr>
                <w:color w:val="20252B"/>
                <w:sz w:val="16"/>
              </w:rPr>
              <w:t>KPMG, Baker Tilly</w:t>
            </w:r>
          </w:p>
        </w:tc>
        <w:tc>
          <w:tcPr>
            <w:tcW w:type="dxa" w:w="5544"/>
            <w:tcMar>
              <w:top w:w="90" w:type="dxa"/>
              <w:start w:w="110" w:type="dxa"/>
              <w:bottom w:w="90" w:type="dxa"/>
              <w:end w:w="110" w:type="dxa"/>
            </w:tcMar>
            <w:vAlign w:val="center"/>
          </w:tcPr>
          <w:p>
            <w:pPr>
              <w:spacing w:after="0" w:line="240" w:lineRule="auto"/>
            </w:pPr>
            <w:r>
              <w:rPr>
                <w:color w:val="20252B"/>
                <w:sz w:val="16"/>
              </w:rPr>
              <w:t>Coherent visual systems, yet the leading phrases and page logic are easier for competitors to imitate.</w:t>
            </w:r>
          </w:p>
        </w:tc>
      </w:tr>
      <w:tr>
        <w:trPr>
          <w:cantSplit/>
        </w:trPr>
        <w:tc>
          <w:tcPr>
            <w:tcW w:type="dxa" w:w="1872"/>
            <w:tcMar>
              <w:top w:w="90" w:type="dxa"/>
              <w:start w:w="110" w:type="dxa"/>
              <w:bottom w:w="90" w:type="dxa"/>
              <w:end w:w="110" w:type="dxa"/>
            </w:tcMar>
            <w:vAlign w:val="center"/>
            <w:shd w:fill="F4F6F8"/>
          </w:tcPr>
          <w:p>
            <w:pPr>
              <w:spacing w:after="0" w:line="240" w:lineRule="auto"/>
            </w:pPr>
            <w:r>
              <w:rPr>
                <w:color w:val="20252B"/>
                <w:sz w:val="16"/>
              </w:rPr>
              <w:t>Focused challenger</w:t>
            </w:r>
          </w:p>
        </w:tc>
        <w:tc>
          <w:tcPr>
            <w:tcW w:type="dxa" w:w="2232"/>
            <w:tcMar>
              <w:top w:w="90" w:type="dxa"/>
              <w:start w:w="110" w:type="dxa"/>
              <w:bottom w:w="90" w:type="dxa"/>
              <w:end w:w="110" w:type="dxa"/>
            </w:tcMar>
            <w:vAlign w:val="center"/>
            <w:shd w:fill="F4F6F8"/>
          </w:tcPr>
          <w:p>
            <w:pPr>
              <w:spacing w:after="0" w:line="240" w:lineRule="auto"/>
              <w:jc w:val="center"/>
            </w:pPr>
            <w:r>
              <w:rPr>
                <w:color w:val="20252B"/>
                <w:sz w:val="16"/>
              </w:rPr>
              <w:t>EchoFrame</w:t>
            </w:r>
          </w:p>
        </w:tc>
        <w:tc>
          <w:tcPr>
            <w:tcW w:type="dxa" w:w="5544"/>
            <w:tcMar>
              <w:top w:w="90" w:type="dxa"/>
              <w:start w:w="110" w:type="dxa"/>
              <w:bottom w:w="90" w:type="dxa"/>
              <w:end w:w="110" w:type="dxa"/>
            </w:tcMar>
            <w:vAlign w:val="center"/>
            <w:shd w:fill="F4F6F8"/>
          </w:tcPr>
          <w:p>
            <w:pPr>
              <w:spacing w:after="0" w:line="240" w:lineRule="auto"/>
            </w:pPr>
            <w:r>
              <w:rPr>
                <w:color w:val="20252B"/>
                <w:sz w:val="16"/>
              </w:rPr>
              <w:t>Specific, differentiated, and coherent for a startup. Authority is constrained by the current depth of external evidence.</w:t>
            </w:r>
          </w:p>
        </w:tc>
      </w:tr>
    </w:tbl>
    <w:p>
      <w:pPr>
        <w:spacing w:after="20"/>
      </w:pPr>
    </w:p>
    <w:p>
      <w:r>
        <w:t>The elite threshold is ownability. A strong statement is not merely true; it becomes increasingly difficult to separate from the firm that uses it. Accenture's reinvention platform and BCG's strategic-clarity-plus-applied-AI position meet that test. Generic claims about transformation, opportunity, and value do not.</w:t>
      </w:r>
    </w:p>
    <w:p>
      <w:pPr>
        <w:pStyle w:val="Heading2"/>
      </w:pPr>
      <w:r>
        <w:t>Typography and layout</w:t>
      </w:r>
    </w:p>
    <w:p>
      <w:r>
        <w:t>The category has moved away from small corporate typography and dense module grids. BCG, Bain, Baker Tilly, and EchoFrame use serif display faces to signal editorial judgment and human authorship. Accenture uses oversized sans-serif type as the visual event itself. Body text generally remains in a neutral sans serif for speed and legibility.</w:t>
      </w:r>
    </w:p>
    <w:p>
      <w:pPr>
        <w:pStyle w:val="ListBullet"/>
        <w:spacing w:after="60"/>
      </w:pPr>
      <w:r>
        <w:t>Large headings work when the copy is short. Oversized generic language only magnifies the lack of specificity.</w:t>
      </w:r>
    </w:p>
    <w:p>
      <w:pPr>
        <w:pStyle w:val="ListBullet"/>
        <w:spacing w:after="60"/>
      </w:pPr>
      <w:r>
        <w:t>Whitespace signals confidence when it creates hierarchy. It feels wasteful when a page omits proof or a useful next action.</w:t>
      </w:r>
    </w:p>
    <w:p>
      <w:pPr>
        <w:pStyle w:val="ListBullet"/>
        <w:spacing w:after="60"/>
      </w:pPr>
      <w:r>
        <w:t>Two-column compositions remain effective for pairing a proposition with featured content, proof, or navigation choices.</w:t>
      </w:r>
    </w:p>
    <w:p>
      <w:pPr>
        <w:pStyle w:val="ListBullet"/>
        <w:spacing w:after="60"/>
      </w:pPr>
      <w:r>
        <w:t>Controlled asymmetry helps consulting sites avoid the templated SaaS look, but the reading order must remain obvious.</w:t>
      </w:r>
    </w:p>
    <w:p>
      <w:pPr>
        <w:pStyle w:val="Heading2"/>
      </w:pPr>
      <w:r>
        <w:t>Imagery and motion</w:t>
      </w:r>
    </w:p>
    <w:p>
      <w:r>
        <w:t>The leaders use imagery as a brand surface, not as filler. BCG's image crops and color handling feel like a magazine. Accenture integrates video and abstract technology imagery into a dark stage. EchoFrame's architecture image supports its ideas of structure, control, and systems. KPMG's blue light trails look polished but could belong to many enterprise technology brands.</w:t>
      </w:r>
    </w:p>
    <w:p>
      <w:r>
        <w:t>Motion is valuable when it reveals hierarchy, demonstrates a productized idea, or makes a brand code memorable. It is harmful when it delays comprehension, causes layout shift, ignores reduced-motion preferences, or competes with reading. Video heroes should have compressed assets, stable poster frames, captions where speech matters, and no dependence on autoplay for meaning.</w:t>
      </w:r>
    </w:p>
    <w:p>
      <w:pPr>
        <w:pStyle w:val="Heading2"/>
      </w:pPr>
      <w:r>
        <w:t>Information architecture</w:t>
      </w:r>
    </w:p>
    <w:p>
      <w:r>
        <w:t>The firms are solving fundamentally different architecture problems. Bain, Deloitte, EY, KPMG, PwC, and BCG must represent dozens of practices across many countries. EchoFrame must make a small number of services feel credible and easy to buy. Copying an enterprise mega-menu would therefore be a category error for a startup.</w:t>
      </w:r>
    </w:p>
    <w:tbl>
      <w:tblPr>
        <w:tblW w:type="auto" w:w="0"/>
        <w:jc w:val="center"/>
        <w:tblLayout w:type="fixed"/>
        <w:tblLook w:firstColumn="1" w:firstRow="1" w:lastColumn="0" w:lastRow="0" w:noHBand="0" w:noVBand="1" w:val="04A0"/>
        <w:tblBorders>
          <w:top w:val="single" w:sz="5" w:color="D9DDE2"/>
          <w:left w:val="single" w:sz="5" w:color="D9DDE2"/>
          <w:bottom w:val="single" w:sz="5" w:color="D9DDE2"/>
          <w:right w:val="single" w:sz="5" w:color="D9DDE2"/>
          <w:insideH w:val="single" w:sz="5" w:color="D9DDE2"/>
          <w:insideV w:val="single" w:sz="5" w:color="D9DDE2"/>
        </w:tblBorders>
      </w:tblPr>
      <w:tblGrid>
        <w:gridCol w:w="2498"/>
        <w:gridCol w:w="2498"/>
        <w:gridCol w:w="2498"/>
        <w:gridCol w:w="2498"/>
      </w:tblGrid>
      <w:tr>
        <w:trPr>
          <w:tblHeader w:val="true"/>
          <w:cantSplit/>
        </w:trPr>
        <w:tc>
          <w:tcPr>
            <w:tcW w:type="dxa" w:w="2498"/>
            <w:shd w:fill="0B1F33"/>
            <w:tcMar>
              <w:top w:w="90" w:type="dxa"/>
              <w:start w:w="110" w:type="dxa"/>
              <w:bottom w:w="90" w:type="dxa"/>
              <w:end w:w="110" w:type="dxa"/>
            </w:tcMar>
            <w:vAlign w:val="center"/>
          </w:tcPr>
          <w:p>
            <w:pPr>
              <w:spacing w:after="0"/>
              <w:jc w:val="center"/>
            </w:pPr>
            <w:r>
              <w:rPr>
                <w:b/>
                <w:color w:val="FFFFFF"/>
                <w:sz w:val="15"/>
              </w:rPr>
              <w:t>Pattern</w:t>
            </w:r>
          </w:p>
        </w:tc>
        <w:tc>
          <w:tcPr>
            <w:tcW w:type="dxa" w:w="2498"/>
            <w:shd w:fill="0B1F33"/>
            <w:tcMar>
              <w:top w:w="90" w:type="dxa"/>
              <w:start w:w="110" w:type="dxa"/>
              <w:bottom w:w="90" w:type="dxa"/>
              <w:end w:w="110" w:type="dxa"/>
            </w:tcMar>
            <w:vAlign w:val="center"/>
          </w:tcPr>
          <w:p>
            <w:pPr>
              <w:spacing w:after="0"/>
              <w:jc w:val="center"/>
            </w:pPr>
            <w:r>
              <w:rPr>
                <w:b/>
                <w:color w:val="FFFFFF"/>
                <w:sz w:val="15"/>
              </w:rPr>
              <w:t>Best use</w:t>
            </w:r>
          </w:p>
        </w:tc>
        <w:tc>
          <w:tcPr>
            <w:tcW w:type="dxa" w:w="2498"/>
            <w:shd w:fill="0B1F33"/>
            <w:tcMar>
              <w:top w:w="90" w:type="dxa"/>
              <w:start w:w="110" w:type="dxa"/>
              <w:bottom w:w="90" w:type="dxa"/>
              <w:end w:w="110" w:type="dxa"/>
            </w:tcMar>
            <w:vAlign w:val="center"/>
          </w:tcPr>
          <w:p>
            <w:pPr>
              <w:spacing w:after="0"/>
              <w:jc w:val="center"/>
            </w:pPr>
            <w:r>
              <w:rPr>
                <w:b/>
                <w:color w:val="FFFFFF"/>
                <w:sz w:val="15"/>
              </w:rPr>
              <w:t>Strong example</w:t>
            </w:r>
          </w:p>
        </w:tc>
        <w:tc>
          <w:tcPr>
            <w:tcW w:type="dxa" w:w="2498"/>
            <w:shd w:fill="0B1F33"/>
            <w:tcMar>
              <w:top w:w="90" w:type="dxa"/>
              <w:start w:w="110" w:type="dxa"/>
              <w:bottom w:w="90" w:type="dxa"/>
              <w:end w:w="110" w:type="dxa"/>
            </w:tcMar>
            <w:vAlign w:val="center"/>
          </w:tcPr>
          <w:p>
            <w:pPr>
              <w:spacing w:after="0"/>
              <w:jc w:val="center"/>
            </w:pPr>
            <w:r>
              <w:rPr>
                <w:b/>
                <w:color w:val="FFFFFF"/>
                <w:sz w:val="15"/>
              </w:rPr>
              <w:t>Risk</w:t>
            </w:r>
          </w:p>
        </w:tc>
      </w:tr>
      <w:tr>
        <w:trPr>
          <w:cantSplit/>
        </w:trPr>
        <w:tc>
          <w:tcPr>
            <w:tcW w:type="dxa" w:w="1944"/>
            <w:tcMar>
              <w:top w:w="90" w:type="dxa"/>
              <w:start w:w="110" w:type="dxa"/>
              <w:bottom w:w="90" w:type="dxa"/>
              <w:end w:w="110" w:type="dxa"/>
            </w:tcMar>
            <w:vAlign w:val="center"/>
          </w:tcPr>
          <w:p>
            <w:pPr>
              <w:spacing w:after="0" w:line="240" w:lineRule="auto"/>
            </w:pPr>
            <w:r>
              <w:rPr>
                <w:color w:val="20252B"/>
                <w:sz w:val="15"/>
              </w:rPr>
              <w:t>Mega-menu by industry and capability</w:t>
            </w:r>
          </w:p>
        </w:tc>
        <w:tc>
          <w:tcPr>
            <w:tcW w:type="dxa" w:w="2448"/>
            <w:tcMar>
              <w:top w:w="90" w:type="dxa"/>
              <w:start w:w="110" w:type="dxa"/>
              <w:bottom w:w="90" w:type="dxa"/>
              <w:end w:w="110" w:type="dxa"/>
            </w:tcMar>
            <w:vAlign w:val="center"/>
          </w:tcPr>
          <w:p>
            <w:pPr>
              <w:spacing w:after="0" w:line="240" w:lineRule="auto"/>
            </w:pPr>
            <w:r>
              <w:rPr>
                <w:color w:val="20252B"/>
                <w:sz w:val="15"/>
              </w:rPr>
              <w:t>Large multidisciplinary firms</w:t>
            </w:r>
          </w:p>
        </w:tc>
        <w:tc>
          <w:tcPr>
            <w:tcW w:type="dxa" w:w="1944"/>
            <w:tcMar>
              <w:top w:w="90" w:type="dxa"/>
              <w:start w:w="110" w:type="dxa"/>
              <w:bottom w:w="90" w:type="dxa"/>
              <w:end w:w="110" w:type="dxa"/>
            </w:tcMar>
            <w:vAlign w:val="center"/>
          </w:tcPr>
          <w:p>
            <w:pPr>
              <w:spacing w:after="0" w:line="240" w:lineRule="auto"/>
              <w:jc w:val="center"/>
            </w:pPr>
            <w:r>
              <w:rPr>
                <w:color w:val="20252B"/>
                <w:sz w:val="15"/>
              </w:rPr>
              <w:t>Bain and Deloitte</w:t>
            </w:r>
          </w:p>
        </w:tc>
        <w:tc>
          <w:tcPr>
            <w:tcW w:type="dxa" w:w="3312"/>
            <w:tcMar>
              <w:top w:w="90" w:type="dxa"/>
              <w:start w:w="110" w:type="dxa"/>
              <w:bottom w:w="90" w:type="dxa"/>
              <w:end w:w="110" w:type="dxa"/>
            </w:tcMar>
            <w:vAlign w:val="center"/>
          </w:tcPr>
          <w:p>
            <w:pPr>
              <w:spacing w:after="0" w:line="240" w:lineRule="auto"/>
            </w:pPr>
            <w:r>
              <w:rPr>
                <w:color w:val="20252B"/>
                <w:sz w:val="15"/>
              </w:rPr>
              <w:t>Overlap, jargon, long scan paths, mobile complexity</w:t>
            </w:r>
          </w:p>
        </w:tc>
      </w:tr>
      <w:tr>
        <w:trPr>
          <w:cantSplit/>
        </w:trPr>
        <w:tc>
          <w:tcPr>
            <w:tcW w:type="dxa" w:w="1944"/>
            <w:tcMar>
              <w:top w:w="90" w:type="dxa"/>
              <w:start w:w="110" w:type="dxa"/>
              <w:bottom w:w="90" w:type="dxa"/>
              <w:end w:w="110" w:type="dxa"/>
            </w:tcMar>
            <w:vAlign w:val="center"/>
            <w:shd w:fill="F4F6F8"/>
          </w:tcPr>
          <w:p>
            <w:pPr>
              <w:spacing w:after="0" w:line="240" w:lineRule="auto"/>
            </w:pPr>
            <w:r>
              <w:rPr>
                <w:color w:val="20252B"/>
                <w:sz w:val="15"/>
              </w:rPr>
              <w:t>Minimal top-level nouns</w:t>
            </w:r>
          </w:p>
        </w:tc>
        <w:tc>
          <w:tcPr>
            <w:tcW w:type="dxa" w:w="2448"/>
            <w:tcMar>
              <w:top w:w="90" w:type="dxa"/>
              <w:start w:w="110" w:type="dxa"/>
              <w:bottom w:w="90" w:type="dxa"/>
              <w:end w:w="110" w:type="dxa"/>
            </w:tcMar>
            <w:vAlign w:val="center"/>
            <w:shd w:fill="F4F6F8"/>
          </w:tcPr>
          <w:p>
            <w:pPr>
              <w:spacing w:after="0" w:line="240" w:lineRule="auto"/>
            </w:pPr>
            <w:r>
              <w:rPr>
                <w:color w:val="20252B"/>
                <w:sz w:val="15"/>
              </w:rPr>
              <w:t>Huge brand with strong search and nested navigation</w:t>
            </w:r>
          </w:p>
        </w:tc>
        <w:tc>
          <w:tcPr>
            <w:tcW w:type="dxa" w:w="1944"/>
            <w:tcMar>
              <w:top w:w="90" w:type="dxa"/>
              <w:start w:w="110" w:type="dxa"/>
              <w:bottom w:w="90" w:type="dxa"/>
              <w:end w:w="110" w:type="dxa"/>
            </w:tcMar>
            <w:vAlign w:val="center"/>
            <w:shd w:fill="F4F6F8"/>
          </w:tcPr>
          <w:p>
            <w:pPr>
              <w:spacing w:after="0" w:line="240" w:lineRule="auto"/>
              <w:jc w:val="center"/>
            </w:pPr>
            <w:r>
              <w:rPr>
                <w:color w:val="20252B"/>
                <w:sz w:val="15"/>
              </w:rPr>
              <w:t>Accenture</w:t>
            </w:r>
          </w:p>
        </w:tc>
        <w:tc>
          <w:tcPr>
            <w:tcW w:type="dxa" w:w="3312"/>
            <w:tcMar>
              <w:top w:w="90" w:type="dxa"/>
              <w:start w:w="110" w:type="dxa"/>
              <w:bottom w:w="90" w:type="dxa"/>
              <w:end w:w="110" w:type="dxa"/>
            </w:tcMar>
            <w:vAlign w:val="center"/>
            <w:shd w:fill="F4F6F8"/>
          </w:tcPr>
          <w:p>
            <w:pPr>
              <w:spacing w:after="0" w:line="240" w:lineRule="auto"/>
            </w:pPr>
            <w:r>
              <w:rPr>
                <w:color w:val="20252B"/>
                <w:sz w:val="15"/>
              </w:rPr>
              <w:t>Important detail remains hidden until interaction</w:t>
            </w:r>
          </w:p>
        </w:tc>
      </w:tr>
      <w:tr>
        <w:trPr>
          <w:cantSplit/>
        </w:trPr>
        <w:tc>
          <w:tcPr>
            <w:tcW w:type="dxa" w:w="1944"/>
            <w:tcMar>
              <w:top w:w="90" w:type="dxa"/>
              <w:start w:w="110" w:type="dxa"/>
              <w:bottom w:w="90" w:type="dxa"/>
              <w:end w:w="110" w:type="dxa"/>
            </w:tcMar>
            <w:vAlign w:val="center"/>
          </w:tcPr>
          <w:p>
            <w:pPr>
              <w:spacing w:after="0" w:line="240" w:lineRule="auto"/>
            </w:pPr>
            <w:r>
              <w:rPr>
                <w:color w:val="20252B"/>
                <w:sz w:val="15"/>
              </w:rPr>
              <w:t>Guided selector</w:t>
            </w:r>
          </w:p>
        </w:tc>
        <w:tc>
          <w:tcPr>
            <w:tcW w:type="dxa" w:w="2448"/>
            <w:tcMar>
              <w:top w:w="90" w:type="dxa"/>
              <w:start w:w="110" w:type="dxa"/>
              <w:bottom w:w="90" w:type="dxa"/>
              <w:end w:w="110" w:type="dxa"/>
            </w:tcMar>
            <w:vAlign w:val="center"/>
          </w:tcPr>
          <w:p>
            <w:pPr>
              <w:spacing w:after="0" w:line="240" w:lineRule="auto"/>
            </w:pPr>
            <w:r>
              <w:rPr>
                <w:color w:val="20252B"/>
                <w:sz w:val="15"/>
              </w:rPr>
              <w:t>Visitors know their context but not the service label</w:t>
            </w:r>
          </w:p>
        </w:tc>
        <w:tc>
          <w:tcPr>
            <w:tcW w:type="dxa" w:w="1944"/>
            <w:tcMar>
              <w:top w:w="90" w:type="dxa"/>
              <w:start w:w="110" w:type="dxa"/>
              <w:bottom w:w="90" w:type="dxa"/>
              <w:end w:w="110" w:type="dxa"/>
            </w:tcMar>
            <w:vAlign w:val="center"/>
          </w:tcPr>
          <w:p>
            <w:pPr>
              <w:spacing w:after="0" w:line="240" w:lineRule="auto"/>
            </w:pPr>
            <w:r>
              <w:rPr>
                <w:color w:val="20252B"/>
                <w:sz w:val="15"/>
              </w:rPr>
              <w:t>Bain and EchoFrame</w:t>
            </w:r>
          </w:p>
        </w:tc>
        <w:tc>
          <w:tcPr>
            <w:tcW w:type="dxa" w:w="3312"/>
            <w:tcMar>
              <w:top w:w="90" w:type="dxa"/>
              <w:start w:w="110" w:type="dxa"/>
              <w:bottom w:w="90" w:type="dxa"/>
              <w:end w:w="110" w:type="dxa"/>
            </w:tcMar>
            <w:vAlign w:val="center"/>
          </w:tcPr>
          <w:p>
            <w:pPr>
              <w:spacing w:after="0" w:line="240" w:lineRule="auto"/>
            </w:pPr>
            <w:r>
              <w:rPr>
                <w:color w:val="20252B"/>
                <w:sz w:val="15"/>
              </w:rPr>
              <w:t>Poor results if taxonomy or recommendations are thin</w:t>
            </w:r>
          </w:p>
        </w:tc>
      </w:tr>
      <w:tr>
        <w:trPr>
          <w:cantSplit/>
        </w:trPr>
        <w:tc>
          <w:tcPr>
            <w:tcW w:type="dxa" w:w="1944"/>
            <w:tcMar>
              <w:top w:w="90" w:type="dxa"/>
              <w:start w:w="110" w:type="dxa"/>
              <w:bottom w:w="90" w:type="dxa"/>
              <w:end w:w="110" w:type="dxa"/>
            </w:tcMar>
            <w:vAlign w:val="center"/>
            <w:shd w:fill="F4F6F8"/>
          </w:tcPr>
          <w:p>
            <w:pPr>
              <w:spacing w:after="0" w:line="240" w:lineRule="auto"/>
            </w:pPr>
            <w:r>
              <w:rPr>
                <w:color w:val="20252B"/>
                <w:sz w:val="15"/>
              </w:rPr>
              <w:t>Hamburger-first desktop</w:t>
            </w:r>
          </w:p>
        </w:tc>
        <w:tc>
          <w:tcPr>
            <w:tcW w:type="dxa" w:w="2448"/>
            <w:tcMar>
              <w:top w:w="90" w:type="dxa"/>
              <w:start w:w="110" w:type="dxa"/>
              <w:bottom w:w="90" w:type="dxa"/>
              <w:end w:w="110" w:type="dxa"/>
            </w:tcMar>
            <w:vAlign w:val="center"/>
            <w:shd w:fill="F4F6F8"/>
          </w:tcPr>
          <w:p>
            <w:pPr>
              <w:spacing w:after="0" w:line="240" w:lineRule="auto"/>
            </w:pPr>
            <w:r>
              <w:rPr>
                <w:color w:val="20252B"/>
                <w:sz w:val="15"/>
              </w:rPr>
              <w:t>Editorial or design-led experience</w:t>
            </w:r>
          </w:p>
        </w:tc>
        <w:tc>
          <w:tcPr>
            <w:tcW w:type="dxa" w:w="1944"/>
            <w:tcMar>
              <w:top w:w="90" w:type="dxa"/>
              <w:start w:w="110" w:type="dxa"/>
              <w:bottom w:w="90" w:type="dxa"/>
              <w:end w:w="110" w:type="dxa"/>
            </w:tcMar>
            <w:vAlign w:val="center"/>
            <w:shd w:fill="F4F6F8"/>
          </w:tcPr>
          <w:p>
            <w:pPr>
              <w:spacing w:after="0" w:line="240" w:lineRule="auto"/>
            </w:pPr>
            <w:r>
              <w:rPr>
                <w:color w:val="20252B"/>
                <w:sz w:val="15"/>
              </w:rPr>
              <w:t>Baker Tilly and BCG</w:t>
            </w:r>
          </w:p>
        </w:tc>
        <w:tc>
          <w:tcPr>
            <w:tcW w:type="dxa" w:w="3312"/>
            <w:tcMar>
              <w:top w:w="90" w:type="dxa"/>
              <w:start w:w="110" w:type="dxa"/>
              <w:bottom w:w="90" w:type="dxa"/>
              <w:end w:w="110" w:type="dxa"/>
            </w:tcMar>
            <w:vAlign w:val="center"/>
            <w:shd w:fill="F4F6F8"/>
          </w:tcPr>
          <w:p>
            <w:pPr>
              <w:spacing w:after="0" w:line="240" w:lineRule="auto"/>
            </w:pPr>
            <w:r>
              <w:rPr>
                <w:color w:val="20252B"/>
                <w:sz w:val="15"/>
              </w:rPr>
              <w:t>Reduced discoverability and additional click cost</w:t>
            </w:r>
          </w:p>
        </w:tc>
      </w:tr>
      <w:tr>
        <w:trPr>
          <w:cantSplit/>
        </w:trPr>
        <w:tc>
          <w:tcPr>
            <w:tcW w:type="dxa" w:w="1944"/>
            <w:tcMar>
              <w:top w:w="90" w:type="dxa"/>
              <w:start w:w="110" w:type="dxa"/>
              <w:bottom w:w="90" w:type="dxa"/>
              <w:end w:w="110" w:type="dxa"/>
            </w:tcMar>
            <w:vAlign w:val="center"/>
          </w:tcPr>
          <w:p>
            <w:pPr>
              <w:spacing w:after="0" w:line="240" w:lineRule="auto"/>
            </w:pPr>
            <w:r>
              <w:rPr>
                <w:color w:val="20252B"/>
                <w:sz w:val="15"/>
              </w:rPr>
              <w:t>Search-led discovery</w:t>
            </w:r>
          </w:p>
        </w:tc>
        <w:tc>
          <w:tcPr>
            <w:tcW w:type="dxa" w:w="2448"/>
            <w:tcMar>
              <w:top w:w="90" w:type="dxa"/>
              <w:start w:w="110" w:type="dxa"/>
              <w:bottom w:w="90" w:type="dxa"/>
              <w:end w:w="110" w:type="dxa"/>
            </w:tcMar>
            <w:vAlign w:val="center"/>
          </w:tcPr>
          <w:p>
            <w:pPr>
              <w:spacing w:after="0" w:line="240" w:lineRule="auto"/>
            </w:pPr>
            <w:r>
              <w:rPr>
                <w:color w:val="20252B"/>
                <w:sz w:val="15"/>
              </w:rPr>
              <w:t>Large insight and expert library</w:t>
            </w:r>
          </w:p>
        </w:tc>
        <w:tc>
          <w:tcPr>
            <w:tcW w:type="dxa" w:w="1944"/>
            <w:tcMar>
              <w:top w:w="90" w:type="dxa"/>
              <w:start w:w="110" w:type="dxa"/>
              <w:bottom w:w="90" w:type="dxa"/>
              <w:end w:w="110" w:type="dxa"/>
            </w:tcMar>
            <w:vAlign w:val="center"/>
          </w:tcPr>
          <w:p>
            <w:pPr>
              <w:spacing w:after="0" w:line="240" w:lineRule="auto"/>
            </w:pPr>
            <w:r>
              <w:rPr>
                <w:color w:val="20252B"/>
                <w:sz w:val="15"/>
              </w:rPr>
              <w:t>Bain, BCG, Big Four</w:t>
            </w:r>
          </w:p>
        </w:tc>
        <w:tc>
          <w:tcPr>
            <w:tcW w:type="dxa" w:w="3312"/>
            <w:tcMar>
              <w:top w:w="90" w:type="dxa"/>
              <w:start w:w="110" w:type="dxa"/>
              <w:bottom w:w="90" w:type="dxa"/>
              <w:end w:w="110" w:type="dxa"/>
            </w:tcMar>
            <w:vAlign w:val="center"/>
          </w:tcPr>
          <w:p>
            <w:pPr>
              <w:spacing w:after="0" w:line="240" w:lineRule="auto"/>
            </w:pPr>
            <w:r>
              <w:rPr>
                <w:color w:val="20252B"/>
                <w:sz w:val="15"/>
              </w:rPr>
              <w:t>Weak if search ranking and metadata are inconsistent</w:t>
            </w:r>
          </w:p>
        </w:tc>
      </w:tr>
    </w:tbl>
    <w:p>
      <w:pPr>
        <w:spacing w:after="20"/>
      </w:pPr>
    </w:p>
    <w:p>
      <w:pPr>
        <w:pStyle w:val="Heading2"/>
      </w:pPr>
      <w:r>
        <w:t>Copy and messaging</w:t>
      </w:r>
    </w:p>
    <w:p>
      <w:r>
        <w:t>Elite copy is concrete, compressed, and structurally useful. It identifies a decision, tension, operating condition, or result. Bain's client-impact units and Deloitte's underwriting example are strong because the language can be evaluated. By contrast, category phrases such as 'navigate complexity' or 'unlock potential' require no evidence and create little memory.</w:t>
      </w:r>
    </w:p>
    <w:tbl>
      <w:tblPr>
        <w:tblW w:type="auto" w:w="0"/>
        <w:jc w:val="center"/>
        <w:tblLayout w:type="fixed"/>
        <w:tblLook w:firstColumn="1" w:firstRow="1" w:lastColumn="0" w:lastRow="0" w:noHBand="0" w:noVBand="1" w:val="04A0"/>
        <w:tblBorders>
          <w:top w:val="single" w:sz="5" w:color="D9DDE2"/>
          <w:left w:val="single" w:sz="5" w:color="D9DDE2"/>
          <w:bottom w:val="single" w:sz="5" w:color="D9DDE2"/>
          <w:right w:val="single" w:sz="5" w:color="D9DDE2"/>
          <w:insideH w:val="single" w:sz="5" w:color="D9DDE2"/>
          <w:insideV w:val="single" w:sz="5" w:color="D9DDE2"/>
        </w:tblBorders>
      </w:tblPr>
      <w:tblGrid>
        <w:gridCol w:w="3331"/>
        <w:gridCol w:w="3331"/>
        <w:gridCol w:w="3331"/>
      </w:tblGrid>
      <w:tr>
        <w:trPr>
          <w:tblHeader w:val="true"/>
          <w:cantSplit/>
        </w:trPr>
        <w:tc>
          <w:tcPr>
            <w:tcW w:type="dxa" w:w="3331"/>
            <w:shd w:fill="0B1F33"/>
            <w:tcMar>
              <w:top w:w="90" w:type="dxa"/>
              <w:start w:w="110" w:type="dxa"/>
              <w:bottom w:w="90" w:type="dxa"/>
              <w:end w:w="110" w:type="dxa"/>
            </w:tcMar>
            <w:vAlign w:val="center"/>
          </w:tcPr>
          <w:p>
            <w:pPr>
              <w:spacing w:after="0"/>
              <w:jc w:val="center"/>
            </w:pPr>
            <w:r>
              <w:rPr>
                <w:b/>
                <w:color w:val="FFFFFF"/>
                <w:sz w:val="16"/>
              </w:rPr>
              <w:t>Copy behavior</w:t>
            </w:r>
          </w:p>
        </w:tc>
        <w:tc>
          <w:tcPr>
            <w:tcW w:type="dxa" w:w="3331"/>
            <w:shd w:fill="0B1F33"/>
            <w:tcMar>
              <w:top w:w="90" w:type="dxa"/>
              <w:start w:w="110" w:type="dxa"/>
              <w:bottom w:w="90" w:type="dxa"/>
              <w:end w:w="110" w:type="dxa"/>
            </w:tcMar>
            <w:vAlign w:val="center"/>
          </w:tcPr>
          <w:p>
            <w:pPr>
              <w:spacing w:after="0"/>
              <w:jc w:val="center"/>
            </w:pPr>
            <w:r>
              <w:rPr>
                <w:b/>
                <w:color w:val="FFFFFF"/>
                <w:sz w:val="16"/>
              </w:rPr>
              <w:t>Why it works</w:t>
            </w:r>
          </w:p>
        </w:tc>
        <w:tc>
          <w:tcPr>
            <w:tcW w:type="dxa" w:w="3331"/>
            <w:shd w:fill="0B1F33"/>
            <w:tcMar>
              <w:top w:w="90" w:type="dxa"/>
              <w:start w:w="110" w:type="dxa"/>
              <w:bottom w:w="90" w:type="dxa"/>
              <w:end w:w="110" w:type="dxa"/>
            </w:tcMar>
            <w:vAlign w:val="center"/>
          </w:tcPr>
          <w:p>
            <w:pPr>
              <w:spacing w:after="0"/>
              <w:jc w:val="center"/>
            </w:pPr>
            <w:r>
              <w:rPr>
                <w:b/>
                <w:color w:val="FFFFFF"/>
                <w:sz w:val="16"/>
              </w:rPr>
              <w:t>Failure mode</w:t>
            </w:r>
          </w:p>
        </w:tc>
      </w:tr>
      <w:tr>
        <w:trPr>
          <w:cantSplit/>
        </w:trPr>
        <w:tc>
          <w:tcPr>
            <w:tcW w:type="dxa" w:w="2016"/>
            <w:tcMar>
              <w:top w:w="90" w:type="dxa"/>
              <w:start w:w="110" w:type="dxa"/>
              <w:bottom w:w="90" w:type="dxa"/>
              <w:end w:w="110" w:type="dxa"/>
            </w:tcMar>
            <w:vAlign w:val="center"/>
          </w:tcPr>
          <w:p>
            <w:pPr>
              <w:spacing w:after="0" w:line="240" w:lineRule="auto"/>
            </w:pPr>
            <w:r>
              <w:rPr>
                <w:color w:val="20252B"/>
                <w:sz w:val="16"/>
              </w:rPr>
              <w:t>Outcome first</w:t>
            </w:r>
          </w:p>
        </w:tc>
        <w:tc>
          <w:tcPr>
            <w:tcW w:type="dxa" w:w="3888"/>
            <w:tcMar>
              <w:top w:w="90" w:type="dxa"/>
              <w:start w:w="110" w:type="dxa"/>
              <w:bottom w:w="90" w:type="dxa"/>
              <w:end w:w="110" w:type="dxa"/>
            </w:tcMar>
            <w:vAlign w:val="center"/>
          </w:tcPr>
          <w:p>
            <w:pPr>
              <w:spacing w:after="0" w:line="240" w:lineRule="auto"/>
            </w:pPr>
            <w:r>
              <w:rPr>
                <w:color w:val="20252B"/>
                <w:sz w:val="16"/>
              </w:rPr>
              <w:t>Lets buyers recognize economic or operating value immediately</w:t>
            </w:r>
          </w:p>
        </w:tc>
        <w:tc>
          <w:tcPr>
            <w:tcW w:type="dxa" w:w="3744"/>
            <w:tcMar>
              <w:top w:w="90" w:type="dxa"/>
              <w:start w:w="110" w:type="dxa"/>
              <w:bottom w:w="90" w:type="dxa"/>
              <w:end w:w="110" w:type="dxa"/>
            </w:tcMar>
            <w:vAlign w:val="center"/>
          </w:tcPr>
          <w:p>
            <w:pPr>
              <w:spacing w:after="0" w:line="240" w:lineRule="auto"/>
            </w:pPr>
            <w:r>
              <w:rPr>
                <w:color w:val="20252B"/>
                <w:sz w:val="16"/>
              </w:rPr>
              <w:t>An unsupported number can feel promotional or legally risky</w:t>
            </w:r>
          </w:p>
        </w:tc>
      </w:tr>
      <w:tr>
        <w:trPr>
          <w:cantSplit/>
        </w:trPr>
        <w:tc>
          <w:tcPr>
            <w:tcW w:type="dxa" w:w="2016"/>
            <w:tcMar>
              <w:top w:w="90" w:type="dxa"/>
              <w:start w:w="110" w:type="dxa"/>
              <w:bottom w:w="90" w:type="dxa"/>
              <w:end w:w="110" w:type="dxa"/>
            </w:tcMar>
            <w:vAlign w:val="center"/>
            <w:shd w:fill="F4F6F8"/>
          </w:tcPr>
          <w:p>
            <w:pPr>
              <w:spacing w:after="0" w:line="240" w:lineRule="auto"/>
            </w:pPr>
            <w:r>
              <w:rPr>
                <w:color w:val="20252B"/>
                <w:sz w:val="16"/>
              </w:rPr>
              <w:t>Named tension</w:t>
            </w:r>
          </w:p>
        </w:tc>
        <w:tc>
          <w:tcPr>
            <w:tcW w:type="dxa" w:w="3888"/>
            <w:tcMar>
              <w:top w:w="90" w:type="dxa"/>
              <w:start w:w="110" w:type="dxa"/>
              <w:bottom w:w="90" w:type="dxa"/>
              <w:end w:w="110" w:type="dxa"/>
            </w:tcMar>
            <w:vAlign w:val="center"/>
            <w:shd w:fill="F4F6F8"/>
          </w:tcPr>
          <w:p>
            <w:pPr>
              <w:spacing w:after="0" w:line="240" w:lineRule="auto"/>
            </w:pPr>
            <w:r>
              <w:rPr>
                <w:color w:val="20252B"/>
                <w:sz w:val="16"/>
              </w:rPr>
              <w:t>Shows judgment about what leaders are actually facing</w:t>
            </w:r>
          </w:p>
        </w:tc>
        <w:tc>
          <w:tcPr>
            <w:tcW w:type="dxa" w:w="3744"/>
            <w:tcMar>
              <w:top w:w="90" w:type="dxa"/>
              <w:start w:w="110" w:type="dxa"/>
              <w:bottom w:w="90" w:type="dxa"/>
              <w:end w:w="110" w:type="dxa"/>
            </w:tcMar>
            <w:vAlign w:val="center"/>
            <w:shd w:fill="F4F6F8"/>
          </w:tcPr>
          <w:p>
            <w:pPr>
              <w:spacing w:after="0" w:line="240" w:lineRule="auto"/>
            </w:pPr>
            <w:r>
              <w:rPr>
                <w:color w:val="20252B"/>
                <w:sz w:val="16"/>
              </w:rPr>
              <w:t>Trend-chasing if every campaign pivots to the newest topic</w:t>
            </w:r>
          </w:p>
        </w:tc>
      </w:tr>
      <w:tr>
        <w:trPr>
          <w:cantSplit/>
        </w:trPr>
        <w:tc>
          <w:tcPr>
            <w:tcW w:type="dxa" w:w="2016"/>
            <w:tcMar>
              <w:top w:w="90" w:type="dxa"/>
              <w:start w:w="110" w:type="dxa"/>
              <w:bottom w:w="90" w:type="dxa"/>
              <w:end w:w="110" w:type="dxa"/>
            </w:tcMar>
            <w:vAlign w:val="center"/>
          </w:tcPr>
          <w:p>
            <w:pPr>
              <w:spacing w:after="0" w:line="240" w:lineRule="auto"/>
            </w:pPr>
            <w:r>
              <w:rPr>
                <w:color w:val="20252B"/>
                <w:sz w:val="16"/>
              </w:rPr>
              <w:t>Short declarative headline</w:t>
            </w:r>
          </w:p>
        </w:tc>
        <w:tc>
          <w:tcPr>
            <w:tcW w:type="dxa" w:w="3888"/>
            <w:tcMar>
              <w:top w:w="90" w:type="dxa"/>
              <w:start w:w="110" w:type="dxa"/>
              <w:bottom w:w="90" w:type="dxa"/>
              <w:end w:w="110" w:type="dxa"/>
            </w:tcMar>
            <w:vAlign w:val="center"/>
          </w:tcPr>
          <w:p>
            <w:pPr>
              <w:spacing w:after="0" w:line="240" w:lineRule="auto"/>
            </w:pPr>
            <w:r>
              <w:rPr>
                <w:color w:val="20252B"/>
                <w:sz w:val="16"/>
              </w:rPr>
              <w:t>Creates confidence and supports large typography</w:t>
            </w:r>
          </w:p>
        </w:tc>
        <w:tc>
          <w:tcPr>
            <w:tcW w:type="dxa" w:w="3744"/>
            <w:tcMar>
              <w:top w:w="90" w:type="dxa"/>
              <w:start w:w="110" w:type="dxa"/>
              <w:bottom w:w="90" w:type="dxa"/>
              <w:end w:w="110" w:type="dxa"/>
            </w:tcMar>
            <w:vAlign w:val="center"/>
          </w:tcPr>
          <w:p>
            <w:pPr>
              <w:spacing w:after="0" w:line="240" w:lineRule="auto"/>
            </w:pPr>
            <w:r>
              <w:rPr>
                <w:color w:val="20252B"/>
                <w:sz w:val="16"/>
              </w:rPr>
              <w:t>Becomes empty when the line is generic</w:t>
            </w:r>
          </w:p>
        </w:tc>
      </w:tr>
      <w:tr>
        <w:trPr>
          <w:cantSplit/>
        </w:trPr>
        <w:tc>
          <w:tcPr>
            <w:tcW w:type="dxa" w:w="2016"/>
            <w:tcMar>
              <w:top w:w="90" w:type="dxa"/>
              <w:start w:w="110" w:type="dxa"/>
              <w:bottom w:w="90" w:type="dxa"/>
              <w:end w:w="110" w:type="dxa"/>
            </w:tcMar>
            <w:vAlign w:val="center"/>
            <w:shd w:fill="F4F6F8"/>
          </w:tcPr>
          <w:p>
            <w:pPr>
              <w:spacing w:after="0" w:line="240" w:lineRule="auto"/>
            </w:pPr>
            <w:r>
              <w:rPr>
                <w:color w:val="20252B"/>
                <w:sz w:val="16"/>
              </w:rPr>
              <w:t>Specific supporting deck</w:t>
            </w:r>
          </w:p>
        </w:tc>
        <w:tc>
          <w:tcPr>
            <w:tcW w:type="dxa" w:w="3888"/>
            <w:tcMar>
              <w:top w:w="90" w:type="dxa"/>
              <w:start w:w="110" w:type="dxa"/>
              <w:bottom w:w="90" w:type="dxa"/>
              <w:end w:w="110" w:type="dxa"/>
            </w:tcMar>
            <w:vAlign w:val="center"/>
            <w:shd w:fill="F4F6F8"/>
          </w:tcPr>
          <w:p>
            <w:pPr>
              <w:spacing w:after="0" w:line="240" w:lineRule="auto"/>
            </w:pPr>
            <w:r>
              <w:rPr>
                <w:color w:val="20252B"/>
                <w:sz w:val="16"/>
              </w:rPr>
              <w:t>Explains buyer, intervention, and value without bloating the headline</w:t>
            </w:r>
          </w:p>
        </w:tc>
        <w:tc>
          <w:tcPr>
            <w:tcW w:type="dxa" w:w="3744"/>
            <w:tcMar>
              <w:top w:w="90" w:type="dxa"/>
              <w:start w:w="110" w:type="dxa"/>
              <w:bottom w:w="90" w:type="dxa"/>
              <w:end w:w="110" w:type="dxa"/>
            </w:tcMar>
            <w:vAlign w:val="center"/>
            <w:shd w:fill="F4F6F8"/>
          </w:tcPr>
          <w:p>
            <w:pPr>
              <w:spacing w:after="0" w:line="240" w:lineRule="auto"/>
            </w:pPr>
            <w:r>
              <w:rPr>
                <w:color w:val="20252B"/>
                <w:sz w:val="16"/>
              </w:rPr>
              <w:t>Dense paragraph that pushes the CTA below the fold</w:t>
            </w:r>
          </w:p>
        </w:tc>
      </w:tr>
      <w:tr>
        <w:trPr>
          <w:cantSplit/>
        </w:trPr>
        <w:tc>
          <w:tcPr>
            <w:tcW w:type="dxa" w:w="2016"/>
            <w:tcMar>
              <w:top w:w="90" w:type="dxa"/>
              <w:start w:w="110" w:type="dxa"/>
              <w:bottom w:w="90" w:type="dxa"/>
              <w:end w:w="110" w:type="dxa"/>
            </w:tcMar>
            <w:vAlign w:val="center"/>
          </w:tcPr>
          <w:p>
            <w:pPr>
              <w:spacing w:after="0" w:line="240" w:lineRule="auto"/>
            </w:pPr>
            <w:r>
              <w:rPr>
                <w:color w:val="20252B"/>
                <w:sz w:val="16"/>
              </w:rPr>
              <w:t>Plain CTA language</w:t>
            </w:r>
          </w:p>
        </w:tc>
        <w:tc>
          <w:tcPr>
            <w:tcW w:type="dxa" w:w="3888"/>
            <w:tcMar>
              <w:top w:w="90" w:type="dxa"/>
              <w:start w:w="110" w:type="dxa"/>
              <w:bottom w:w="90" w:type="dxa"/>
              <w:end w:w="110" w:type="dxa"/>
            </w:tcMar>
            <w:vAlign w:val="center"/>
          </w:tcPr>
          <w:p>
            <w:pPr>
              <w:spacing w:after="0" w:line="240" w:lineRule="auto"/>
            </w:pPr>
            <w:r>
              <w:rPr>
                <w:color w:val="20252B"/>
                <w:sz w:val="16"/>
              </w:rPr>
              <w:t>Makes the next action predictable</w:t>
            </w:r>
          </w:p>
        </w:tc>
        <w:tc>
          <w:tcPr>
            <w:tcW w:type="dxa" w:w="3744"/>
            <w:tcMar>
              <w:top w:w="90" w:type="dxa"/>
              <w:start w:w="110" w:type="dxa"/>
              <w:bottom w:w="90" w:type="dxa"/>
              <w:end w:w="110" w:type="dxa"/>
            </w:tcMar>
            <w:vAlign w:val="center"/>
          </w:tcPr>
          <w:p>
            <w:pPr>
              <w:spacing w:after="0" w:line="240" w:lineRule="auto"/>
            </w:pPr>
            <w:r>
              <w:rPr>
                <w:color w:val="20252B"/>
                <w:sz w:val="16"/>
              </w:rPr>
              <w:t>Too many equivalent CTAs remove priority</w:t>
            </w:r>
          </w:p>
        </w:tc>
      </w:tr>
    </w:tbl>
    <w:p>
      <w:pPr>
        <w:spacing w:after="20"/>
      </w:pPr>
    </w:p>
    <w:p>
      <w:pPr>
        <w:pStyle w:val="Heading2"/>
      </w:pPr>
      <w:r>
        <w:t>Proof and trust</w:t>
      </w:r>
    </w:p>
    <w:p>
      <w:r>
        <w:t>Proof is the largest structural gap between an elite global firm and a polished startup. The global leaders can draw from named clients, executive quotations, benchmark data, proprietary research, large sample sizes, alliances, awards, recognizable experts, offices, and decades of institutional history. A smaller firm cannot imitate that volume honestly, but it can outperform on evidence quality and transparency.</w:t>
      </w:r>
    </w:p>
    <w:tbl>
      <w:tblPr>
        <w:tblW w:type="auto" w:w="0"/>
        <w:jc w:val="center"/>
        <w:tblLayout w:type="fixed"/>
        <w:tblLook w:firstColumn="1" w:firstRow="1" w:lastColumn="0" w:lastRow="0" w:noHBand="0" w:noVBand="1" w:val="04A0"/>
        <w:tblBorders>
          <w:top w:val="single" w:sz="5" w:color="D9DDE2"/>
          <w:left w:val="single" w:sz="5" w:color="D9DDE2"/>
          <w:bottom w:val="single" w:sz="5" w:color="D9DDE2"/>
          <w:right w:val="single" w:sz="5" w:color="D9DDE2"/>
          <w:insideH w:val="single" w:sz="5" w:color="D9DDE2"/>
          <w:insideV w:val="single" w:sz="5" w:color="D9DDE2"/>
        </w:tblBorders>
      </w:tblPr>
      <w:tblGrid>
        <w:gridCol w:w="2498"/>
        <w:gridCol w:w="2498"/>
        <w:gridCol w:w="2498"/>
        <w:gridCol w:w="2498"/>
      </w:tblGrid>
      <w:tr>
        <w:trPr>
          <w:tblHeader w:val="true"/>
          <w:cantSplit/>
        </w:trPr>
        <w:tc>
          <w:tcPr>
            <w:tcW w:type="dxa" w:w="2498"/>
            <w:shd w:fill="0B1F33"/>
            <w:tcMar>
              <w:top w:w="90" w:type="dxa"/>
              <w:start w:w="110" w:type="dxa"/>
              <w:bottom w:w="90" w:type="dxa"/>
              <w:end w:w="110" w:type="dxa"/>
            </w:tcMar>
            <w:vAlign w:val="center"/>
          </w:tcPr>
          <w:p>
            <w:pPr>
              <w:spacing w:after="0"/>
              <w:jc w:val="center"/>
            </w:pPr>
            <w:r>
              <w:rPr>
                <w:b/>
                <w:color w:val="FFFFFF"/>
                <w:sz w:val="15"/>
              </w:rPr>
              <w:t>Proof form</w:t>
            </w:r>
          </w:p>
        </w:tc>
        <w:tc>
          <w:tcPr>
            <w:tcW w:type="dxa" w:w="2498"/>
            <w:shd w:fill="0B1F33"/>
            <w:tcMar>
              <w:top w:w="90" w:type="dxa"/>
              <w:start w:w="110" w:type="dxa"/>
              <w:bottom w:w="90" w:type="dxa"/>
              <w:end w:w="110" w:type="dxa"/>
            </w:tcMar>
            <w:vAlign w:val="center"/>
          </w:tcPr>
          <w:p>
            <w:pPr>
              <w:spacing w:after="0"/>
              <w:jc w:val="center"/>
            </w:pPr>
            <w:r>
              <w:rPr>
                <w:b/>
                <w:color w:val="FFFFFF"/>
                <w:sz w:val="15"/>
              </w:rPr>
              <w:t>Strength</w:t>
            </w:r>
          </w:p>
        </w:tc>
        <w:tc>
          <w:tcPr>
            <w:tcW w:type="dxa" w:w="2498"/>
            <w:shd w:fill="0B1F33"/>
            <w:tcMar>
              <w:top w:w="90" w:type="dxa"/>
              <w:start w:w="110" w:type="dxa"/>
              <w:bottom w:w="90" w:type="dxa"/>
              <w:end w:w="110" w:type="dxa"/>
            </w:tcMar>
            <w:vAlign w:val="center"/>
          </w:tcPr>
          <w:p>
            <w:pPr>
              <w:spacing w:after="0"/>
              <w:jc w:val="center"/>
            </w:pPr>
            <w:r>
              <w:rPr>
                <w:b/>
                <w:color w:val="FFFFFF"/>
                <w:sz w:val="15"/>
              </w:rPr>
              <w:t>Observed leaders</w:t>
            </w:r>
          </w:p>
        </w:tc>
        <w:tc>
          <w:tcPr>
            <w:tcW w:type="dxa" w:w="2498"/>
            <w:shd w:fill="0B1F33"/>
            <w:tcMar>
              <w:top w:w="90" w:type="dxa"/>
              <w:start w:w="110" w:type="dxa"/>
              <w:bottom w:w="90" w:type="dxa"/>
              <w:end w:w="110" w:type="dxa"/>
            </w:tcMar>
            <w:vAlign w:val="center"/>
          </w:tcPr>
          <w:p>
            <w:pPr>
              <w:spacing w:after="0"/>
              <w:jc w:val="center"/>
            </w:pPr>
            <w:r>
              <w:rPr>
                <w:b/>
                <w:color w:val="FFFFFF"/>
                <w:sz w:val="15"/>
              </w:rPr>
              <w:t>Credibility condition</w:t>
            </w:r>
          </w:p>
        </w:tc>
      </w:tr>
      <w:tr>
        <w:trPr>
          <w:cantSplit/>
        </w:trPr>
        <w:tc>
          <w:tcPr>
            <w:tcW w:type="dxa" w:w="1944"/>
            <w:tcMar>
              <w:top w:w="90" w:type="dxa"/>
              <w:start w:w="110" w:type="dxa"/>
              <w:bottom w:w="90" w:type="dxa"/>
              <w:end w:w="110" w:type="dxa"/>
            </w:tcMar>
            <w:vAlign w:val="center"/>
          </w:tcPr>
          <w:p>
            <w:pPr>
              <w:spacing w:after="0" w:line="240" w:lineRule="auto"/>
            </w:pPr>
            <w:r>
              <w:rPr>
                <w:color w:val="20252B"/>
                <w:sz w:val="15"/>
              </w:rPr>
              <w:t>Quantified case outcome</w:t>
            </w:r>
          </w:p>
        </w:tc>
        <w:tc>
          <w:tcPr>
            <w:tcW w:type="dxa" w:w="936"/>
            <w:tcMar>
              <w:top w:w="90" w:type="dxa"/>
              <w:start w:w="110" w:type="dxa"/>
              <w:bottom w:w="90" w:type="dxa"/>
              <w:end w:w="110" w:type="dxa"/>
            </w:tcMar>
            <w:vAlign w:val="center"/>
          </w:tcPr>
          <w:p>
            <w:pPr>
              <w:spacing w:after="0" w:line="240" w:lineRule="auto"/>
              <w:jc w:val="center"/>
            </w:pPr>
            <w:r>
              <w:rPr>
                <w:color w:val="20252B"/>
                <w:sz w:val="15"/>
              </w:rPr>
              <w:t>Very high</w:t>
            </w:r>
          </w:p>
        </w:tc>
        <w:tc>
          <w:tcPr>
            <w:tcW w:type="dxa" w:w="2160"/>
            <w:tcMar>
              <w:top w:w="90" w:type="dxa"/>
              <w:start w:w="110" w:type="dxa"/>
              <w:bottom w:w="90" w:type="dxa"/>
              <w:end w:w="110" w:type="dxa"/>
            </w:tcMar>
            <w:vAlign w:val="center"/>
          </w:tcPr>
          <w:p>
            <w:pPr>
              <w:spacing w:after="0" w:line="240" w:lineRule="auto"/>
            </w:pPr>
            <w:r>
              <w:rPr>
                <w:color w:val="20252B"/>
                <w:sz w:val="15"/>
              </w:rPr>
              <w:t>Bain, Deloitte, EchoFrame</w:t>
            </w:r>
          </w:p>
        </w:tc>
        <w:tc>
          <w:tcPr>
            <w:tcW w:type="dxa" w:w="4608"/>
            <w:tcMar>
              <w:top w:w="90" w:type="dxa"/>
              <w:start w:w="110" w:type="dxa"/>
              <w:bottom w:w="90" w:type="dxa"/>
              <w:end w:w="110" w:type="dxa"/>
            </w:tcMar>
            <w:vAlign w:val="center"/>
          </w:tcPr>
          <w:p>
            <w:pPr>
              <w:spacing w:after="0" w:line="240" w:lineRule="auto"/>
            </w:pPr>
            <w:r>
              <w:rPr>
                <w:color w:val="20252B"/>
                <w:sz w:val="15"/>
              </w:rPr>
              <w:t>Define baseline, period, scope, and attribution</w:t>
            </w:r>
          </w:p>
        </w:tc>
      </w:tr>
      <w:tr>
        <w:trPr>
          <w:cantSplit/>
        </w:trPr>
        <w:tc>
          <w:tcPr>
            <w:tcW w:type="dxa" w:w="1944"/>
            <w:tcMar>
              <w:top w:w="90" w:type="dxa"/>
              <w:start w:w="110" w:type="dxa"/>
              <w:bottom w:w="90" w:type="dxa"/>
              <w:end w:w="110" w:type="dxa"/>
            </w:tcMar>
            <w:vAlign w:val="center"/>
            <w:shd w:fill="F4F6F8"/>
          </w:tcPr>
          <w:p>
            <w:pPr>
              <w:spacing w:after="0" w:line="240" w:lineRule="auto"/>
            </w:pPr>
            <w:r>
              <w:rPr>
                <w:color w:val="20252B"/>
                <w:sz w:val="15"/>
              </w:rPr>
              <w:t>Named client story</w:t>
            </w:r>
          </w:p>
        </w:tc>
        <w:tc>
          <w:tcPr>
            <w:tcW w:type="dxa" w:w="936"/>
            <w:tcMar>
              <w:top w:w="90" w:type="dxa"/>
              <w:start w:w="110" w:type="dxa"/>
              <w:bottom w:w="90" w:type="dxa"/>
              <w:end w:w="110" w:type="dxa"/>
            </w:tcMar>
            <w:vAlign w:val="center"/>
            <w:shd w:fill="F4F6F8"/>
          </w:tcPr>
          <w:p>
            <w:pPr>
              <w:spacing w:after="0" w:line="240" w:lineRule="auto"/>
              <w:jc w:val="center"/>
            </w:pPr>
            <w:r>
              <w:rPr>
                <w:color w:val="20252B"/>
                <w:sz w:val="15"/>
              </w:rPr>
              <w:t>Very high</w:t>
            </w:r>
          </w:p>
        </w:tc>
        <w:tc>
          <w:tcPr>
            <w:tcW w:type="dxa" w:w="2160"/>
            <w:tcMar>
              <w:top w:w="90" w:type="dxa"/>
              <w:start w:w="110" w:type="dxa"/>
              <w:bottom w:w="90" w:type="dxa"/>
              <w:end w:w="110" w:type="dxa"/>
            </w:tcMar>
            <w:vAlign w:val="center"/>
            <w:shd w:fill="F4F6F8"/>
          </w:tcPr>
          <w:p>
            <w:pPr>
              <w:spacing w:after="0" w:line="240" w:lineRule="auto"/>
            </w:pPr>
            <w:r>
              <w:rPr>
                <w:color w:val="20252B"/>
                <w:sz w:val="15"/>
              </w:rPr>
              <w:t>Accenture, EY, KPMG</w:t>
            </w:r>
          </w:p>
        </w:tc>
        <w:tc>
          <w:tcPr>
            <w:tcW w:type="dxa" w:w="4608"/>
            <w:tcMar>
              <w:top w:w="90" w:type="dxa"/>
              <w:start w:w="110" w:type="dxa"/>
              <w:bottom w:w="90" w:type="dxa"/>
              <w:end w:w="110" w:type="dxa"/>
            </w:tcMar>
            <w:vAlign w:val="center"/>
            <w:shd w:fill="F4F6F8"/>
          </w:tcPr>
          <w:p>
            <w:pPr>
              <w:spacing w:after="0" w:line="240" w:lineRule="auto"/>
            </w:pPr>
            <w:r>
              <w:rPr>
                <w:color w:val="20252B"/>
                <w:sz w:val="15"/>
              </w:rPr>
              <w:t>Client permission and concrete intervention</w:t>
            </w:r>
          </w:p>
        </w:tc>
      </w:tr>
      <w:tr>
        <w:trPr>
          <w:cantSplit/>
        </w:trPr>
        <w:tc>
          <w:tcPr>
            <w:tcW w:type="dxa" w:w="1944"/>
            <w:tcMar>
              <w:top w:w="90" w:type="dxa"/>
              <w:start w:w="110" w:type="dxa"/>
              <w:bottom w:w="90" w:type="dxa"/>
              <w:end w:w="110" w:type="dxa"/>
            </w:tcMar>
            <w:vAlign w:val="center"/>
          </w:tcPr>
          <w:p>
            <w:pPr>
              <w:spacing w:after="0" w:line="240" w:lineRule="auto"/>
            </w:pPr>
            <w:r>
              <w:rPr>
                <w:color w:val="20252B"/>
                <w:sz w:val="15"/>
              </w:rPr>
              <w:t>Proprietary research</w:t>
            </w:r>
          </w:p>
        </w:tc>
        <w:tc>
          <w:tcPr>
            <w:tcW w:type="dxa" w:w="936"/>
            <w:tcMar>
              <w:top w:w="90" w:type="dxa"/>
              <w:start w:w="110" w:type="dxa"/>
              <w:bottom w:w="90" w:type="dxa"/>
              <w:end w:w="110" w:type="dxa"/>
            </w:tcMar>
            <w:vAlign w:val="center"/>
          </w:tcPr>
          <w:p>
            <w:pPr>
              <w:spacing w:after="0" w:line="240" w:lineRule="auto"/>
              <w:jc w:val="center"/>
            </w:pPr>
            <w:r>
              <w:rPr>
                <w:color w:val="20252B"/>
                <w:sz w:val="15"/>
              </w:rPr>
              <w:t>High</w:t>
            </w:r>
          </w:p>
        </w:tc>
        <w:tc>
          <w:tcPr>
            <w:tcW w:type="dxa" w:w="2160"/>
            <w:tcMar>
              <w:top w:w="90" w:type="dxa"/>
              <w:start w:w="110" w:type="dxa"/>
              <w:bottom w:w="90" w:type="dxa"/>
              <w:end w:w="110" w:type="dxa"/>
            </w:tcMar>
            <w:vAlign w:val="center"/>
          </w:tcPr>
          <w:p>
            <w:pPr>
              <w:spacing w:after="0" w:line="240" w:lineRule="auto"/>
            </w:pPr>
            <w:r>
              <w:rPr>
                <w:color w:val="20252B"/>
                <w:sz w:val="15"/>
              </w:rPr>
              <w:t>BCG, Bain, Accenture, Big Four</w:t>
            </w:r>
          </w:p>
        </w:tc>
        <w:tc>
          <w:tcPr>
            <w:tcW w:type="dxa" w:w="4608"/>
            <w:tcMar>
              <w:top w:w="90" w:type="dxa"/>
              <w:start w:w="110" w:type="dxa"/>
              <w:bottom w:w="90" w:type="dxa"/>
              <w:end w:w="110" w:type="dxa"/>
            </w:tcMar>
            <w:vAlign w:val="center"/>
          </w:tcPr>
          <w:p>
            <w:pPr>
              <w:spacing w:after="0" w:line="240" w:lineRule="auto"/>
            </w:pPr>
            <w:r>
              <w:rPr>
                <w:color w:val="20252B"/>
                <w:sz w:val="15"/>
              </w:rPr>
              <w:t>Methodology, sample, date, and author accountability</w:t>
            </w:r>
          </w:p>
        </w:tc>
      </w:tr>
      <w:tr>
        <w:trPr>
          <w:cantSplit/>
        </w:trPr>
        <w:tc>
          <w:tcPr>
            <w:tcW w:type="dxa" w:w="1944"/>
            <w:tcMar>
              <w:top w:w="90" w:type="dxa"/>
              <w:start w:w="110" w:type="dxa"/>
              <w:bottom w:w="90" w:type="dxa"/>
              <w:end w:w="110" w:type="dxa"/>
            </w:tcMar>
            <w:vAlign w:val="center"/>
            <w:shd w:fill="F4F6F8"/>
          </w:tcPr>
          <w:p>
            <w:pPr>
              <w:spacing w:after="0" w:line="240" w:lineRule="auto"/>
            </w:pPr>
            <w:r>
              <w:rPr>
                <w:color w:val="20252B"/>
                <w:sz w:val="15"/>
              </w:rPr>
              <w:t>Expert profile</w:t>
            </w:r>
          </w:p>
        </w:tc>
        <w:tc>
          <w:tcPr>
            <w:tcW w:type="dxa" w:w="936"/>
            <w:tcMar>
              <w:top w:w="90" w:type="dxa"/>
              <w:start w:w="110" w:type="dxa"/>
              <w:bottom w:w="90" w:type="dxa"/>
              <w:end w:w="110" w:type="dxa"/>
            </w:tcMar>
            <w:vAlign w:val="center"/>
            <w:shd w:fill="F4F6F8"/>
          </w:tcPr>
          <w:p>
            <w:pPr>
              <w:spacing w:after="0" w:line="240" w:lineRule="auto"/>
              <w:jc w:val="center"/>
            </w:pPr>
            <w:r>
              <w:rPr>
                <w:color w:val="20252B"/>
                <w:sz w:val="15"/>
              </w:rPr>
              <w:t>High</w:t>
            </w:r>
          </w:p>
        </w:tc>
        <w:tc>
          <w:tcPr>
            <w:tcW w:type="dxa" w:w="2160"/>
            <w:tcMar>
              <w:top w:w="90" w:type="dxa"/>
              <w:start w:w="110" w:type="dxa"/>
              <w:bottom w:w="90" w:type="dxa"/>
              <w:end w:w="110" w:type="dxa"/>
            </w:tcMar>
            <w:vAlign w:val="center"/>
            <w:shd w:fill="F4F6F8"/>
          </w:tcPr>
          <w:p>
            <w:pPr>
              <w:spacing w:after="0" w:line="240" w:lineRule="auto"/>
              <w:jc w:val="center"/>
            </w:pPr>
            <w:r>
              <w:rPr>
                <w:color w:val="20252B"/>
                <w:sz w:val="15"/>
              </w:rPr>
              <w:t>All major firms</w:t>
            </w:r>
          </w:p>
        </w:tc>
        <w:tc>
          <w:tcPr>
            <w:tcW w:type="dxa" w:w="4608"/>
            <w:tcMar>
              <w:top w:w="90" w:type="dxa"/>
              <w:start w:w="110" w:type="dxa"/>
              <w:bottom w:w="90" w:type="dxa"/>
              <w:end w:w="110" w:type="dxa"/>
            </w:tcMar>
            <w:vAlign w:val="center"/>
            <w:shd w:fill="F4F6F8"/>
          </w:tcPr>
          <w:p>
            <w:pPr>
              <w:spacing w:after="0" w:line="240" w:lineRule="auto"/>
            </w:pPr>
            <w:r>
              <w:rPr>
                <w:color w:val="20252B"/>
                <w:sz w:val="15"/>
              </w:rPr>
              <w:t>Relevant experience, named work, and accessible contact route</w:t>
            </w:r>
          </w:p>
        </w:tc>
      </w:tr>
      <w:tr>
        <w:trPr>
          <w:cantSplit/>
        </w:trPr>
        <w:tc>
          <w:tcPr>
            <w:tcW w:type="dxa" w:w="1944"/>
            <w:tcMar>
              <w:top w:w="90" w:type="dxa"/>
              <w:start w:w="110" w:type="dxa"/>
              <w:bottom w:w="90" w:type="dxa"/>
              <w:end w:w="110" w:type="dxa"/>
            </w:tcMar>
            <w:vAlign w:val="center"/>
          </w:tcPr>
          <w:p>
            <w:pPr>
              <w:spacing w:after="0" w:line="240" w:lineRule="auto"/>
            </w:pPr>
            <w:r>
              <w:rPr>
                <w:color w:val="20252B"/>
                <w:sz w:val="15"/>
              </w:rPr>
              <w:t>Award or analyst ranking</w:t>
            </w:r>
          </w:p>
        </w:tc>
        <w:tc>
          <w:tcPr>
            <w:tcW w:type="dxa" w:w="936"/>
            <w:tcMar>
              <w:top w:w="90" w:type="dxa"/>
              <w:start w:w="110" w:type="dxa"/>
              <w:bottom w:w="90" w:type="dxa"/>
              <w:end w:w="110" w:type="dxa"/>
            </w:tcMar>
            <w:vAlign w:val="center"/>
          </w:tcPr>
          <w:p>
            <w:pPr>
              <w:spacing w:after="0" w:line="240" w:lineRule="auto"/>
              <w:jc w:val="center"/>
            </w:pPr>
            <w:r>
              <w:rPr>
                <w:color w:val="20252B"/>
                <w:sz w:val="15"/>
              </w:rPr>
              <w:t>Medium</w:t>
            </w:r>
          </w:p>
        </w:tc>
        <w:tc>
          <w:tcPr>
            <w:tcW w:type="dxa" w:w="2160"/>
            <w:tcMar>
              <w:top w:w="90" w:type="dxa"/>
              <w:start w:w="110" w:type="dxa"/>
              <w:bottom w:w="90" w:type="dxa"/>
              <w:end w:w="110" w:type="dxa"/>
            </w:tcMar>
            <w:vAlign w:val="center"/>
          </w:tcPr>
          <w:p>
            <w:pPr>
              <w:spacing w:after="0" w:line="240" w:lineRule="auto"/>
            </w:pPr>
            <w:r>
              <w:rPr>
                <w:color w:val="20252B"/>
                <w:sz w:val="15"/>
              </w:rPr>
              <w:t>Accenture, Big Four</w:t>
            </w:r>
          </w:p>
        </w:tc>
        <w:tc>
          <w:tcPr>
            <w:tcW w:type="dxa" w:w="4608"/>
            <w:tcMar>
              <w:top w:w="90" w:type="dxa"/>
              <w:start w:w="110" w:type="dxa"/>
              <w:bottom w:w="90" w:type="dxa"/>
              <w:end w:w="110" w:type="dxa"/>
            </w:tcMar>
            <w:vAlign w:val="center"/>
          </w:tcPr>
          <w:p>
            <w:pPr>
              <w:spacing w:after="0" w:line="240" w:lineRule="auto"/>
            </w:pPr>
            <w:r>
              <w:rPr>
                <w:color w:val="20252B"/>
                <w:sz w:val="15"/>
              </w:rPr>
              <w:t>Current, specific, independent, and linked</w:t>
            </w:r>
          </w:p>
        </w:tc>
      </w:tr>
      <w:tr>
        <w:trPr>
          <w:cantSplit/>
        </w:trPr>
        <w:tc>
          <w:tcPr>
            <w:tcW w:type="dxa" w:w="1944"/>
            <w:tcMar>
              <w:top w:w="90" w:type="dxa"/>
              <w:start w:w="110" w:type="dxa"/>
              <w:bottom w:w="90" w:type="dxa"/>
              <w:end w:w="110" w:type="dxa"/>
            </w:tcMar>
            <w:vAlign w:val="center"/>
            <w:shd w:fill="F4F6F8"/>
          </w:tcPr>
          <w:p>
            <w:pPr>
              <w:spacing w:after="0" w:line="240" w:lineRule="auto"/>
            </w:pPr>
            <w:r>
              <w:rPr>
                <w:color w:val="20252B"/>
                <w:sz w:val="15"/>
              </w:rPr>
              <w:t>Client logo strip</w:t>
            </w:r>
          </w:p>
        </w:tc>
        <w:tc>
          <w:tcPr>
            <w:tcW w:type="dxa" w:w="936"/>
            <w:tcMar>
              <w:top w:w="90" w:type="dxa"/>
              <w:start w:w="110" w:type="dxa"/>
              <w:bottom w:w="90" w:type="dxa"/>
              <w:end w:w="110" w:type="dxa"/>
            </w:tcMar>
            <w:vAlign w:val="center"/>
            <w:shd w:fill="F4F6F8"/>
          </w:tcPr>
          <w:p>
            <w:pPr>
              <w:spacing w:after="0" w:line="240" w:lineRule="auto"/>
              <w:jc w:val="center"/>
            </w:pPr>
            <w:r>
              <w:rPr>
                <w:color w:val="20252B"/>
                <w:sz w:val="15"/>
              </w:rPr>
              <w:t>Medium</w:t>
            </w:r>
          </w:p>
        </w:tc>
        <w:tc>
          <w:tcPr>
            <w:tcW w:type="dxa" w:w="2160"/>
            <w:tcMar>
              <w:top w:w="90" w:type="dxa"/>
              <w:start w:w="110" w:type="dxa"/>
              <w:bottom w:w="90" w:type="dxa"/>
              <w:end w:w="110" w:type="dxa"/>
            </w:tcMar>
            <w:vAlign w:val="center"/>
            <w:shd w:fill="F4F6F8"/>
          </w:tcPr>
          <w:p>
            <w:pPr>
              <w:spacing w:after="0" w:line="240" w:lineRule="auto"/>
            </w:pPr>
            <w:r>
              <w:rPr>
                <w:color w:val="20252B"/>
                <w:sz w:val="15"/>
              </w:rPr>
              <w:t>Common category pattern</w:t>
            </w:r>
          </w:p>
        </w:tc>
        <w:tc>
          <w:tcPr>
            <w:tcW w:type="dxa" w:w="4608"/>
            <w:tcMar>
              <w:top w:w="90" w:type="dxa"/>
              <w:start w:w="110" w:type="dxa"/>
              <w:bottom w:w="90" w:type="dxa"/>
              <w:end w:w="110" w:type="dxa"/>
            </w:tcMar>
            <w:vAlign w:val="center"/>
            <w:shd w:fill="F4F6F8"/>
          </w:tcPr>
          <w:p>
            <w:pPr>
              <w:spacing w:after="0" w:line="240" w:lineRule="auto"/>
            </w:pPr>
            <w:r>
              <w:rPr>
                <w:color w:val="20252B"/>
                <w:sz w:val="15"/>
              </w:rPr>
              <w:t>Permission and context; logos alone are not a case</w:t>
            </w:r>
          </w:p>
        </w:tc>
      </w:tr>
      <w:tr>
        <w:trPr>
          <w:cantSplit/>
        </w:trPr>
        <w:tc>
          <w:tcPr>
            <w:tcW w:type="dxa" w:w="1944"/>
            <w:tcMar>
              <w:top w:w="90" w:type="dxa"/>
              <w:start w:w="110" w:type="dxa"/>
              <w:bottom w:w="90" w:type="dxa"/>
              <w:end w:w="110" w:type="dxa"/>
            </w:tcMar>
            <w:vAlign w:val="center"/>
          </w:tcPr>
          <w:p>
            <w:pPr>
              <w:spacing w:after="0" w:line="240" w:lineRule="auto"/>
            </w:pPr>
            <w:r>
              <w:rPr>
                <w:color w:val="20252B"/>
                <w:sz w:val="15"/>
              </w:rPr>
              <w:t>Testimonial</w:t>
            </w:r>
          </w:p>
        </w:tc>
        <w:tc>
          <w:tcPr>
            <w:tcW w:type="dxa" w:w="936"/>
            <w:tcMar>
              <w:top w:w="90" w:type="dxa"/>
              <w:start w:w="110" w:type="dxa"/>
              <w:bottom w:w="90" w:type="dxa"/>
              <w:end w:w="110" w:type="dxa"/>
            </w:tcMar>
            <w:vAlign w:val="center"/>
          </w:tcPr>
          <w:p>
            <w:pPr>
              <w:spacing w:after="0" w:line="240" w:lineRule="auto"/>
              <w:jc w:val="center"/>
            </w:pPr>
            <w:r>
              <w:rPr>
                <w:color w:val="20252B"/>
                <w:sz w:val="15"/>
              </w:rPr>
              <w:t>Medium</w:t>
            </w:r>
          </w:p>
        </w:tc>
        <w:tc>
          <w:tcPr>
            <w:tcW w:type="dxa" w:w="2160"/>
            <w:tcMar>
              <w:top w:w="90" w:type="dxa"/>
              <w:start w:w="110" w:type="dxa"/>
              <w:bottom w:w="90" w:type="dxa"/>
              <w:end w:w="110" w:type="dxa"/>
            </w:tcMar>
            <w:vAlign w:val="center"/>
          </w:tcPr>
          <w:p>
            <w:pPr>
              <w:spacing w:after="0" w:line="240" w:lineRule="auto"/>
              <w:jc w:val="center"/>
            </w:pPr>
            <w:r>
              <w:rPr>
                <w:color w:val="20252B"/>
                <w:sz w:val="15"/>
              </w:rPr>
              <w:t>Varies</w:t>
            </w:r>
          </w:p>
        </w:tc>
        <w:tc>
          <w:tcPr>
            <w:tcW w:type="dxa" w:w="4608"/>
            <w:tcMar>
              <w:top w:w="90" w:type="dxa"/>
              <w:start w:w="110" w:type="dxa"/>
              <w:bottom w:w="90" w:type="dxa"/>
              <w:end w:w="110" w:type="dxa"/>
            </w:tcMar>
            <w:vAlign w:val="center"/>
          </w:tcPr>
          <w:p>
            <w:pPr>
              <w:spacing w:after="0" w:line="240" w:lineRule="auto"/>
            </w:pPr>
            <w:r>
              <w:rPr>
                <w:color w:val="20252B"/>
                <w:sz w:val="15"/>
              </w:rPr>
              <w:t>Named role, company, and specific outcome</w:t>
            </w:r>
          </w:p>
        </w:tc>
      </w:tr>
      <w:tr>
        <w:trPr>
          <w:cantSplit/>
        </w:trPr>
        <w:tc>
          <w:tcPr>
            <w:tcW w:type="dxa" w:w="1944"/>
            <w:tcMar>
              <w:top w:w="90" w:type="dxa"/>
              <w:start w:w="110" w:type="dxa"/>
              <w:bottom w:w="90" w:type="dxa"/>
              <w:end w:w="110" w:type="dxa"/>
            </w:tcMar>
            <w:vAlign w:val="center"/>
            <w:shd w:fill="F4F6F8"/>
          </w:tcPr>
          <w:p>
            <w:pPr>
              <w:spacing w:after="0" w:line="240" w:lineRule="auto"/>
            </w:pPr>
            <w:r>
              <w:rPr>
                <w:color w:val="20252B"/>
                <w:sz w:val="15"/>
              </w:rPr>
              <w:t>Method framework</w:t>
            </w:r>
          </w:p>
        </w:tc>
        <w:tc>
          <w:tcPr>
            <w:tcW w:type="dxa" w:w="936"/>
            <w:tcMar>
              <w:top w:w="90" w:type="dxa"/>
              <w:start w:w="110" w:type="dxa"/>
              <w:bottom w:w="90" w:type="dxa"/>
              <w:end w:w="110" w:type="dxa"/>
            </w:tcMar>
            <w:vAlign w:val="center"/>
            <w:shd w:fill="F4F6F8"/>
          </w:tcPr>
          <w:p>
            <w:pPr>
              <w:spacing w:after="0" w:line="240" w:lineRule="auto"/>
              <w:jc w:val="center"/>
            </w:pPr>
            <w:r>
              <w:rPr>
                <w:color w:val="20252B"/>
                <w:sz w:val="15"/>
              </w:rPr>
              <w:t>Medium</w:t>
            </w:r>
          </w:p>
        </w:tc>
        <w:tc>
          <w:tcPr>
            <w:tcW w:type="dxa" w:w="2160"/>
            <w:tcMar>
              <w:top w:w="90" w:type="dxa"/>
              <w:start w:w="110" w:type="dxa"/>
              <w:bottom w:w="90" w:type="dxa"/>
              <w:end w:w="110" w:type="dxa"/>
            </w:tcMar>
            <w:vAlign w:val="center"/>
            <w:shd w:fill="F4F6F8"/>
          </w:tcPr>
          <w:p>
            <w:pPr>
              <w:spacing w:after="0" w:line="240" w:lineRule="auto"/>
            </w:pPr>
            <w:r>
              <w:rPr>
                <w:color w:val="20252B"/>
                <w:sz w:val="15"/>
              </w:rPr>
              <w:t>Bain, Deloitte, EchoFrame</w:t>
            </w:r>
          </w:p>
        </w:tc>
        <w:tc>
          <w:tcPr>
            <w:tcW w:type="dxa" w:w="4608"/>
            <w:tcMar>
              <w:top w:w="90" w:type="dxa"/>
              <w:start w:w="110" w:type="dxa"/>
              <w:bottom w:w="90" w:type="dxa"/>
              <w:end w:w="110" w:type="dxa"/>
            </w:tcMar>
            <w:vAlign w:val="center"/>
            <w:shd w:fill="F4F6F8"/>
          </w:tcPr>
          <w:p>
            <w:pPr>
              <w:spacing w:after="0" w:line="240" w:lineRule="auto"/>
            </w:pPr>
            <w:r>
              <w:rPr>
                <w:color w:val="20252B"/>
                <w:sz w:val="15"/>
              </w:rPr>
              <w:t>Must connect to observable deliverables and results</w:t>
            </w:r>
          </w:p>
        </w:tc>
      </w:tr>
    </w:tbl>
    <w:p>
      <w:pPr>
        <w:spacing w:after="20"/>
      </w:pPr>
    </w:p>
    <w:p>
      <w:pPr>
        <w:pStyle w:val="Heading2"/>
      </w:pPr>
      <w:r>
        <w:t>Conversion architecture</w:t>
      </w:r>
    </w:p>
    <w:p>
      <w:r>
        <w:t>The correct conversion path depends on buying complexity. Bain and the Big Four assume long, relationship-led sales cycles, so insight consumption and expert discovery are legitimate conversions. Baker Tilly's service page underperforms because it provides neither a strong above-the-fold CTA nor enough proof to justify the absence. EchoFrame correctly uses an explicit quote request, free first conversation, pricing explanation, and repeated action because a small-business buyer needs clarity more than a research portal.[9]</w:t>
      </w:r>
    </w:p>
    <w:p>
      <w:pPr>
        <w:pStyle w:val="Heading2"/>
      </w:pPr>
      <w:r>
        <w:t>Accessibility and inclusion</w:t>
      </w:r>
    </w:p>
    <w:p>
      <w:r>
        <w:t>Several sites expose positive structural signals. Accenture, BCG, PwC, and EchoFrame presented explicit skip links in the inspected content or rendered structure. EchoFrame, Accenture, BCG, KPMG, and Baker Tilly exposed a main landmark in the inspected desktop DOM. These signals are valuable but incomplete. WCAG 2.2 also requires attention to contrast, keyboard focus, target sizing, text resizing, alternative text, labels, motion, and robust semantics.[11]</w:t>
      </w:r>
    </w:p>
    <w:p>
      <w:pPr>
        <w:pStyle w:val="ListBullet"/>
        <w:spacing w:after="60"/>
      </w:pPr>
      <w:r>
        <w:t>Cookie panels must be keyboard operable, clearly labeled, and not trap users. KPMG's large modal and Accenture's deep banner materially obstruct the first viewport.</w:t>
      </w:r>
    </w:p>
    <w:p>
      <w:pPr>
        <w:pStyle w:val="ListBullet"/>
        <w:spacing w:after="60"/>
      </w:pPr>
      <w:r>
        <w:t>Carousels need pause controls, clear position and labels, predictable focus, and meaningful content outside autoplay.</w:t>
      </w:r>
    </w:p>
    <w:p>
      <w:pPr>
        <w:pStyle w:val="ListBullet"/>
        <w:spacing w:after="60"/>
      </w:pPr>
      <w:r>
        <w:t>Custom card expansion must expose state to assistive technology and preserve a logical focus sequence.</w:t>
      </w:r>
    </w:p>
    <w:p>
      <w:pPr>
        <w:pStyle w:val="ListBullet"/>
        <w:spacing w:after="60"/>
      </w:pPr>
      <w:r>
        <w:t>Large light-gray text on imagery should be contrast-tested across every responsive crop, not only the design source.</w:t>
      </w:r>
    </w:p>
    <w:p>
      <w:pPr>
        <w:pStyle w:val="ListBullet"/>
        <w:spacing w:after="60"/>
      </w:pPr>
      <w:r>
        <w:t>Pointer targets should meet WCAG 2.2 target-size requirements or allowed spacing exceptions.[11]</w:t>
      </w:r>
    </w:p>
    <w:p>
      <w:pPr>
        <w:pStyle w:val="ListBullet"/>
        <w:spacing w:after="60"/>
      </w:pPr>
      <w:r>
        <w:t>Reduced-motion preferences should disable nonessential video movement, parallax, and animated transitions.</w:t>
      </w:r>
    </w:p>
    <w:p>
      <w:pPr>
        <w:pStyle w:val="Heading2"/>
      </w:pPr>
      <w:r>
        <w:t>Performance and technical quality</w:t>
      </w:r>
    </w:p>
    <w:p>
      <w:r>
        <w:t>The sites reveal a predictable tradeoff. Accenture, PwC, KPMG, and Baker Tilly use video, custom fonts, large media, and interactive content to create brand impact. These assets can improve perception while increasing the risk of slow LCP, poor INP, or layout instability. BCG's large image library and interactive answer experience create similar governance demands. EchoFrame's smaller asset and link inventory should be easier to keep fast, although its long homepage still requires disciplined image sizing and lazy loading.</w:t>
      </w:r>
    </w:p>
    <w:p>
      <w:pPr>
        <w:pStyle w:val="ListBullet"/>
        <w:spacing w:after="60"/>
      </w:pPr>
      <w:r>
        <w:t>Prioritize the actual LCP resource in server output, compress it aggressively, and avoid loading it through late JavaScript.</w:t>
      </w:r>
    </w:p>
    <w:p>
      <w:pPr>
        <w:pStyle w:val="ListBullet"/>
        <w:spacing w:after="60"/>
      </w:pPr>
      <w:r>
        <w:t>Reserve dimensions for images, video, consent panels, and dynamic cards to reduce cumulative layout shift.</w:t>
      </w:r>
    </w:p>
    <w:p>
      <w:pPr>
        <w:pStyle w:val="ListBullet"/>
        <w:spacing w:after="60"/>
      </w:pPr>
      <w:r>
        <w:t>Limit third-party scripts and defer nonessential analytics, personalization, chat, and advertising tags.</w:t>
      </w:r>
    </w:p>
    <w:p>
      <w:pPr>
        <w:pStyle w:val="ListBullet"/>
        <w:spacing w:after="60"/>
      </w:pPr>
      <w:r>
        <w:t>Subset and preload only critical font files; use robust fallbacks and font-display behavior that prevents invisible text.</w:t>
      </w:r>
    </w:p>
    <w:p>
      <w:pPr>
        <w:pStyle w:val="ListBullet"/>
        <w:spacing w:after="60"/>
      </w:pPr>
      <w:r>
        <w:t>Measure field performance by template and geography. Lab results alone will not reveal executive users on locked-down enterprise devices.</w:t>
      </w:r>
    </w:p>
    <w:p>
      <w:pPr>
        <w:pStyle w:val="ListBullet"/>
        <w:spacing w:after="60"/>
      </w:pPr>
      <w:r>
        <w:t>Keep metadata, canonical URLs, Open Graph images, structured headings, and internal links consistent across publishing workflows.</w:t>
      </w:r>
    </w:p>
    <w:p>
      <w:r>
        <w:t>One concrete EchoFrame defect was observed: the public Open Graph image URL pointed to localhost, which can break social sharing previews even while the main page renders correctly.[9]</w:t>
      </w:r>
    </w:p>
    <w:p>
      <w:r>
        <w:br w:type="page"/>
      </w:r>
    </w:p>
    <w:p>
      <w:pPr>
        <w:pStyle w:val="Heading1"/>
      </w:pPr>
      <w:r>
        <w:t>What the Category Commonly Gets Wrong</w:t>
      </w:r>
    </w:p>
    <w:tbl>
      <w:tblPr>
        <w:tblW w:type="auto" w:w="0"/>
        <w:jc w:val="center"/>
        <w:tblLayout w:type="fixed"/>
        <w:tblLook w:firstColumn="1" w:firstRow="1" w:lastColumn="0" w:lastRow="0" w:noHBand="0" w:noVBand="1" w:val="04A0"/>
        <w:tblBorders>
          <w:top w:val="single" w:sz="5" w:color="D9DDE2"/>
          <w:left w:val="single" w:sz="5" w:color="D9DDE2"/>
          <w:bottom w:val="single" w:sz="5" w:color="D9DDE2"/>
          <w:right w:val="single" w:sz="5" w:color="D9DDE2"/>
          <w:insideH w:val="single" w:sz="5" w:color="D9DDE2"/>
          <w:insideV w:val="single" w:sz="5" w:color="D9DDE2"/>
        </w:tblBorders>
      </w:tblPr>
      <w:tblGrid>
        <w:gridCol w:w="2498"/>
        <w:gridCol w:w="2498"/>
        <w:gridCol w:w="2498"/>
        <w:gridCol w:w="2498"/>
      </w:tblGrid>
      <w:tr>
        <w:trPr>
          <w:tblHeader w:val="true"/>
          <w:cantSplit/>
        </w:trPr>
        <w:tc>
          <w:tcPr>
            <w:tcW w:type="dxa" w:w="2498"/>
            <w:shd w:fill="0B1F33"/>
            <w:tcMar>
              <w:top w:w="90" w:type="dxa"/>
              <w:start w:w="110" w:type="dxa"/>
              <w:bottom w:w="90" w:type="dxa"/>
              <w:end w:w="110" w:type="dxa"/>
            </w:tcMar>
            <w:vAlign w:val="center"/>
          </w:tcPr>
          <w:p>
            <w:pPr>
              <w:spacing w:after="0"/>
              <w:jc w:val="center"/>
            </w:pPr>
            <w:r>
              <w:rPr>
                <w:b/>
                <w:color w:val="FFFFFF"/>
                <w:sz w:val="15"/>
              </w:rPr>
              <w:t>Anti-pattern</w:t>
            </w:r>
          </w:p>
        </w:tc>
        <w:tc>
          <w:tcPr>
            <w:tcW w:type="dxa" w:w="2498"/>
            <w:shd w:fill="0B1F33"/>
            <w:tcMar>
              <w:top w:w="90" w:type="dxa"/>
              <w:start w:w="110" w:type="dxa"/>
              <w:bottom w:w="90" w:type="dxa"/>
              <w:end w:w="110" w:type="dxa"/>
            </w:tcMar>
            <w:vAlign w:val="center"/>
          </w:tcPr>
          <w:p>
            <w:pPr>
              <w:spacing w:after="0"/>
              <w:jc w:val="center"/>
            </w:pPr>
            <w:r>
              <w:rPr>
                <w:b/>
                <w:color w:val="FFFFFF"/>
                <w:sz w:val="15"/>
              </w:rPr>
              <w:t>Why firms use it</w:t>
            </w:r>
          </w:p>
        </w:tc>
        <w:tc>
          <w:tcPr>
            <w:tcW w:type="dxa" w:w="2498"/>
            <w:shd w:fill="0B1F33"/>
            <w:tcMar>
              <w:top w:w="90" w:type="dxa"/>
              <w:start w:w="110" w:type="dxa"/>
              <w:bottom w:w="90" w:type="dxa"/>
              <w:end w:w="110" w:type="dxa"/>
            </w:tcMar>
            <w:vAlign w:val="center"/>
          </w:tcPr>
          <w:p>
            <w:pPr>
              <w:spacing w:after="0"/>
              <w:jc w:val="center"/>
            </w:pPr>
            <w:r>
              <w:rPr>
                <w:b/>
                <w:color w:val="FFFFFF"/>
                <w:sz w:val="15"/>
              </w:rPr>
              <w:t>Why it weakens the site</w:t>
            </w:r>
          </w:p>
        </w:tc>
        <w:tc>
          <w:tcPr>
            <w:tcW w:type="dxa" w:w="2498"/>
            <w:shd w:fill="0B1F33"/>
            <w:tcMar>
              <w:top w:w="90" w:type="dxa"/>
              <w:start w:w="110" w:type="dxa"/>
              <w:bottom w:w="90" w:type="dxa"/>
              <w:end w:w="110" w:type="dxa"/>
            </w:tcMar>
            <w:vAlign w:val="center"/>
          </w:tcPr>
          <w:p>
            <w:pPr>
              <w:spacing w:after="0"/>
              <w:jc w:val="center"/>
            </w:pPr>
            <w:r>
              <w:rPr>
                <w:b/>
                <w:color w:val="FFFFFF"/>
                <w:sz w:val="15"/>
              </w:rPr>
              <w:t>Better standard</w:t>
            </w:r>
          </w:p>
        </w:tc>
      </w:tr>
      <w:tr>
        <w:trPr>
          <w:cantSplit/>
        </w:trPr>
        <w:tc>
          <w:tcPr>
            <w:tcW w:type="dxa" w:w="1728"/>
            <w:tcMar>
              <w:top w:w="90" w:type="dxa"/>
              <w:start w:w="110" w:type="dxa"/>
              <w:bottom w:w="90" w:type="dxa"/>
              <w:end w:w="110" w:type="dxa"/>
            </w:tcMar>
            <w:vAlign w:val="center"/>
          </w:tcPr>
          <w:p>
            <w:pPr>
              <w:spacing w:after="0" w:line="240" w:lineRule="auto"/>
            </w:pPr>
            <w:r>
              <w:rPr>
                <w:color w:val="20252B"/>
                <w:sz w:val="15"/>
              </w:rPr>
              <w:t>Generic transformation language</w:t>
            </w:r>
          </w:p>
        </w:tc>
        <w:tc>
          <w:tcPr>
            <w:tcW w:type="dxa" w:w="2448"/>
            <w:tcMar>
              <w:top w:w="90" w:type="dxa"/>
              <w:start w:w="110" w:type="dxa"/>
              <w:bottom w:w="90" w:type="dxa"/>
              <w:end w:w="110" w:type="dxa"/>
            </w:tcMar>
            <w:vAlign w:val="center"/>
          </w:tcPr>
          <w:p>
            <w:pPr>
              <w:spacing w:after="0" w:line="240" w:lineRule="auto"/>
            </w:pPr>
            <w:r>
              <w:rPr>
                <w:color w:val="20252B"/>
                <w:sz w:val="15"/>
              </w:rPr>
              <w:t>It clears internal review and covers many services</w:t>
            </w:r>
          </w:p>
        </w:tc>
        <w:tc>
          <w:tcPr>
            <w:tcW w:type="dxa" w:w="2880"/>
            <w:tcMar>
              <w:top w:w="90" w:type="dxa"/>
              <w:start w:w="110" w:type="dxa"/>
              <w:bottom w:w="90" w:type="dxa"/>
              <w:end w:w="110" w:type="dxa"/>
            </w:tcMar>
            <w:vAlign w:val="center"/>
          </w:tcPr>
          <w:p>
            <w:pPr>
              <w:spacing w:after="0" w:line="240" w:lineRule="auto"/>
            </w:pPr>
            <w:r>
              <w:rPr>
                <w:color w:val="20252B"/>
                <w:sz w:val="15"/>
              </w:rPr>
              <w:t>It gives buyers no reason to remember or choose the firm</w:t>
            </w:r>
          </w:p>
        </w:tc>
        <w:tc>
          <w:tcPr>
            <w:tcW w:type="dxa" w:w="2736"/>
            <w:tcMar>
              <w:top w:w="90" w:type="dxa"/>
              <w:start w:w="110" w:type="dxa"/>
              <w:bottom w:w="90" w:type="dxa"/>
              <w:end w:w="110" w:type="dxa"/>
            </w:tcMar>
            <w:vAlign w:val="center"/>
          </w:tcPr>
          <w:p>
            <w:pPr>
              <w:spacing w:after="0" w:line="240" w:lineRule="auto"/>
            </w:pPr>
            <w:r>
              <w:rPr>
                <w:color w:val="20252B"/>
                <w:sz w:val="15"/>
              </w:rPr>
              <w:t>Name a tension, decision, method, or measurable outcome</w:t>
            </w:r>
          </w:p>
        </w:tc>
      </w:tr>
      <w:tr>
        <w:trPr>
          <w:cantSplit/>
        </w:trPr>
        <w:tc>
          <w:tcPr>
            <w:tcW w:type="dxa" w:w="1728"/>
            <w:tcMar>
              <w:top w:w="90" w:type="dxa"/>
              <w:start w:w="110" w:type="dxa"/>
              <w:bottom w:w="90" w:type="dxa"/>
              <w:end w:w="110" w:type="dxa"/>
            </w:tcMar>
            <w:vAlign w:val="center"/>
            <w:shd w:fill="F4F6F8"/>
          </w:tcPr>
          <w:p>
            <w:pPr>
              <w:spacing w:after="0" w:line="240" w:lineRule="auto"/>
            </w:pPr>
            <w:r>
              <w:rPr>
                <w:color w:val="20252B"/>
                <w:sz w:val="15"/>
              </w:rPr>
              <w:t>Everything in the navigation</w:t>
            </w:r>
          </w:p>
        </w:tc>
        <w:tc>
          <w:tcPr>
            <w:tcW w:type="dxa" w:w="2448"/>
            <w:tcMar>
              <w:top w:w="90" w:type="dxa"/>
              <w:start w:w="110" w:type="dxa"/>
              <w:bottom w:w="90" w:type="dxa"/>
              <w:end w:w="110" w:type="dxa"/>
            </w:tcMar>
            <w:vAlign w:val="center"/>
            <w:shd w:fill="F4F6F8"/>
          </w:tcPr>
          <w:p>
            <w:pPr>
              <w:spacing w:after="0" w:line="240" w:lineRule="auto"/>
            </w:pPr>
            <w:r>
              <w:rPr>
                <w:color w:val="20252B"/>
                <w:sz w:val="15"/>
              </w:rPr>
              <w:t>Every practice wants visibility</w:t>
            </w:r>
          </w:p>
        </w:tc>
        <w:tc>
          <w:tcPr>
            <w:tcW w:type="dxa" w:w="2880"/>
            <w:tcMar>
              <w:top w:w="90" w:type="dxa"/>
              <w:start w:w="110" w:type="dxa"/>
              <w:bottom w:w="90" w:type="dxa"/>
              <w:end w:w="110" w:type="dxa"/>
            </w:tcMar>
            <w:vAlign w:val="center"/>
            <w:shd w:fill="F4F6F8"/>
          </w:tcPr>
          <w:p>
            <w:pPr>
              <w:spacing w:after="0" w:line="240" w:lineRule="auto"/>
            </w:pPr>
            <w:r>
              <w:rPr>
                <w:color w:val="20252B"/>
                <w:sz w:val="15"/>
              </w:rPr>
              <w:t>Visitors inherit the organization's internal complexity</w:t>
            </w:r>
          </w:p>
        </w:tc>
        <w:tc>
          <w:tcPr>
            <w:tcW w:type="dxa" w:w="2736"/>
            <w:tcMar>
              <w:top w:w="90" w:type="dxa"/>
              <w:start w:w="110" w:type="dxa"/>
              <w:bottom w:w="90" w:type="dxa"/>
              <w:end w:w="110" w:type="dxa"/>
            </w:tcMar>
            <w:vAlign w:val="center"/>
            <w:shd w:fill="F4F6F8"/>
          </w:tcPr>
          <w:p>
            <w:pPr>
              <w:spacing w:after="0" w:line="240" w:lineRule="auto"/>
            </w:pPr>
            <w:r>
              <w:rPr>
                <w:color w:val="20252B"/>
                <w:sz w:val="15"/>
              </w:rPr>
              <w:t>Prioritize user tasks, then use search and progressive disclosure</w:t>
            </w:r>
          </w:p>
        </w:tc>
      </w:tr>
      <w:tr>
        <w:trPr>
          <w:cantSplit/>
        </w:trPr>
        <w:tc>
          <w:tcPr>
            <w:tcW w:type="dxa" w:w="1728"/>
            <w:tcMar>
              <w:top w:w="90" w:type="dxa"/>
              <w:start w:w="110" w:type="dxa"/>
              <w:bottom w:w="90" w:type="dxa"/>
              <w:end w:w="110" w:type="dxa"/>
            </w:tcMar>
            <w:vAlign w:val="center"/>
          </w:tcPr>
          <w:p>
            <w:pPr>
              <w:spacing w:after="0" w:line="240" w:lineRule="auto"/>
            </w:pPr>
            <w:r>
              <w:rPr>
                <w:color w:val="20252B"/>
                <w:sz w:val="15"/>
              </w:rPr>
              <w:t>Thought leadership as volume</w:t>
            </w:r>
          </w:p>
        </w:tc>
        <w:tc>
          <w:tcPr>
            <w:tcW w:type="dxa" w:w="2448"/>
            <w:tcMar>
              <w:top w:w="90" w:type="dxa"/>
              <w:start w:w="110" w:type="dxa"/>
              <w:bottom w:w="90" w:type="dxa"/>
              <w:end w:w="110" w:type="dxa"/>
            </w:tcMar>
            <w:vAlign w:val="center"/>
          </w:tcPr>
          <w:p>
            <w:pPr>
              <w:spacing w:after="0" w:line="240" w:lineRule="auto"/>
            </w:pPr>
            <w:r>
              <w:rPr>
                <w:color w:val="20252B"/>
                <w:sz w:val="15"/>
              </w:rPr>
              <w:t>Publishing output is treated as authority</w:t>
            </w:r>
          </w:p>
        </w:tc>
        <w:tc>
          <w:tcPr>
            <w:tcW w:type="dxa" w:w="2880"/>
            <w:tcMar>
              <w:top w:w="90" w:type="dxa"/>
              <w:start w:w="110" w:type="dxa"/>
              <w:bottom w:w="90" w:type="dxa"/>
              <w:end w:w="110" w:type="dxa"/>
            </w:tcMar>
            <w:vAlign w:val="center"/>
          </w:tcPr>
          <w:p>
            <w:pPr>
              <w:spacing w:after="0" w:line="240" w:lineRule="auto"/>
            </w:pPr>
            <w:r>
              <w:rPr>
                <w:color w:val="20252B"/>
                <w:sz w:val="15"/>
              </w:rPr>
              <w:t>Weak, repetitive content lowers the perceived editorial bar</w:t>
            </w:r>
          </w:p>
        </w:tc>
        <w:tc>
          <w:tcPr>
            <w:tcW w:type="dxa" w:w="2736"/>
            <w:tcMar>
              <w:top w:w="90" w:type="dxa"/>
              <w:start w:w="110" w:type="dxa"/>
              <w:bottom w:w="90" w:type="dxa"/>
              <w:end w:w="110" w:type="dxa"/>
            </w:tcMar>
            <w:vAlign w:val="center"/>
          </w:tcPr>
          <w:p>
            <w:pPr>
              <w:spacing w:after="0" w:line="240" w:lineRule="auto"/>
            </w:pPr>
            <w:r>
              <w:rPr>
                <w:color w:val="20252B"/>
                <w:sz w:val="15"/>
              </w:rPr>
              <w:t>Fewer flagship ideas with strong data and clear authorship</w:t>
            </w:r>
          </w:p>
        </w:tc>
      </w:tr>
      <w:tr>
        <w:trPr>
          <w:cantSplit/>
        </w:trPr>
        <w:tc>
          <w:tcPr>
            <w:tcW w:type="dxa" w:w="1728"/>
            <w:tcMar>
              <w:top w:w="90" w:type="dxa"/>
              <w:start w:w="110" w:type="dxa"/>
              <w:bottom w:w="90" w:type="dxa"/>
              <w:end w:w="110" w:type="dxa"/>
            </w:tcMar>
            <w:vAlign w:val="center"/>
            <w:shd w:fill="F4F6F8"/>
          </w:tcPr>
          <w:p>
            <w:pPr>
              <w:spacing w:after="0" w:line="240" w:lineRule="auto"/>
            </w:pPr>
            <w:r>
              <w:rPr>
                <w:color w:val="20252B"/>
                <w:sz w:val="15"/>
              </w:rPr>
              <w:t>Motion as innovation</w:t>
            </w:r>
          </w:p>
        </w:tc>
        <w:tc>
          <w:tcPr>
            <w:tcW w:type="dxa" w:w="2448"/>
            <w:tcMar>
              <w:top w:w="90" w:type="dxa"/>
              <w:start w:w="110" w:type="dxa"/>
              <w:bottom w:w="90" w:type="dxa"/>
              <w:end w:w="110" w:type="dxa"/>
            </w:tcMar>
            <w:vAlign w:val="center"/>
            <w:shd w:fill="F4F6F8"/>
          </w:tcPr>
          <w:p>
            <w:pPr>
              <w:spacing w:after="0" w:line="240" w:lineRule="auto"/>
            </w:pPr>
            <w:r>
              <w:rPr>
                <w:color w:val="20252B"/>
                <w:sz w:val="15"/>
              </w:rPr>
              <w:t>Animation creates launch-day impact</w:t>
            </w:r>
          </w:p>
        </w:tc>
        <w:tc>
          <w:tcPr>
            <w:tcW w:type="dxa" w:w="2880"/>
            <w:tcMar>
              <w:top w:w="90" w:type="dxa"/>
              <w:start w:w="110" w:type="dxa"/>
              <w:bottom w:w="90" w:type="dxa"/>
              <w:end w:w="110" w:type="dxa"/>
            </w:tcMar>
            <w:vAlign w:val="center"/>
            <w:shd w:fill="F4F6F8"/>
          </w:tcPr>
          <w:p>
            <w:pPr>
              <w:spacing w:after="0" w:line="240" w:lineRule="auto"/>
            </w:pPr>
            <w:r>
              <w:rPr>
                <w:color w:val="20252B"/>
                <w:sz w:val="15"/>
              </w:rPr>
              <w:t>It can delay comprehension and create accessibility or performance costs</w:t>
            </w:r>
          </w:p>
        </w:tc>
        <w:tc>
          <w:tcPr>
            <w:tcW w:type="dxa" w:w="2736"/>
            <w:tcMar>
              <w:top w:w="90" w:type="dxa"/>
              <w:start w:w="110" w:type="dxa"/>
              <w:bottom w:w="90" w:type="dxa"/>
              <w:end w:w="110" w:type="dxa"/>
            </w:tcMar>
            <w:vAlign w:val="center"/>
            <w:shd w:fill="F4F6F8"/>
          </w:tcPr>
          <w:p>
            <w:pPr>
              <w:spacing w:after="0" w:line="240" w:lineRule="auto"/>
            </w:pPr>
            <w:r>
              <w:rPr>
                <w:color w:val="20252B"/>
                <w:sz w:val="15"/>
              </w:rPr>
              <w:t>Motion must reveal meaning or reinforce a proprietary brand code</w:t>
            </w:r>
          </w:p>
        </w:tc>
      </w:tr>
      <w:tr>
        <w:trPr>
          <w:cantSplit/>
        </w:trPr>
        <w:tc>
          <w:tcPr>
            <w:tcW w:type="dxa" w:w="1728"/>
            <w:tcMar>
              <w:top w:w="90" w:type="dxa"/>
              <w:start w:w="110" w:type="dxa"/>
              <w:bottom w:w="90" w:type="dxa"/>
              <w:end w:w="110" w:type="dxa"/>
            </w:tcMar>
            <w:vAlign w:val="center"/>
          </w:tcPr>
          <w:p>
            <w:pPr>
              <w:spacing w:after="0" w:line="240" w:lineRule="auto"/>
            </w:pPr>
            <w:r>
              <w:rPr>
                <w:color w:val="20252B"/>
                <w:sz w:val="15"/>
              </w:rPr>
              <w:t>Logo walls without stories</w:t>
            </w:r>
          </w:p>
        </w:tc>
        <w:tc>
          <w:tcPr>
            <w:tcW w:type="dxa" w:w="2448"/>
            <w:tcMar>
              <w:top w:w="90" w:type="dxa"/>
              <w:start w:w="110" w:type="dxa"/>
              <w:bottom w:w="90" w:type="dxa"/>
              <w:end w:w="110" w:type="dxa"/>
            </w:tcMar>
            <w:vAlign w:val="center"/>
          </w:tcPr>
          <w:p>
            <w:pPr>
              <w:spacing w:after="0" w:line="240" w:lineRule="auto"/>
            </w:pPr>
            <w:r>
              <w:rPr>
                <w:color w:val="20252B"/>
                <w:sz w:val="15"/>
              </w:rPr>
              <w:t>They provide fast social proof</w:t>
            </w:r>
          </w:p>
        </w:tc>
        <w:tc>
          <w:tcPr>
            <w:tcW w:type="dxa" w:w="2880"/>
            <w:tcMar>
              <w:top w:w="90" w:type="dxa"/>
              <w:start w:w="110" w:type="dxa"/>
              <w:bottom w:w="90" w:type="dxa"/>
              <w:end w:w="110" w:type="dxa"/>
            </w:tcMar>
            <w:vAlign w:val="center"/>
          </w:tcPr>
          <w:p>
            <w:pPr>
              <w:spacing w:after="0" w:line="240" w:lineRule="auto"/>
            </w:pPr>
            <w:r>
              <w:rPr>
                <w:color w:val="20252B"/>
                <w:sz w:val="15"/>
              </w:rPr>
              <w:t>They do not show scope, result, or permission context</w:t>
            </w:r>
          </w:p>
        </w:tc>
        <w:tc>
          <w:tcPr>
            <w:tcW w:type="dxa" w:w="2736"/>
            <w:tcMar>
              <w:top w:w="90" w:type="dxa"/>
              <w:start w:w="110" w:type="dxa"/>
              <w:bottom w:w="90" w:type="dxa"/>
              <w:end w:w="110" w:type="dxa"/>
            </w:tcMar>
            <w:vAlign w:val="center"/>
          </w:tcPr>
          <w:p>
            <w:pPr>
              <w:spacing w:after="0" w:line="240" w:lineRule="auto"/>
            </w:pPr>
            <w:r>
              <w:rPr>
                <w:color w:val="20252B"/>
                <w:sz w:val="15"/>
              </w:rPr>
              <w:t>Attach a problem, intervention, result, and client voice</w:t>
            </w:r>
          </w:p>
        </w:tc>
      </w:tr>
      <w:tr>
        <w:trPr>
          <w:cantSplit/>
        </w:trPr>
        <w:tc>
          <w:tcPr>
            <w:tcW w:type="dxa" w:w="1728"/>
            <w:tcMar>
              <w:top w:w="90" w:type="dxa"/>
              <w:start w:w="110" w:type="dxa"/>
              <w:bottom w:w="90" w:type="dxa"/>
              <w:end w:w="110" w:type="dxa"/>
            </w:tcMar>
            <w:vAlign w:val="center"/>
            <w:shd w:fill="F4F6F8"/>
          </w:tcPr>
          <w:p>
            <w:pPr>
              <w:spacing w:after="0" w:line="240" w:lineRule="auto"/>
            </w:pPr>
            <w:r>
              <w:rPr>
                <w:color w:val="20252B"/>
                <w:sz w:val="15"/>
              </w:rPr>
              <w:t>Contact as the only CTA</w:t>
            </w:r>
          </w:p>
        </w:tc>
        <w:tc>
          <w:tcPr>
            <w:tcW w:type="dxa" w:w="2448"/>
            <w:tcMar>
              <w:top w:w="90" w:type="dxa"/>
              <w:start w:w="110" w:type="dxa"/>
              <w:bottom w:w="90" w:type="dxa"/>
              <w:end w:w="110" w:type="dxa"/>
            </w:tcMar>
            <w:vAlign w:val="center"/>
            <w:shd w:fill="F4F6F8"/>
          </w:tcPr>
          <w:p>
            <w:pPr>
              <w:spacing w:after="0" w:line="240" w:lineRule="auto"/>
            </w:pPr>
            <w:r>
              <w:rPr>
                <w:color w:val="20252B"/>
                <w:sz w:val="15"/>
              </w:rPr>
              <w:t>The funnel is easy to build</w:t>
            </w:r>
          </w:p>
        </w:tc>
        <w:tc>
          <w:tcPr>
            <w:tcW w:type="dxa" w:w="2880"/>
            <w:tcMar>
              <w:top w:w="90" w:type="dxa"/>
              <w:start w:w="110" w:type="dxa"/>
              <w:bottom w:w="90" w:type="dxa"/>
              <w:end w:w="110" w:type="dxa"/>
            </w:tcMar>
            <w:vAlign w:val="center"/>
            <w:shd w:fill="F4F6F8"/>
          </w:tcPr>
          <w:p>
            <w:pPr>
              <w:spacing w:after="0" w:line="240" w:lineRule="auto"/>
            </w:pPr>
            <w:r>
              <w:rPr>
                <w:color w:val="20252B"/>
                <w:sz w:val="15"/>
              </w:rPr>
              <w:t>Low-intent visitors leave without a useful continuation</w:t>
            </w:r>
          </w:p>
        </w:tc>
        <w:tc>
          <w:tcPr>
            <w:tcW w:type="dxa" w:w="2736"/>
            <w:tcMar>
              <w:top w:w="90" w:type="dxa"/>
              <w:start w:w="110" w:type="dxa"/>
              <w:bottom w:w="90" w:type="dxa"/>
              <w:end w:w="110" w:type="dxa"/>
            </w:tcMar>
            <w:vAlign w:val="center"/>
            <w:shd w:fill="F4F6F8"/>
          </w:tcPr>
          <w:p>
            <w:pPr>
              <w:spacing w:after="0" w:line="240" w:lineRule="auto"/>
            </w:pPr>
            <w:r>
              <w:rPr>
                <w:color w:val="20252B"/>
                <w:sz w:val="15"/>
              </w:rPr>
              <w:t>Offer insights, experts, subscriptions, methods, and cases by intent</w:t>
            </w:r>
          </w:p>
        </w:tc>
      </w:tr>
      <w:tr>
        <w:trPr>
          <w:cantSplit/>
        </w:trPr>
        <w:tc>
          <w:tcPr>
            <w:tcW w:type="dxa" w:w="1728"/>
            <w:tcMar>
              <w:top w:w="90" w:type="dxa"/>
              <w:start w:w="110" w:type="dxa"/>
              <w:bottom w:w="90" w:type="dxa"/>
              <w:end w:w="110" w:type="dxa"/>
            </w:tcMar>
            <w:vAlign w:val="center"/>
          </w:tcPr>
          <w:p>
            <w:pPr>
              <w:spacing w:after="0" w:line="240" w:lineRule="auto"/>
            </w:pPr>
            <w:r>
              <w:rPr>
                <w:color w:val="20252B"/>
                <w:sz w:val="15"/>
              </w:rPr>
              <w:t>Hidden desktop navigation</w:t>
            </w:r>
          </w:p>
        </w:tc>
        <w:tc>
          <w:tcPr>
            <w:tcW w:type="dxa" w:w="2448"/>
            <w:tcMar>
              <w:top w:w="90" w:type="dxa"/>
              <w:start w:w="110" w:type="dxa"/>
              <w:bottom w:w="90" w:type="dxa"/>
              <w:end w:w="110" w:type="dxa"/>
            </w:tcMar>
            <w:vAlign w:val="center"/>
          </w:tcPr>
          <w:p>
            <w:pPr>
              <w:spacing w:after="0" w:line="240" w:lineRule="auto"/>
            </w:pPr>
            <w:r>
              <w:rPr>
                <w:color w:val="20252B"/>
                <w:sz w:val="15"/>
              </w:rPr>
              <w:t>It creates a clean aesthetic</w:t>
            </w:r>
          </w:p>
        </w:tc>
        <w:tc>
          <w:tcPr>
            <w:tcW w:type="dxa" w:w="2880"/>
            <w:tcMar>
              <w:top w:w="90" w:type="dxa"/>
              <w:start w:w="110" w:type="dxa"/>
              <w:bottom w:w="90" w:type="dxa"/>
              <w:end w:w="110" w:type="dxa"/>
            </w:tcMar>
            <w:vAlign w:val="center"/>
          </w:tcPr>
          <w:p>
            <w:pPr>
              <w:spacing w:after="0" w:line="240" w:lineRule="auto"/>
            </w:pPr>
            <w:r>
              <w:rPr>
                <w:color w:val="20252B"/>
                <w:sz w:val="15"/>
              </w:rPr>
              <w:t>It hides scope and adds interaction cost</w:t>
            </w:r>
          </w:p>
        </w:tc>
        <w:tc>
          <w:tcPr>
            <w:tcW w:type="dxa" w:w="2736"/>
            <w:tcMar>
              <w:top w:w="90" w:type="dxa"/>
              <w:start w:w="110" w:type="dxa"/>
              <w:bottom w:w="90" w:type="dxa"/>
              <w:end w:w="110" w:type="dxa"/>
            </w:tcMar>
            <w:vAlign w:val="center"/>
          </w:tcPr>
          <w:p>
            <w:pPr>
              <w:spacing w:after="0" w:line="240" w:lineRule="auto"/>
            </w:pPr>
            <w:r>
              <w:rPr>
                <w:color w:val="20252B"/>
                <w:sz w:val="15"/>
              </w:rPr>
              <w:t>Use only when brand recognition and search compensate</w:t>
            </w:r>
          </w:p>
        </w:tc>
      </w:tr>
      <w:tr>
        <w:trPr>
          <w:cantSplit/>
        </w:trPr>
        <w:tc>
          <w:tcPr>
            <w:tcW w:type="dxa" w:w="1728"/>
            <w:tcMar>
              <w:top w:w="90" w:type="dxa"/>
              <w:start w:w="110" w:type="dxa"/>
              <w:bottom w:w="90" w:type="dxa"/>
              <w:end w:w="110" w:type="dxa"/>
            </w:tcMar>
            <w:vAlign w:val="center"/>
            <w:shd w:fill="F4F6F8"/>
          </w:tcPr>
          <w:p>
            <w:pPr>
              <w:spacing w:after="0" w:line="240" w:lineRule="auto"/>
            </w:pPr>
            <w:r>
              <w:rPr>
                <w:color w:val="20252B"/>
                <w:sz w:val="15"/>
              </w:rPr>
              <w:t>Consent takeover</w:t>
            </w:r>
          </w:p>
        </w:tc>
        <w:tc>
          <w:tcPr>
            <w:tcW w:type="dxa" w:w="2448"/>
            <w:tcMar>
              <w:top w:w="90" w:type="dxa"/>
              <w:start w:w="110" w:type="dxa"/>
              <w:bottom w:w="90" w:type="dxa"/>
              <w:end w:w="110" w:type="dxa"/>
            </w:tcMar>
            <w:vAlign w:val="center"/>
            <w:shd w:fill="F4F6F8"/>
          </w:tcPr>
          <w:p>
            <w:pPr>
              <w:spacing w:after="0" w:line="240" w:lineRule="auto"/>
            </w:pPr>
            <w:r>
              <w:rPr>
                <w:color w:val="20252B"/>
                <w:sz w:val="15"/>
              </w:rPr>
              <w:t>Legal and ad-tech requirements are centralized</w:t>
            </w:r>
          </w:p>
        </w:tc>
        <w:tc>
          <w:tcPr>
            <w:tcW w:type="dxa" w:w="2880"/>
            <w:tcMar>
              <w:top w:w="90" w:type="dxa"/>
              <w:start w:w="110" w:type="dxa"/>
              <w:bottom w:w="90" w:type="dxa"/>
              <w:end w:w="110" w:type="dxa"/>
            </w:tcMar>
            <w:vAlign w:val="center"/>
            <w:shd w:fill="F4F6F8"/>
          </w:tcPr>
          <w:p>
            <w:pPr>
              <w:spacing w:after="0" w:line="240" w:lineRule="auto"/>
            </w:pPr>
            <w:r>
              <w:rPr>
                <w:color w:val="20252B"/>
                <w:sz w:val="15"/>
              </w:rPr>
              <w:t>The first experience becomes policy administration</w:t>
            </w:r>
          </w:p>
        </w:tc>
        <w:tc>
          <w:tcPr>
            <w:tcW w:type="dxa" w:w="2736"/>
            <w:tcMar>
              <w:top w:w="90" w:type="dxa"/>
              <w:start w:w="110" w:type="dxa"/>
              <w:bottom w:w="90" w:type="dxa"/>
              <w:end w:w="110" w:type="dxa"/>
            </w:tcMar>
            <w:vAlign w:val="center"/>
            <w:shd w:fill="F4F6F8"/>
          </w:tcPr>
          <w:p>
            <w:pPr>
              <w:spacing w:after="0" w:line="240" w:lineRule="auto"/>
            </w:pPr>
            <w:r>
              <w:rPr>
                <w:color w:val="20252B"/>
                <w:sz w:val="15"/>
              </w:rPr>
              <w:t>Minimize copy, provide equal choices, and preserve page context</w:t>
            </w:r>
          </w:p>
        </w:tc>
      </w:tr>
    </w:tbl>
    <w:p>
      <w:pPr>
        <w:spacing w:after="20"/>
      </w:pPr>
    </w:p>
    <w:p>
      <w:pPr>
        <w:pStyle w:val="Heading2"/>
      </w:pPr>
      <w:r>
        <w:t>The reputation effect</w:t>
      </w:r>
    </w:p>
    <w:p>
      <w:r>
        <w:t>These companies do not begin from a neutral baseline. A visitor may already trust Bain, Deloitte, PwC, or EY before the page loads. That brand equity can make ordinary layouts feel more authoritative and can allow more abstract copy than an unknown firm could use. A fair audit therefore asks whether the page itself creates clarity and confidence, not merely whether the firm is famous.</w:t>
      </w:r>
    </w:p>
    <w:p>
      <w:r>
        <w:t>This distinction changes the comparative reading. Baker Tilly's page is visually polished but would be much less persuasive if the name were unfamiliar. EchoFrame's page must explain more because it cannot rely on decades of recognition. Its greater specificity is therefore not just a copy preference; it is a requirement of its market position.</w:t>
      </w:r>
    </w:p>
    <w:p>
      <w:pPr>
        <w:pStyle w:val="Heading2"/>
      </w:pPr>
      <w:r>
        <w:t>The scale effect</w:t>
      </w:r>
    </w:p>
    <w:p>
      <w:r>
        <w:t>Large firms can maintain thousands of pages because they have dedicated editorial, brand, legal, accessibility, analytics, and technology teams. The visible homepage is supported by governance that a startup cannot rationally duplicate. The lesson to borrow is not the volume. It is the consistency: clear taxonomy, high proof standards, repeatable content types, authorship, dates, related-content logic, and a defined path from expertise to inquiry.</w:t>
      </w:r>
    </w:p>
    <w:p>
      <w:pPr>
        <w:pStyle w:val="Heading1"/>
      </w:pPr>
      <w:r>
        <w:t>EchoFrame Benchmark Appendix</w:t>
      </w:r>
    </w:p>
    <w:p>
      <w:r>
        <w:t>EchoFrame was included as a benchmark, not as the organizing purpose of the comparison. Its score reflects what a first-time visitor can verify on the live public site today, not the quality of work that may exist privately.</w:t>
      </w:r>
    </w:p>
    <w:p>
      <w:pPr>
        <w:pStyle w:val="Heading2"/>
      </w:pPr>
      <w:r>
        <w:t>Where EchoFrame already meets the elite pattern</w:t>
      </w:r>
    </w:p>
    <w:tbl>
      <w:tblPr>
        <w:tblW w:type="auto" w:w="0"/>
        <w:jc w:val="center"/>
        <w:tblLayout w:type="fixed"/>
        <w:tblLook w:firstColumn="1" w:firstRow="1" w:lastColumn="0" w:lastRow="0" w:noHBand="0" w:noVBand="1" w:val="04A0"/>
        <w:tblBorders>
          <w:top w:val="single" w:sz="5" w:color="D9DDE2"/>
          <w:left w:val="single" w:sz="5" w:color="D9DDE2"/>
          <w:bottom w:val="single" w:sz="5" w:color="D9DDE2"/>
          <w:right w:val="single" w:sz="5" w:color="D9DDE2"/>
          <w:insideH w:val="single" w:sz="5" w:color="D9DDE2"/>
          <w:insideV w:val="single" w:sz="5" w:color="D9DDE2"/>
        </w:tblBorders>
      </w:tblPr>
      <w:tblGrid>
        <w:gridCol w:w="3331"/>
        <w:gridCol w:w="3331"/>
        <w:gridCol w:w="3331"/>
      </w:tblGrid>
      <w:tr>
        <w:trPr>
          <w:tblHeader w:val="true"/>
          <w:cantSplit/>
        </w:trPr>
        <w:tc>
          <w:tcPr>
            <w:tcW w:type="dxa" w:w="3331"/>
            <w:shd w:fill="0B1F33"/>
            <w:tcMar>
              <w:top w:w="90" w:type="dxa"/>
              <w:start w:w="110" w:type="dxa"/>
              <w:bottom w:w="90" w:type="dxa"/>
              <w:end w:w="110" w:type="dxa"/>
            </w:tcMar>
            <w:vAlign w:val="center"/>
          </w:tcPr>
          <w:p>
            <w:pPr>
              <w:spacing w:after="0"/>
              <w:jc w:val="center"/>
            </w:pPr>
            <w:r>
              <w:rPr>
                <w:b/>
                <w:color w:val="FFFFFF"/>
                <w:sz w:val="16"/>
              </w:rPr>
              <w:t>Elite pattern</w:t>
            </w:r>
          </w:p>
        </w:tc>
        <w:tc>
          <w:tcPr>
            <w:tcW w:type="dxa" w:w="3331"/>
            <w:shd w:fill="0B1F33"/>
            <w:tcMar>
              <w:top w:w="90" w:type="dxa"/>
              <w:start w:w="110" w:type="dxa"/>
              <w:bottom w:w="90" w:type="dxa"/>
              <w:end w:w="110" w:type="dxa"/>
            </w:tcMar>
            <w:vAlign w:val="center"/>
          </w:tcPr>
          <w:p>
            <w:pPr>
              <w:spacing w:after="0"/>
              <w:jc w:val="center"/>
            </w:pPr>
            <w:r>
              <w:rPr>
                <w:b/>
                <w:color w:val="FFFFFF"/>
                <w:sz w:val="16"/>
              </w:rPr>
              <w:t>EchoFrame expression</w:t>
            </w:r>
          </w:p>
        </w:tc>
        <w:tc>
          <w:tcPr>
            <w:tcW w:type="dxa" w:w="3331"/>
            <w:shd w:fill="0B1F33"/>
            <w:tcMar>
              <w:top w:w="90" w:type="dxa"/>
              <w:start w:w="110" w:type="dxa"/>
              <w:bottom w:w="90" w:type="dxa"/>
              <w:end w:w="110" w:type="dxa"/>
            </w:tcMar>
            <w:vAlign w:val="center"/>
          </w:tcPr>
          <w:p>
            <w:pPr>
              <w:spacing w:after="0"/>
              <w:jc w:val="center"/>
            </w:pPr>
            <w:r>
              <w:rPr>
                <w:b/>
                <w:color w:val="FFFFFF"/>
                <w:sz w:val="16"/>
              </w:rPr>
              <w:t>Assessment</w:t>
            </w:r>
          </w:p>
        </w:tc>
      </w:tr>
      <w:tr>
        <w:trPr>
          <w:cantSplit/>
        </w:trPr>
        <w:tc>
          <w:tcPr>
            <w:tcW w:type="dxa" w:w="1944"/>
            <w:tcMar>
              <w:top w:w="90" w:type="dxa"/>
              <w:start w:w="110" w:type="dxa"/>
              <w:bottom w:w="90" w:type="dxa"/>
              <w:end w:w="110" w:type="dxa"/>
            </w:tcMar>
            <w:vAlign w:val="center"/>
          </w:tcPr>
          <w:p>
            <w:pPr>
              <w:spacing w:after="0" w:line="240" w:lineRule="auto"/>
            </w:pPr>
            <w:r>
              <w:rPr>
                <w:color w:val="20252B"/>
                <w:sz w:val="16"/>
              </w:rPr>
              <w:t>Specific opening idea</w:t>
            </w:r>
          </w:p>
        </w:tc>
        <w:tc>
          <w:tcPr>
            <w:tcW w:type="dxa" w:w="3816"/>
            <w:tcMar>
              <w:top w:w="90" w:type="dxa"/>
              <w:start w:w="110" w:type="dxa"/>
              <w:bottom w:w="90" w:type="dxa"/>
              <w:end w:w="110" w:type="dxa"/>
            </w:tcMar>
            <w:vAlign w:val="center"/>
          </w:tcPr>
          <w:p>
            <w:pPr>
              <w:spacing w:after="0" w:line="240" w:lineRule="auto"/>
            </w:pPr>
            <w:r>
              <w:rPr>
                <w:color w:val="20252B"/>
                <w:sz w:val="16"/>
              </w:rPr>
              <w:t>Five hours of reconciliation reduced to zero</w:t>
            </w:r>
          </w:p>
        </w:tc>
        <w:tc>
          <w:tcPr>
            <w:tcW w:type="dxa" w:w="3888"/>
            <w:tcMar>
              <w:top w:w="90" w:type="dxa"/>
              <w:start w:w="110" w:type="dxa"/>
              <w:bottom w:w="90" w:type="dxa"/>
              <w:end w:w="110" w:type="dxa"/>
            </w:tcMar>
            <w:vAlign w:val="center"/>
          </w:tcPr>
          <w:p>
            <w:pPr>
              <w:spacing w:after="0" w:line="240" w:lineRule="auto"/>
            </w:pPr>
            <w:r>
              <w:rPr>
                <w:color w:val="20252B"/>
                <w:sz w:val="16"/>
              </w:rPr>
              <w:t>Stronger and more commercially concrete than most enterprise heroes</w:t>
            </w:r>
          </w:p>
        </w:tc>
      </w:tr>
      <w:tr>
        <w:trPr>
          <w:cantSplit/>
        </w:trPr>
        <w:tc>
          <w:tcPr>
            <w:tcW w:type="dxa" w:w="1944"/>
            <w:tcMar>
              <w:top w:w="90" w:type="dxa"/>
              <w:start w:w="110" w:type="dxa"/>
              <w:bottom w:w="90" w:type="dxa"/>
              <w:end w:w="110" w:type="dxa"/>
            </w:tcMar>
            <w:vAlign w:val="center"/>
            <w:shd w:fill="F4F6F8"/>
          </w:tcPr>
          <w:p>
            <w:pPr>
              <w:spacing w:after="0" w:line="240" w:lineRule="auto"/>
            </w:pPr>
            <w:r>
              <w:rPr>
                <w:color w:val="20252B"/>
                <w:sz w:val="16"/>
              </w:rPr>
              <w:t>Point of view</w:t>
            </w:r>
          </w:p>
        </w:tc>
        <w:tc>
          <w:tcPr>
            <w:tcW w:type="dxa" w:w="3816"/>
            <w:tcMar>
              <w:top w:w="90" w:type="dxa"/>
              <w:start w:w="110" w:type="dxa"/>
              <w:bottom w:w="90" w:type="dxa"/>
              <w:end w:w="110" w:type="dxa"/>
            </w:tcMar>
            <w:vAlign w:val="center"/>
            <w:shd w:fill="F4F6F8"/>
          </w:tcPr>
          <w:p>
            <w:pPr>
              <w:spacing w:after="0" w:line="240" w:lineRule="auto"/>
            </w:pPr>
            <w:r>
              <w:rPr>
                <w:color w:val="20252B"/>
                <w:sz w:val="16"/>
              </w:rPr>
              <w:t>Architectural restraint before more platform</w:t>
            </w:r>
          </w:p>
        </w:tc>
        <w:tc>
          <w:tcPr>
            <w:tcW w:type="dxa" w:w="3888"/>
            <w:tcMar>
              <w:top w:w="90" w:type="dxa"/>
              <w:start w:w="110" w:type="dxa"/>
              <w:bottom w:w="90" w:type="dxa"/>
              <w:end w:w="110" w:type="dxa"/>
            </w:tcMar>
            <w:vAlign w:val="center"/>
            <w:shd w:fill="F4F6F8"/>
          </w:tcPr>
          <w:p>
            <w:pPr>
              <w:spacing w:after="0" w:line="240" w:lineRule="auto"/>
            </w:pPr>
            <w:r>
              <w:rPr>
                <w:color w:val="20252B"/>
                <w:sz w:val="16"/>
              </w:rPr>
              <w:t>Distinctive and strategically useful</w:t>
            </w:r>
          </w:p>
        </w:tc>
      </w:tr>
      <w:tr>
        <w:trPr>
          <w:cantSplit/>
        </w:trPr>
        <w:tc>
          <w:tcPr>
            <w:tcW w:type="dxa" w:w="1944"/>
            <w:tcMar>
              <w:top w:w="90" w:type="dxa"/>
              <w:start w:w="110" w:type="dxa"/>
              <w:bottom w:w="90" w:type="dxa"/>
              <w:end w:w="110" w:type="dxa"/>
            </w:tcMar>
            <w:vAlign w:val="center"/>
          </w:tcPr>
          <w:p>
            <w:pPr>
              <w:spacing w:after="0" w:line="240" w:lineRule="auto"/>
            </w:pPr>
            <w:r>
              <w:rPr>
                <w:color w:val="20252B"/>
                <w:sz w:val="16"/>
              </w:rPr>
              <w:t>Guided relevance</w:t>
            </w:r>
          </w:p>
        </w:tc>
        <w:tc>
          <w:tcPr>
            <w:tcW w:type="dxa" w:w="3816"/>
            <w:tcMar>
              <w:top w:w="90" w:type="dxa"/>
              <w:start w:w="110" w:type="dxa"/>
              <w:bottom w:w="90" w:type="dxa"/>
              <w:end w:w="110" w:type="dxa"/>
            </w:tcMar>
            <w:vAlign w:val="center"/>
          </w:tcPr>
          <w:p>
            <w:pPr>
              <w:spacing w:after="0" w:line="240" w:lineRule="auto"/>
            </w:pPr>
            <w:r>
              <w:rPr>
                <w:color w:val="20252B"/>
                <w:sz w:val="16"/>
              </w:rPr>
              <w:t>Industry-choice interaction</w:t>
            </w:r>
          </w:p>
        </w:tc>
        <w:tc>
          <w:tcPr>
            <w:tcW w:type="dxa" w:w="3888"/>
            <w:tcMar>
              <w:top w:w="90" w:type="dxa"/>
              <w:start w:w="110" w:type="dxa"/>
              <w:bottom w:w="90" w:type="dxa"/>
              <w:end w:w="110" w:type="dxa"/>
            </w:tcMar>
            <w:vAlign w:val="center"/>
          </w:tcPr>
          <w:p>
            <w:pPr>
              <w:spacing w:after="0" w:line="240" w:lineRule="auto"/>
            </w:pPr>
            <w:r>
              <w:rPr>
                <w:color w:val="20252B"/>
                <w:sz w:val="16"/>
              </w:rPr>
              <w:t>Appropriate adaptation of Bain's visitor-guidance logic</w:t>
            </w:r>
          </w:p>
        </w:tc>
      </w:tr>
      <w:tr>
        <w:trPr>
          <w:cantSplit/>
        </w:trPr>
        <w:tc>
          <w:tcPr>
            <w:tcW w:type="dxa" w:w="1944"/>
            <w:tcMar>
              <w:top w:w="90" w:type="dxa"/>
              <w:start w:w="110" w:type="dxa"/>
              <w:bottom w:w="90" w:type="dxa"/>
              <w:end w:w="110" w:type="dxa"/>
            </w:tcMar>
            <w:vAlign w:val="center"/>
            <w:shd w:fill="F4F6F8"/>
          </w:tcPr>
          <w:p>
            <w:pPr>
              <w:spacing w:after="0" w:line="240" w:lineRule="auto"/>
            </w:pPr>
            <w:r>
              <w:rPr>
                <w:color w:val="20252B"/>
                <w:sz w:val="16"/>
              </w:rPr>
              <w:t>Proprietary method</w:t>
            </w:r>
          </w:p>
        </w:tc>
        <w:tc>
          <w:tcPr>
            <w:tcW w:type="dxa" w:w="3816"/>
            <w:tcMar>
              <w:top w:w="90" w:type="dxa"/>
              <w:start w:w="110" w:type="dxa"/>
              <w:bottom w:w="90" w:type="dxa"/>
              <w:end w:w="110" w:type="dxa"/>
            </w:tcMar>
            <w:vAlign w:val="center"/>
            <w:shd w:fill="F4F6F8"/>
          </w:tcPr>
          <w:p>
            <w:pPr>
              <w:spacing w:after="0" w:line="240" w:lineRule="auto"/>
              <w:jc w:val="center"/>
            </w:pPr>
            <w:r>
              <w:rPr>
                <w:color w:val="20252B"/>
                <w:sz w:val="16"/>
              </w:rPr>
              <w:t>OWNED Method</w:t>
            </w:r>
          </w:p>
        </w:tc>
        <w:tc>
          <w:tcPr>
            <w:tcW w:type="dxa" w:w="3888"/>
            <w:tcMar>
              <w:top w:w="90" w:type="dxa"/>
              <w:start w:w="110" w:type="dxa"/>
              <w:bottom w:w="90" w:type="dxa"/>
              <w:end w:w="110" w:type="dxa"/>
            </w:tcMar>
            <w:vAlign w:val="center"/>
            <w:shd w:fill="F4F6F8"/>
          </w:tcPr>
          <w:p>
            <w:pPr>
              <w:spacing w:after="0" w:line="240" w:lineRule="auto"/>
            </w:pPr>
            <w:r>
              <w:rPr>
                <w:color w:val="20252B"/>
                <w:sz w:val="16"/>
              </w:rPr>
              <w:t>Memorable, but needs evidence that each stage produces a distinct deliverable</w:t>
            </w:r>
          </w:p>
        </w:tc>
      </w:tr>
      <w:tr>
        <w:trPr>
          <w:cantSplit/>
        </w:trPr>
        <w:tc>
          <w:tcPr>
            <w:tcW w:type="dxa" w:w="1944"/>
            <w:tcMar>
              <w:top w:w="90" w:type="dxa"/>
              <w:start w:w="110" w:type="dxa"/>
              <w:bottom w:w="90" w:type="dxa"/>
              <w:end w:w="110" w:type="dxa"/>
            </w:tcMar>
            <w:vAlign w:val="center"/>
          </w:tcPr>
          <w:p>
            <w:pPr>
              <w:spacing w:after="0" w:line="240" w:lineRule="auto"/>
            </w:pPr>
            <w:r>
              <w:rPr>
                <w:color w:val="20252B"/>
                <w:sz w:val="16"/>
              </w:rPr>
              <w:t>Clear operating model</w:t>
            </w:r>
          </w:p>
        </w:tc>
        <w:tc>
          <w:tcPr>
            <w:tcW w:type="dxa" w:w="3816"/>
            <w:tcMar>
              <w:top w:w="90" w:type="dxa"/>
              <w:start w:w="110" w:type="dxa"/>
              <w:bottom w:w="90" w:type="dxa"/>
              <w:end w:w="110" w:type="dxa"/>
            </w:tcMar>
            <w:vAlign w:val="center"/>
          </w:tcPr>
          <w:p>
            <w:pPr>
              <w:spacing w:after="0" w:line="240" w:lineRule="auto"/>
            </w:pPr>
            <w:r>
              <w:rPr>
                <w:color w:val="20252B"/>
                <w:sz w:val="16"/>
              </w:rPr>
              <w:t>Consulting, implementation, training, and hourly pricing</w:t>
            </w:r>
          </w:p>
        </w:tc>
        <w:tc>
          <w:tcPr>
            <w:tcW w:type="dxa" w:w="3888"/>
            <w:tcMar>
              <w:top w:w="90" w:type="dxa"/>
              <w:start w:w="110" w:type="dxa"/>
              <w:bottom w:w="90" w:type="dxa"/>
              <w:end w:w="110" w:type="dxa"/>
            </w:tcMar>
            <w:vAlign w:val="center"/>
          </w:tcPr>
          <w:p>
            <w:pPr>
              <w:spacing w:after="0" w:line="240" w:lineRule="auto"/>
            </w:pPr>
            <w:r>
              <w:rPr>
                <w:color w:val="20252B"/>
                <w:sz w:val="16"/>
              </w:rPr>
              <w:t>Highly transparent and easy to understand</w:t>
            </w:r>
          </w:p>
        </w:tc>
      </w:tr>
      <w:tr>
        <w:trPr>
          <w:cantSplit/>
        </w:trPr>
        <w:tc>
          <w:tcPr>
            <w:tcW w:type="dxa" w:w="1944"/>
            <w:tcMar>
              <w:top w:w="90" w:type="dxa"/>
              <w:start w:w="110" w:type="dxa"/>
              <w:bottom w:w="90" w:type="dxa"/>
              <w:end w:w="110" w:type="dxa"/>
            </w:tcMar>
            <w:vAlign w:val="center"/>
            <w:shd w:fill="F4F6F8"/>
          </w:tcPr>
          <w:p>
            <w:pPr>
              <w:spacing w:after="0" w:line="240" w:lineRule="auto"/>
            </w:pPr>
            <w:r>
              <w:rPr>
                <w:color w:val="20252B"/>
                <w:sz w:val="16"/>
              </w:rPr>
              <w:t>Intentional visual code</w:t>
            </w:r>
          </w:p>
        </w:tc>
        <w:tc>
          <w:tcPr>
            <w:tcW w:type="dxa" w:w="3816"/>
            <w:tcMar>
              <w:top w:w="90" w:type="dxa"/>
              <w:start w:w="110" w:type="dxa"/>
              <w:bottom w:w="90" w:type="dxa"/>
              <w:end w:w="110" w:type="dxa"/>
            </w:tcMar>
            <w:vAlign w:val="center"/>
            <w:shd w:fill="F4F6F8"/>
          </w:tcPr>
          <w:p>
            <w:pPr>
              <w:spacing w:after="0" w:line="240" w:lineRule="auto"/>
            </w:pPr>
            <w:r>
              <w:rPr>
                <w:color w:val="20252B"/>
                <w:sz w:val="16"/>
              </w:rPr>
              <w:t>Navy, black and white, architecture, serif display type</w:t>
            </w:r>
          </w:p>
        </w:tc>
        <w:tc>
          <w:tcPr>
            <w:tcW w:type="dxa" w:w="3888"/>
            <w:tcMar>
              <w:top w:w="90" w:type="dxa"/>
              <w:start w:w="110" w:type="dxa"/>
              <w:bottom w:w="90" w:type="dxa"/>
              <w:end w:w="110" w:type="dxa"/>
            </w:tcMar>
            <w:vAlign w:val="center"/>
            <w:shd w:fill="F4F6F8"/>
          </w:tcPr>
          <w:p>
            <w:pPr>
              <w:spacing w:after="0" w:line="240" w:lineRule="auto"/>
            </w:pPr>
            <w:r>
              <w:rPr>
                <w:color w:val="20252B"/>
                <w:sz w:val="16"/>
              </w:rPr>
              <w:t>Professional, coherent, and more differentiated than typical startup AI sites</w:t>
            </w:r>
          </w:p>
        </w:tc>
      </w:tr>
    </w:tbl>
    <w:p>
      <w:pPr>
        <w:spacing w:after="20"/>
      </w:pPr>
    </w:p>
    <w:p>
      <w:pPr>
        <w:pStyle w:val="Heading2"/>
      </w:pPr>
      <w:r>
        <w:t>Where the benchmark gap remains</w:t>
      </w:r>
    </w:p>
    <w:tbl>
      <w:tblPr>
        <w:tblW w:type="auto" w:w="0"/>
        <w:jc w:val="center"/>
        <w:tblLayout w:type="fixed"/>
        <w:tblLook w:firstColumn="1" w:firstRow="1" w:lastColumn="0" w:lastRow="0" w:noHBand="0" w:noVBand="1" w:val="04A0"/>
        <w:tblBorders>
          <w:top w:val="single" w:sz="5" w:color="D9DDE2"/>
          <w:left w:val="single" w:sz="5" w:color="D9DDE2"/>
          <w:bottom w:val="single" w:sz="5" w:color="D9DDE2"/>
          <w:right w:val="single" w:sz="5" w:color="D9DDE2"/>
          <w:insideH w:val="single" w:sz="5" w:color="D9DDE2"/>
          <w:insideV w:val="single" w:sz="5" w:color="D9DDE2"/>
        </w:tblBorders>
      </w:tblPr>
      <w:tblGrid>
        <w:gridCol w:w="3331"/>
        <w:gridCol w:w="3331"/>
        <w:gridCol w:w="3331"/>
      </w:tblGrid>
      <w:tr>
        <w:trPr>
          <w:tblHeader w:val="true"/>
          <w:cantSplit/>
        </w:trPr>
        <w:tc>
          <w:tcPr>
            <w:tcW w:type="dxa" w:w="3331"/>
            <w:shd w:fill="0B1F33"/>
            <w:tcMar>
              <w:top w:w="90" w:type="dxa"/>
              <w:start w:w="110" w:type="dxa"/>
              <w:bottom w:w="90" w:type="dxa"/>
              <w:end w:w="110" w:type="dxa"/>
            </w:tcMar>
            <w:vAlign w:val="center"/>
          </w:tcPr>
          <w:p>
            <w:pPr>
              <w:spacing w:after="0"/>
              <w:jc w:val="center"/>
            </w:pPr>
            <w:r>
              <w:rPr>
                <w:b/>
                <w:color w:val="FFFFFF"/>
                <w:sz w:val="16"/>
              </w:rPr>
              <w:t>Gap</w:t>
            </w:r>
          </w:p>
        </w:tc>
        <w:tc>
          <w:tcPr>
            <w:tcW w:type="dxa" w:w="3331"/>
            <w:shd w:fill="0B1F33"/>
            <w:tcMar>
              <w:top w:w="90" w:type="dxa"/>
              <w:start w:w="110" w:type="dxa"/>
              <w:bottom w:w="90" w:type="dxa"/>
              <w:end w:w="110" w:type="dxa"/>
            </w:tcMar>
            <w:vAlign w:val="center"/>
          </w:tcPr>
          <w:p>
            <w:pPr>
              <w:spacing w:after="0"/>
              <w:jc w:val="center"/>
            </w:pPr>
            <w:r>
              <w:rPr>
                <w:b/>
                <w:color w:val="FFFFFF"/>
                <w:sz w:val="16"/>
              </w:rPr>
              <w:t>Why it matters</w:t>
            </w:r>
          </w:p>
        </w:tc>
        <w:tc>
          <w:tcPr>
            <w:tcW w:type="dxa" w:w="3331"/>
            <w:shd w:fill="0B1F33"/>
            <w:tcMar>
              <w:top w:w="90" w:type="dxa"/>
              <w:start w:w="110" w:type="dxa"/>
              <w:bottom w:w="90" w:type="dxa"/>
              <w:end w:w="110" w:type="dxa"/>
            </w:tcMar>
            <w:vAlign w:val="center"/>
          </w:tcPr>
          <w:p>
            <w:pPr>
              <w:spacing w:after="0"/>
              <w:jc w:val="center"/>
            </w:pPr>
            <w:r>
              <w:rPr>
                <w:b/>
                <w:color w:val="FFFFFF"/>
                <w:sz w:val="16"/>
              </w:rPr>
              <w:t>Evidence threshold for elite status</w:t>
            </w:r>
          </w:p>
        </w:tc>
      </w:tr>
      <w:tr>
        <w:trPr>
          <w:cantSplit/>
        </w:trPr>
        <w:tc>
          <w:tcPr>
            <w:tcW w:type="dxa" w:w="1872"/>
            <w:tcMar>
              <w:top w:w="90" w:type="dxa"/>
              <w:start w:w="110" w:type="dxa"/>
              <w:bottom w:w="90" w:type="dxa"/>
              <w:end w:w="110" w:type="dxa"/>
            </w:tcMar>
            <w:vAlign w:val="center"/>
          </w:tcPr>
          <w:p>
            <w:pPr>
              <w:spacing w:after="0" w:line="240" w:lineRule="auto"/>
            </w:pPr>
            <w:r>
              <w:rPr>
                <w:color w:val="20252B"/>
                <w:sz w:val="16"/>
              </w:rPr>
              <w:t>Case depth</w:t>
            </w:r>
          </w:p>
        </w:tc>
        <w:tc>
          <w:tcPr>
            <w:tcW w:type="dxa" w:w="3528"/>
            <w:tcMar>
              <w:top w:w="90" w:type="dxa"/>
              <w:start w:w="110" w:type="dxa"/>
              <w:bottom w:w="90" w:type="dxa"/>
              <w:end w:w="110" w:type="dxa"/>
            </w:tcMar>
            <w:vAlign w:val="center"/>
          </w:tcPr>
          <w:p>
            <w:pPr>
              <w:spacing w:after="0" w:line="240" w:lineRule="auto"/>
            </w:pPr>
            <w:r>
              <w:rPr>
                <w:color w:val="20252B"/>
                <w:sz w:val="16"/>
              </w:rPr>
              <w:t>One claim can look exceptional or anecdotal</w:t>
            </w:r>
          </w:p>
        </w:tc>
        <w:tc>
          <w:tcPr>
            <w:tcW w:type="dxa" w:w="4248"/>
            <w:tcMar>
              <w:top w:w="90" w:type="dxa"/>
              <w:start w:w="110" w:type="dxa"/>
              <w:bottom w:w="90" w:type="dxa"/>
              <w:end w:w="110" w:type="dxa"/>
            </w:tcMar>
            <w:vAlign w:val="center"/>
          </w:tcPr>
          <w:p>
            <w:pPr>
              <w:spacing w:after="0" w:line="240" w:lineRule="auto"/>
            </w:pPr>
            <w:r>
              <w:rPr>
                <w:color w:val="20252B"/>
                <w:sz w:val="16"/>
              </w:rPr>
              <w:t>Several cases with baseline, scope, intervention, measurement period, limitations, and client validation</w:t>
            </w:r>
          </w:p>
        </w:tc>
      </w:tr>
      <w:tr>
        <w:trPr>
          <w:cantSplit/>
        </w:trPr>
        <w:tc>
          <w:tcPr>
            <w:tcW w:type="dxa" w:w="1872"/>
            <w:tcMar>
              <w:top w:w="90" w:type="dxa"/>
              <w:start w:w="110" w:type="dxa"/>
              <w:bottom w:w="90" w:type="dxa"/>
              <w:end w:w="110" w:type="dxa"/>
            </w:tcMar>
            <w:vAlign w:val="center"/>
            <w:shd w:fill="F4F6F8"/>
          </w:tcPr>
          <w:p>
            <w:pPr>
              <w:spacing w:after="0" w:line="240" w:lineRule="auto"/>
            </w:pPr>
            <w:r>
              <w:rPr>
                <w:color w:val="20252B"/>
                <w:sz w:val="16"/>
              </w:rPr>
              <w:t>Independent trust</w:t>
            </w:r>
          </w:p>
        </w:tc>
        <w:tc>
          <w:tcPr>
            <w:tcW w:type="dxa" w:w="3528"/>
            <w:tcMar>
              <w:top w:w="90" w:type="dxa"/>
              <w:start w:w="110" w:type="dxa"/>
              <w:bottom w:w="90" w:type="dxa"/>
              <w:end w:w="110" w:type="dxa"/>
            </w:tcMar>
            <w:vAlign w:val="center"/>
            <w:shd w:fill="F4F6F8"/>
          </w:tcPr>
          <w:p>
            <w:pPr>
              <w:spacing w:after="0" w:line="240" w:lineRule="auto"/>
            </w:pPr>
            <w:r>
              <w:rPr>
                <w:color w:val="20252B"/>
                <w:sz w:val="16"/>
              </w:rPr>
              <w:t>Self-authored claims carry limited external weight</w:t>
            </w:r>
          </w:p>
        </w:tc>
        <w:tc>
          <w:tcPr>
            <w:tcW w:type="dxa" w:w="4248"/>
            <w:tcMar>
              <w:top w:w="90" w:type="dxa"/>
              <w:start w:w="110" w:type="dxa"/>
              <w:bottom w:w="90" w:type="dxa"/>
              <w:end w:w="110" w:type="dxa"/>
            </w:tcMar>
            <w:vAlign w:val="center"/>
            <w:shd w:fill="F4F6F8"/>
          </w:tcPr>
          <w:p>
            <w:pPr>
              <w:spacing w:after="0" w:line="240" w:lineRule="auto"/>
            </w:pPr>
            <w:r>
              <w:rPr>
                <w:color w:val="20252B"/>
                <w:sz w:val="16"/>
              </w:rPr>
              <w:t>Named references, testimonials, permissions, partner credentials, or third-party recognition</w:t>
            </w:r>
          </w:p>
        </w:tc>
      </w:tr>
      <w:tr>
        <w:trPr>
          <w:cantSplit/>
        </w:trPr>
        <w:tc>
          <w:tcPr>
            <w:tcW w:type="dxa" w:w="1872"/>
            <w:tcMar>
              <w:top w:w="90" w:type="dxa"/>
              <w:start w:w="110" w:type="dxa"/>
              <w:bottom w:w="90" w:type="dxa"/>
              <w:end w:w="110" w:type="dxa"/>
            </w:tcMar>
            <w:vAlign w:val="center"/>
          </w:tcPr>
          <w:p>
            <w:pPr>
              <w:spacing w:after="0" w:line="240" w:lineRule="auto"/>
            </w:pPr>
            <w:r>
              <w:rPr>
                <w:color w:val="20252B"/>
                <w:sz w:val="16"/>
              </w:rPr>
              <w:t>Expert authority</w:t>
            </w:r>
          </w:p>
        </w:tc>
        <w:tc>
          <w:tcPr>
            <w:tcW w:type="dxa" w:w="3528"/>
            <w:tcMar>
              <w:top w:w="90" w:type="dxa"/>
              <w:start w:w="110" w:type="dxa"/>
              <w:bottom w:w="90" w:type="dxa"/>
              <w:end w:w="110" w:type="dxa"/>
            </w:tcMar>
            <w:vAlign w:val="center"/>
          </w:tcPr>
          <w:p>
            <w:pPr>
              <w:spacing w:after="0" w:line="240" w:lineRule="auto"/>
            </w:pPr>
            <w:r>
              <w:rPr>
                <w:color w:val="20252B"/>
                <w:sz w:val="16"/>
              </w:rPr>
              <w:t>Buyers are hiring judgment, not only a method</w:t>
            </w:r>
          </w:p>
        </w:tc>
        <w:tc>
          <w:tcPr>
            <w:tcW w:type="dxa" w:w="4248"/>
            <w:tcMar>
              <w:top w:w="90" w:type="dxa"/>
              <w:start w:w="110" w:type="dxa"/>
              <w:bottom w:w="90" w:type="dxa"/>
              <w:end w:w="110" w:type="dxa"/>
            </w:tcMar>
            <w:vAlign w:val="center"/>
          </w:tcPr>
          <w:p>
            <w:pPr>
              <w:spacing w:after="0" w:line="240" w:lineRule="auto"/>
            </w:pPr>
            <w:r>
              <w:rPr>
                <w:color w:val="20252B"/>
                <w:sz w:val="16"/>
              </w:rPr>
              <w:t>Founder profile with relevant experience, authored analysis, and a clear accountability position</w:t>
            </w:r>
          </w:p>
        </w:tc>
      </w:tr>
      <w:tr>
        <w:trPr>
          <w:cantSplit/>
        </w:trPr>
        <w:tc>
          <w:tcPr>
            <w:tcW w:type="dxa" w:w="1872"/>
            <w:tcMar>
              <w:top w:w="90" w:type="dxa"/>
              <w:start w:w="110" w:type="dxa"/>
              <w:bottom w:w="90" w:type="dxa"/>
              <w:end w:w="110" w:type="dxa"/>
            </w:tcMar>
            <w:vAlign w:val="center"/>
            <w:shd w:fill="F4F6F8"/>
          </w:tcPr>
          <w:p>
            <w:pPr>
              <w:spacing w:after="0" w:line="240" w:lineRule="auto"/>
            </w:pPr>
            <w:r>
              <w:rPr>
                <w:color w:val="20252B"/>
                <w:sz w:val="16"/>
              </w:rPr>
              <w:t>Editorial cadence</w:t>
            </w:r>
          </w:p>
        </w:tc>
        <w:tc>
          <w:tcPr>
            <w:tcW w:type="dxa" w:w="3528"/>
            <w:tcMar>
              <w:top w:w="90" w:type="dxa"/>
              <w:start w:w="110" w:type="dxa"/>
              <w:bottom w:w="90" w:type="dxa"/>
              <w:end w:w="110" w:type="dxa"/>
            </w:tcMar>
            <w:vAlign w:val="center"/>
            <w:shd w:fill="F4F6F8"/>
          </w:tcPr>
          <w:p>
            <w:pPr>
              <w:spacing w:after="0" w:line="240" w:lineRule="auto"/>
            </w:pPr>
            <w:r>
              <w:rPr>
                <w:color w:val="20252B"/>
                <w:sz w:val="16"/>
              </w:rPr>
              <w:t>Current ideas signal continuing competence</w:t>
            </w:r>
          </w:p>
        </w:tc>
        <w:tc>
          <w:tcPr>
            <w:tcW w:type="dxa" w:w="4248"/>
            <w:tcMar>
              <w:top w:w="90" w:type="dxa"/>
              <w:start w:w="110" w:type="dxa"/>
              <w:bottom w:w="90" w:type="dxa"/>
              <w:end w:w="110" w:type="dxa"/>
            </w:tcMar>
            <w:vAlign w:val="center"/>
            <w:shd w:fill="F4F6F8"/>
          </w:tcPr>
          <w:p>
            <w:pPr>
              <w:spacing w:after="0" w:line="240" w:lineRule="auto"/>
            </w:pPr>
            <w:r>
              <w:rPr>
                <w:color w:val="20252B"/>
                <w:sz w:val="16"/>
              </w:rPr>
              <w:t>A small, high-quality insight library with dates, evidence, and consistent themes</w:t>
            </w:r>
          </w:p>
        </w:tc>
      </w:tr>
      <w:tr>
        <w:trPr>
          <w:cantSplit/>
        </w:trPr>
        <w:tc>
          <w:tcPr>
            <w:tcW w:type="dxa" w:w="1872"/>
            <w:tcMar>
              <w:top w:w="90" w:type="dxa"/>
              <w:start w:w="110" w:type="dxa"/>
              <w:bottom w:w="90" w:type="dxa"/>
              <w:end w:w="110" w:type="dxa"/>
            </w:tcMar>
            <w:vAlign w:val="center"/>
          </w:tcPr>
          <w:p>
            <w:pPr>
              <w:spacing w:after="0" w:line="240" w:lineRule="auto"/>
            </w:pPr>
            <w:r>
              <w:rPr>
                <w:color w:val="20252B"/>
                <w:sz w:val="16"/>
              </w:rPr>
              <w:t>Geographic coherence</w:t>
            </w:r>
          </w:p>
        </w:tc>
        <w:tc>
          <w:tcPr>
            <w:tcW w:type="dxa" w:w="3528"/>
            <w:tcMar>
              <w:top w:w="90" w:type="dxa"/>
              <w:start w:w="110" w:type="dxa"/>
              <w:bottom w:w="90" w:type="dxa"/>
              <w:end w:w="110" w:type="dxa"/>
            </w:tcMar>
            <w:vAlign w:val="center"/>
          </w:tcPr>
          <w:p>
            <w:pPr>
              <w:spacing w:after="0" w:line="240" w:lineRule="auto"/>
            </w:pPr>
            <w:r>
              <w:rPr>
                <w:color w:val="20252B"/>
                <w:sz w:val="16"/>
              </w:rPr>
              <w:t>Northeast focus plus Georgia address can create questions</w:t>
            </w:r>
          </w:p>
        </w:tc>
        <w:tc>
          <w:tcPr>
            <w:tcW w:type="dxa" w:w="4248"/>
            <w:tcMar>
              <w:top w:w="90" w:type="dxa"/>
              <w:start w:w="110" w:type="dxa"/>
              <w:bottom w:w="90" w:type="dxa"/>
              <w:end w:w="110" w:type="dxa"/>
            </w:tcMar>
            <w:vAlign w:val="center"/>
          </w:tcPr>
          <w:p>
            <w:pPr>
              <w:spacing w:after="0" w:line="240" w:lineRule="auto"/>
            </w:pPr>
            <w:r>
              <w:rPr>
                <w:color w:val="20252B"/>
                <w:sz w:val="16"/>
              </w:rPr>
              <w:t>Plain explanation of remote delivery, travel model, and target geography</w:t>
            </w:r>
          </w:p>
        </w:tc>
      </w:tr>
      <w:tr>
        <w:trPr>
          <w:cantSplit/>
        </w:trPr>
        <w:tc>
          <w:tcPr>
            <w:tcW w:type="dxa" w:w="1872"/>
            <w:tcMar>
              <w:top w:w="90" w:type="dxa"/>
              <w:start w:w="110" w:type="dxa"/>
              <w:bottom w:w="90" w:type="dxa"/>
              <w:end w:w="110" w:type="dxa"/>
            </w:tcMar>
            <w:vAlign w:val="center"/>
            <w:shd w:fill="F4F6F8"/>
          </w:tcPr>
          <w:p>
            <w:pPr>
              <w:spacing w:after="0" w:line="240" w:lineRule="auto"/>
            </w:pPr>
            <w:r>
              <w:rPr>
                <w:color w:val="20252B"/>
                <w:sz w:val="16"/>
              </w:rPr>
              <w:t>Social metadata</w:t>
            </w:r>
          </w:p>
        </w:tc>
        <w:tc>
          <w:tcPr>
            <w:tcW w:type="dxa" w:w="3528"/>
            <w:tcMar>
              <w:top w:w="90" w:type="dxa"/>
              <w:start w:w="110" w:type="dxa"/>
              <w:bottom w:w="90" w:type="dxa"/>
              <w:end w:w="110" w:type="dxa"/>
            </w:tcMar>
            <w:vAlign w:val="center"/>
            <w:shd w:fill="F4F6F8"/>
          </w:tcPr>
          <w:p>
            <w:pPr>
              <w:spacing w:after="0" w:line="240" w:lineRule="auto"/>
            </w:pPr>
            <w:r>
              <w:rPr>
                <w:color w:val="20252B"/>
                <w:sz w:val="16"/>
              </w:rPr>
              <w:t>Broken preview assets reduce polish when links are shared</w:t>
            </w:r>
          </w:p>
        </w:tc>
        <w:tc>
          <w:tcPr>
            <w:tcW w:type="dxa" w:w="4248"/>
            <w:tcMar>
              <w:top w:w="90" w:type="dxa"/>
              <w:start w:w="110" w:type="dxa"/>
              <w:bottom w:w="90" w:type="dxa"/>
              <w:end w:w="110" w:type="dxa"/>
            </w:tcMar>
            <w:vAlign w:val="center"/>
            <w:shd w:fill="F4F6F8"/>
          </w:tcPr>
          <w:p>
            <w:pPr>
              <w:spacing w:after="0" w:line="240" w:lineRule="auto"/>
            </w:pPr>
            <w:r>
              <w:rPr>
                <w:color w:val="20252B"/>
                <w:sz w:val="16"/>
              </w:rPr>
              <w:t>Production-safe absolute Open Graph asset and verified previews</w:t>
            </w:r>
          </w:p>
        </w:tc>
      </w:tr>
      <w:tr>
        <w:trPr>
          <w:cantSplit/>
        </w:trPr>
        <w:tc>
          <w:tcPr>
            <w:tcW w:type="dxa" w:w="1872"/>
            <w:tcMar>
              <w:top w:w="90" w:type="dxa"/>
              <w:start w:w="110" w:type="dxa"/>
              <w:bottom w:w="90" w:type="dxa"/>
              <w:end w:w="110" w:type="dxa"/>
            </w:tcMar>
            <w:vAlign w:val="center"/>
          </w:tcPr>
          <w:p>
            <w:pPr>
              <w:spacing w:after="0" w:line="240" w:lineRule="auto"/>
            </w:pPr>
            <w:r>
              <w:rPr>
                <w:color w:val="20252B"/>
                <w:sz w:val="16"/>
              </w:rPr>
              <w:t>Tone consistency</w:t>
            </w:r>
          </w:p>
        </w:tc>
        <w:tc>
          <w:tcPr>
            <w:tcW w:type="dxa" w:w="3528"/>
            <w:tcMar>
              <w:top w:w="90" w:type="dxa"/>
              <w:start w:w="110" w:type="dxa"/>
              <w:bottom w:w="90" w:type="dxa"/>
              <w:end w:w="110" w:type="dxa"/>
            </w:tcMar>
            <w:vAlign w:val="center"/>
          </w:tcPr>
          <w:p>
            <w:pPr>
              <w:spacing w:after="0" w:line="240" w:lineRule="auto"/>
            </w:pPr>
            <w:r>
              <w:rPr>
                <w:color w:val="20252B"/>
                <w:sz w:val="16"/>
              </w:rPr>
              <w:t>Premium editorial language and very casual fee copy create a seam</w:t>
            </w:r>
          </w:p>
        </w:tc>
        <w:tc>
          <w:tcPr>
            <w:tcW w:type="dxa" w:w="4248"/>
            <w:tcMar>
              <w:top w:w="90" w:type="dxa"/>
              <w:start w:w="110" w:type="dxa"/>
              <w:bottom w:w="90" w:type="dxa"/>
              <w:end w:w="110" w:type="dxa"/>
            </w:tcMar>
            <w:vAlign w:val="center"/>
          </w:tcPr>
          <w:p>
            <w:pPr>
              <w:spacing w:after="0" w:line="240" w:lineRule="auto"/>
            </w:pPr>
            <w:r>
              <w:rPr>
                <w:color w:val="20252B"/>
                <w:sz w:val="16"/>
              </w:rPr>
              <w:t>One voice across hero, pricing, legal, and contact content</w:t>
            </w:r>
          </w:p>
        </w:tc>
      </w:tr>
    </w:tbl>
    <w:p>
      <w:pPr>
        <w:spacing w:after="20"/>
      </w:pPr>
    </w:p>
    <w:p>
      <w:pPr>
        <w:pStyle w:val="Heading2"/>
      </w:pPr>
      <w:r>
        <w:t>Direct comparative position</w:t>
      </w:r>
    </w:p>
    <w:p>
      <w:r>
        <w:t>EchoFrame does not currently match the leaders in institutional authority, evidence volume, or intellectual-property depth. It does outperform several of them in focus, pricing transparency, CTA clarity, and the specificity of its opening result. That is a meaningful distinction: the site is not trying to look large; it is trying to make a smaller firm feel disciplined and commercially serious. The website's greatest risk would be adding enterprise complexity before the evidence base is ready to support it.</w:t>
      </w:r>
    </w:p>
    <w:p>
      <w:pPr>
        <w:pStyle w:val="Heading1"/>
      </w:pPr>
      <w:r>
        <w:t>Final Ranking by Use Case</w:t>
      </w:r>
    </w:p>
    <w:tbl>
      <w:tblPr>
        <w:tblW w:type="auto" w:w="0"/>
        <w:jc w:val="center"/>
        <w:tblLayout w:type="fixed"/>
        <w:tblLook w:firstColumn="1" w:firstRow="1" w:lastColumn="0" w:lastRow="0" w:noHBand="0" w:noVBand="1" w:val="04A0"/>
        <w:tblBorders>
          <w:top w:val="single" w:sz="5" w:color="D9DDE2"/>
          <w:left w:val="single" w:sz="5" w:color="D9DDE2"/>
          <w:bottom w:val="single" w:sz="5" w:color="D9DDE2"/>
          <w:right w:val="single" w:sz="5" w:color="D9DDE2"/>
          <w:insideH w:val="single" w:sz="5" w:color="D9DDE2"/>
          <w:insideV w:val="single" w:sz="5" w:color="D9DDE2"/>
        </w:tblBorders>
      </w:tblPr>
      <w:tblGrid>
        <w:gridCol w:w="2498"/>
        <w:gridCol w:w="2498"/>
        <w:gridCol w:w="2498"/>
        <w:gridCol w:w="2498"/>
      </w:tblGrid>
      <w:tr>
        <w:trPr>
          <w:tblHeader w:val="true"/>
          <w:cantSplit/>
        </w:trPr>
        <w:tc>
          <w:tcPr>
            <w:tcW w:type="dxa" w:w="2498"/>
            <w:shd w:fill="0B1F33"/>
            <w:tcMar>
              <w:top w:w="90" w:type="dxa"/>
              <w:start w:w="110" w:type="dxa"/>
              <w:bottom w:w="90" w:type="dxa"/>
              <w:end w:w="110" w:type="dxa"/>
            </w:tcMar>
            <w:vAlign w:val="center"/>
          </w:tcPr>
          <w:p>
            <w:pPr>
              <w:spacing w:after="0"/>
              <w:jc w:val="center"/>
            </w:pPr>
            <w:r>
              <w:rPr>
                <w:b/>
                <w:color w:val="FFFFFF"/>
                <w:sz w:val="15"/>
              </w:rPr>
              <w:t>Use case</w:t>
            </w:r>
          </w:p>
        </w:tc>
        <w:tc>
          <w:tcPr>
            <w:tcW w:type="dxa" w:w="2498"/>
            <w:shd w:fill="0B1F33"/>
            <w:tcMar>
              <w:top w:w="90" w:type="dxa"/>
              <w:start w:w="110" w:type="dxa"/>
              <w:bottom w:w="90" w:type="dxa"/>
              <w:end w:w="110" w:type="dxa"/>
            </w:tcMar>
            <w:vAlign w:val="center"/>
          </w:tcPr>
          <w:p>
            <w:pPr>
              <w:spacing w:after="0"/>
              <w:jc w:val="center"/>
            </w:pPr>
            <w:r>
              <w:rPr>
                <w:b/>
                <w:color w:val="FFFFFF"/>
                <w:sz w:val="15"/>
              </w:rPr>
              <w:t>Leader</w:t>
            </w:r>
          </w:p>
        </w:tc>
        <w:tc>
          <w:tcPr>
            <w:tcW w:type="dxa" w:w="2498"/>
            <w:shd w:fill="0B1F33"/>
            <w:tcMar>
              <w:top w:w="90" w:type="dxa"/>
              <w:start w:w="110" w:type="dxa"/>
              <w:bottom w:w="90" w:type="dxa"/>
              <w:end w:w="110" w:type="dxa"/>
            </w:tcMar>
            <w:vAlign w:val="center"/>
          </w:tcPr>
          <w:p>
            <w:pPr>
              <w:spacing w:after="0"/>
              <w:jc w:val="center"/>
            </w:pPr>
            <w:r>
              <w:rPr>
                <w:b/>
                <w:color w:val="FFFFFF"/>
                <w:sz w:val="15"/>
              </w:rPr>
              <w:t>Runner up</w:t>
            </w:r>
          </w:p>
        </w:tc>
        <w:tc>
          <w:tcPr>
            <w:tcW w:type="dxa" w:w="2498"/>
            <w:shd w:fill="0B1F33"/>
            <w:tcMar>
              <w:top w:w="90" w:type="dxa"/>
              <w:start w:w="110" w:type="dxa"/>
              <w:bottom w:w="90" w:type="dxa"/>
              <w:end w:w="110" w:type="dxa"/>
            </w:tcMar>
            <w:vAlign w:val="center"/>
          </w:tcPr>
          <w:p>
            <w:pPr>
              <w:spacing w:after="0"/>
              <w:jc w:val="center"/>
            </w:pPr>
            <w:r>
              <w:rPr>
                <w:b/>
                <w:color w:val="FFFFFF"/>
                <w:sz w:val="15"/>
              </w:rPr>
              <w:t>Reason</w:t>
            </w:r>
          </w:p>
        </w:tc>
      </w:tr>
      <w:tr>
        <w:trPr>
          <w:cantSplit/>
        </w:trPr>
        <w:tc>
          <w:tcPr>
            <w:tcW w:type="dxa" w:w="2448"/>
            <w:tcMar>
              <w:top w:w="90" w:type="dxa"/>
              <w:start w:w="110" w:type="dxa"/>
              <w:bottom w:w="90" w:type="dxa"/>
              <w:end w:w="110" w:type="dxa"/>
            </w:tcMar>
            <w:vAlign w:val="center"/>
          </w:tcPr>
          <w:p>
            <w:pPr>
              <w:spacing w:after="0" w:line="240" w:lineRule="auto"/>
            </w:pPr>
            <w:r>
              <w:rPr>
                <w:color w:val="20252B"/>
                <w:sz w:val="15"/>
              </w:rPr>
              <w:t>Best overall consulting authority</w:t>
            </w:r>
          </w:p>
        </w:tc>
        <w:tc>
          <w:tcPr>
            <w:tcW w:type="dxa" w:w="1440"/>
            <w:tcMar>
              <w:top w:w="90" w:type="dxa"/>
              <w:start w:w="110" w:type="dxa"/>
              <w:bottom w:w="90" w:type="dxa"/>
              <w:end w:w="110" w:type="dxa"/>
            </w:tcMar>
            <w:vAlign w:val="center"/>
          </w:tcPr>
          <w:p>
            <w:pPr>
              <w:spacing w:after="0" w:line="240" w:lineRule="auto"/>
              <w:jc w:val="center"/>
            </w:pPr>
            <w:r>
              <w:rPr>
                <w:color w:val="20252B"/>
                <w:sz w:val="15"/>
              </w:rPr>
              <w:t>Bain</w:t>
            </w:r>
          </w:p>
        </w:tc>
        <w:tc>
          <w:tcPr>
            <w:tcW w:type="dxa" w:w="1440"/>
            <w:tcMar>
              <w:top w:w="90" w:type="dxa"/>
              <w:start w:w="110" w:type="dxa"/>
              <w:bottom w:w="90" w:type="dxa"/>
              <w:end w:w="110" w:type="dxa"/>
            </w:tcMar>
            <w:vAlign w:val="center"/>
          </w:tcPr>
          <w:p>
            <w:pPr>
              <w:spacing w:after="0" w:line="240" w:lineRule="auto"/>
              <w:jc w:val="center"/>
            </w:pPr>
            <w:r>
              <w:rPr>
                <w:color w:val="20252B"/>
                <w:sz w:val="15"/>
              </w:rPr>
              <w:t>BCG</w:t>
            </w:r>
          </w:p>
        </w:tc>
        <w:tc>
          <w:tcPr>
            <w:tcW w:type="dxa" w:w="4320"/>
            <w:tcMar>
              <w:top w:w="90" w:type="dxa"/>
              <w:start w:w="110" w:type="dxa"/>
              <w:bottom w:w="90" w:type="dxa"/>
              <w:end w:w="110" w:type="dxa"/>
            </w:tcMar>
            <w:vAlign w:val="center"/>
          </w:tcPr>
          <w:p>
            <w:pPr>
              <w:spacing w:after="0" w:line="240" w:lineRule="auto"/>
            </w:pPr>
            <w:r>
              <w:rPr>
                <w:color w:val="20252B"/>
                <w:sz w:val="15"/>
              </w:rPr>
              <w:t>Bain integrates guided relevance, quantified proof, insight, and conversion most completely</w:t>
            </w:r>
          </w:p>
        </w:tc>
      </w:tr>
      <w:tr>
        <w:trPr>
          <w:cantSplit/>
        </w:trPr>
        <w:tc>
          <w:tcPr>
            <w:tcW w:type="dxa" w:w="2448"/>
            <w:tcMar>
              <w:top w:w="90" w:type="dxa"/>
              <w:start w:w="110" w:type="dxa"/>
              <w:bottom w:w="90" w:type="dxa"/>
              <w:end w:w="110" w:type="dxa"/>
            </w:tcMar>
            <w:vAlign w:val="center"/>
            <w:shd w:fill="F4F6F8"/>
          </w:tcPr>
          <w:p>
            <w:pPr>
              <w:spacing w:after="0" w:line="240" w:lineRule="auto"/>
            </w:pPr>
            <w:r>
              <w:rPr>
                <w:color w:val="20252B"/>
                <w:sz w:val="15"/>
              </w:rPr>
              <w:t>Best visual distinctiveness</w:t>
            </w:r>
          </w:p>
        </w:tc>
        <w:tc>
          <w:tcPr>
            <w:tcW w:type="dxa" w:w="1440"/>
            <w:tcMar>
              <w:top w:w="90" w:type="dxa"/>
              <w:start w:w="110" w:type="dxa"/>
              <w:bottom w:w="90" w:type="dxa"/>
              <w:end w:w="110" w:type="dxa"/>
            </w:tcMar>
            <w:vAlign w:val="center"/>
            <w:shd w:fill="F4F6F8"/>
          </w:tcPr>
          <w:p>
            <w:pPr>
              <w:spacing w:after="0" w:line="240" w:lineRule="auto"/>
              <w:jc w:val="center"/>
            </w:pPr>
            <w:r>
              <w:rPr>
                <w:color w:val="20252B"/>
                <w:sz w:val="15"/>
              </w:rPr>
              <w:t>Accenture</w:t>
            </w:r>
          </w:p>
        </w:tc>
        <w:tc>
          <w:tcPr>
            <w:tcW w:type="dxa" w:w="1440"/>
            <w:tcMar>
              <w:top w:w="90" w:type="dxa"/>
              <w:start w:w="110" w:type="dxa"/>
              <w:bottom w:w="90" w:type="dxa"/>
              <w:end w:w="110" w:type="dxa"/>
            </w:tcMar>
            <w:vAlign w:val="center"/>
            <w:shd w:fill="F4F6F8"/>
          </w:tcPr>
          <w:p>
            <w:pPr>
              <w:spacing w:after="0" w:line="240" w:lineRule="auto"/>
              <w:jc w:val="center"/>
            </w:pPr>
            <w:r>
              <w:rPr>
                <w:color w:val="20252B"/>
                <w:sz w:val="15"/>
              </w:rPr>
              <w:t>BCG</w:t>
            </w:r>
          </w:p>
        </w:tc>
        <w:tc>
          <w:tcPr>
            <w:tcW w:type="dxa" w:w="4320"/>
            <w:tcMar>
              <w:top w:w="90" w:type="dxa"/>
              <w:start w:w="110" w:type="dxa"/>
              <w:bottom w:w="90" w:type="dxa"/>
              <w:end w:w="110" w:type="dxa"/>
            </w:tcMar>
            <w:vAlign w:val="center"/>
            <w:shd w:fill="F4F6F8"/>
          </w:tcPr>
          <w:p>
            <w:pPr>
              <w:spacing w:after="0" w:line="240" w:lineRule="auto"/>
            </w:pPr>
            <w:r>
              <w:rPr>
                <w:color w:val="20252B"/>
                <w:sz w:val="15"/>
              </w:rPr>
              <w:t>Both are recognizable without a logo; Accenture is more dramatic, BCG more refined</w:t>
            </w:r>
          </w:p>
        </w:tc>
      </w:tr>
      <w:tr>
        <w:trPr>
          <w:cantSplit/>
        </w:trPr>
        <w:tc>
          <w:tcPr>
            <w:tcW w:type="dxa" w:w="2448"/>
            <w:tcMar>
              <w:top w:w="90" w:type="dxa"/>
              <w:start w:w="110" w:type="dxa"/>
              <w:bottom w:w="90" w:type="dxa"/>
              <w:end w:w="110" w:type="dxa"/>
            </w:tcMar>
            <w:vAlign w:val="center"/>
          </w:tcPr>
          <w:p>
            <w:pPr>
              <w:spacing w:after="0" w:line="240" w:lineRule="auto"/>
            </w:pPr>
            <w:r>
              <w:rPr>
                <w:color w:val="20252B"/>
                <w:sz w:val="15"/>
              </w:rPr>
              <w:t>Best homepage narrative</w:t>
            </w:r>
          </w:p>
        </w:tc>
        <w:tc>
          <w:tcPr>
            <w:tcW w:type="dxa" w:w="1440"/>
            <w:tcMar>
              <w:top w:w="90" w:type="dxa"/>
              <w:start w:w="110" w:type="dxa"/>
              <w:bottom w:w="90" w:type="dxa"/>
              <w:end w:w="110" w:type="dxa"/>
            </w:tcMar>
            <w:vAlign w:val="center"/>
          </w:tcPr>
          <w:p>
            <w:pPr>
              <w:spacing w:after="0" w:line="240" w:lineRule="auto"/>
              <w:jc w:val="center"/>
            </w:pPr>
            <w:r>
              <w:rPr>
                <w:color w:val="20252B"/>
                <w:sz w:val="15"/>
              </w:rPr>
              <w:t>Bain</w:t>
            </w:r>
          </w:p>
        </w:tc>
        <w:tc>
          <w:tcPr>
            <w:tcW w:type="dxa" w:w="1440"/>
            <w:tcMar>
              <w:top w:w="90" w:type="dxa"/>
              <w:start w:w="110" w:type="dxa"/>
              <w:bottom w:w="90" w:type="dxa"/>
              <w:end w:w="110" w:type="dxa"/>
            </w:tcMar>
            <w:vAlign w:val="center"/>
          </w:tcPr>
          <w:p>
            <w:pPr>
              <w:spacing w:after="0" w:line="240" w:lineRule="auto"/>
              <w:jc w:val="center"/>
            </w:pPr>
            <w:r>
              <w:rPr>
                <w:color w:val="20252B"/>
                <w:sz w:val="15"/>
              </w:rPr>
              <w:t>EchoFrame</w:t>
            </w:r>
          </w:p>
        </w:tc>
        <w:tc>
          <w:tcPr>
            <w:tcW w:type="dxa" w:w="4320"/>
            <w:tcMar>
              <w:top w:w="90" w:type="dxa"/>
              <w:start w:w="110" w:type="dxa"/>
              <w:bottom w:w="90" w:type="dxa"/>
              <w:end w:w="110" w:type="dxa"/>
            </w:tcMar>
            <w:vAlign w:val="center"/>
          </w:tcPr>
          <w:p>
            <w:pPr>
              <w:spacing w:after="0" w:line="240" w:lineRule="auto"/>
            </w:pPr>
            <w:r>
              <w:rPr>
                <w:color w:val="20252B"/>
                <w:sz w:val="15"/>
              </w:rPr>
              <w:t>Both progress from a clear idea into relevant proof and action</w:t>
            </w:r>
          </w:p>
        </w:tc>
      </w:tr>
      <w:tr>
        <w:trPr>
          <w:cantSplit/>
        </w:trPr>
        <w:tc>
          <w:tcPr>
            <w:tcW w:type="dxa" w:w="2448"/>
            <w:tcMar>
              <w:top w:w="90" w:type="dxa"/>
              <w:start w:w="110" w:type="dxa"/>
              <w:bottom w:w="90" w:type="dxa"/>
              <w:end w:w="110" w:type="dxa"/>
            </w:tcMar>
            <w:vAlign w:val="center"/>
            <w:shd w:fill="F4F6F8"/>
          </w:tcPr>
          <w:p>
            <w:pPr>
              <w:spacing w:after="0" w:line="240" w:lineRule="auto"/>
            </w:pPr>
            <w:r>
              <w:rPr>
                <w:color w:val="20252B"/>
                <w:sz w:val="15"/>
              </w:rPr>
              <w:t>Best thought-leadership presentation</w:t>
            </w:r>
          </w:p>
        </w:tc>
        <w:tc>
          <w:tcPr>
            <w:tcW w:type="dxa" w:w="1440"/>
            <w:tcMar>
              <w:top w:w="90" w:type="dxa"/>
              <w:start w:w="110" w:type="dxa"/>
              <w:bottom w:w="90" w:type="dxa"/>
              <w:end w:w="110" w:type="dxa"/>
            </w:tcMar>
            <w:vAlign w:val="center"/>
            <w:shd w:fill="F4F6F8"/>
          </w:tcPr>
          <w:p>
            <w:pPr>
              <w:spacing w:after="0" w:line="240" w:lineRule="auto"/>
              <w:jc w:val="center"/>
            </w:pPr>
            <w:r>
              <w:rPr>
                <w:color w:val="20252B"/>
                <w:sz w:val="15"/>
              </w:rPr>
              <w:t>BCG</w:t>
            </w:r>
          </w:p>
        </w:tc>
        <w:tc>
          <w:tcPr>
            <w:tcW w:type="dxa" w:w="1440"/>
            <w:tcMar>
              <w:top w:w="90" w:type="dxa"/>
              <w:start w:w="110" w:type="dxa"/>
              <w:bottom w:w="90" w:type="dxa"/>
              <w:end w:w="110" w:type="dxa"/>
            </w:tcMar>
            <w:vAlign w:val="center"/>
            <w:shd w:fill="F4F6F8"/>
          </w:tcPr>
          <w:p>
            <w:pPr>
              <w:spacing w:after="0" w:line="240" w:lineRule="auto"/>
              <w:jc w:val="center"/>
            </w:pPr>
            <w:r>
              <w:rPr>
                <w:color w:val="20252B"/>
                <w:sz w:val="15"/>
              </w:rPr>
              <w:t>Accenture</w:t>
            </w:r>
          </w:p>
        </w:tc>
        <w:tc>
          <w:tcPr>
            <w:tcW w:type="dxa" w:w="4320"/>
            <w:tcMar>
              <w:top w:w="90" w:type="dxa"/>
              <w:start w:w="110" w:type="dxa"/>
              <w:bottom w:w="90" w:type="dxa"/>
              <w:end w:w="110" w:type="dxa"/>
            </w:tcMar>
            <w:vAlign w:val="center"/>
            <w:shd w:fill="F4F6F8"/>
          </w:tcPr>
          <w:p>
            <w:pPr>
              <w:spacing w:after="0" w:line="240" w:lineRule="auto"/>
            </w:pPr>
            <w:r>
              <w:rPr>
                <w:color w:val="20252B"/>
                <w:sz w:val="15"/>
              </w:rPr>
              <w:t>BCG most clearly packages date, type, industry, point of view, and continuation</w:t>
            </w:r>
          </w:p>
        </w:tc>
      </w:tr>
      <w:tr>
        <w:trPr>
          <w:cantSplit/>
        </w:trPr>
        <w:tc>
          <w:tcPr>
            <w:tcW w:type="dxa" w:w="2448"/>
            <w:tcMar>
              <w:top w:w="90" w:type="dxa"/>
              <w:start w:w="110" w:type="dxa"/>
              <w:bottom w:w="90" w:type="dxa"/>
              <w:end w:w="110" w:type="dxa"/>
            </w:tcMar>
            <w:vAlign w:val="center"/>
          </w:tcPr>
          <w:p>
            <w:pPr>
              <w:spacing w:after="0" w:line="240" w:lineRule="auto"/>
            </w:pPr>
            <w:r>
              <w:rPr>
                <w:color w:val="20252B"/>
                <w:sz w:val="15"/>
              </w:rPr>
              <w:t>Best quantified proof</w:t>
            </w:r>
          </w:p>
        </w:tc>
        <w:tc>
          <w:tcPr>
            <w:tcW w:type="dxa" w:w="1440"/>
            <w:tcMar>
              <w:top w:w="90" w:type="dxa"/>
              <w:start w:w="110" w:type="dxa"/>
              <w:bottom w:w="90" w:type="dxa"/>
              <w:end w:w="110" w:type="dxa"/>
            </w:tcMar>
            <w:vAlign w:val="center"/>
          </w:tcPr>
          <w:p>
            <w:pPr>
              <w:spacing w:after="0" w:line="240" w:lineRule="auto"/>
              <w:jc w:val="center"/>
            </w:pPr>
            <w:r>
              <w:rPr>
                <w:color w:val="20252B"/>
                <w:sz w:val="15"/>
              </w:rPr>
              <w:t>Bain</w:t>
            </w:r>
          </w:p>
        </w:tc>
        <w:tc>
          <w:tcPr>
            <w:tcW w:type="dxa" w:w="1440"/>
            <w:tcMar>
              <w:top w:w="90" w:type="dxa"/>
              <w:start w:w="110" w:type="dxa"/>
              <w:bottom w:w="90" w:type="dxa"/>
              <w:end w:w="110" w:type="dxa"/>
            </w:tcMar>
            <w:vAlign w:val="center"/>
          </w:tcPr>
          <w:p>
            <w:pPr>
              <w:spacing w:after="0" w:line="240" w:lineRule="auto"/>
              <w:jc w:val="center"/>
            </w:pPr>
            <w:r>
              <w:rPr>
                <w:color w:val="20252B"/>
                <w:sz w:val="15"/>
              </w:rPr>
              <w:t>Deloitte</w:t>
            </w:r>
          </w:p>
        </w:tc>
        <w:tc>
          <w:tcPr>
            <w:tcW w:type="dxa" w:w="4320"/>
            <w:tcMar>
              <w:top w:w="90" w:type="dxa"/>
              <w:start w:w="110" w:type="dxa"/>
              <w:bottom w:w="90" w:type="dxa"/>
              <w:end w:w="110" w:type="dxa"/>
            </w:tcMar>
            <w:vAlign w:val="center"/>
          </w:tcPr>
          <w:p>
            <w:pPr>
              <w:spacing w:after="0" w:line="240" w:lineRule="auto"/>
            </w:pPr>
            <w:r>
              <w:rPr>
                <w:color w:val="20252B"/>
                <w:sz w:val="15"/>
              </w:rPr>
              <w:t>Bain repeatedly centers impact metrics; Deloitte uses strong concrete transformation stories</w:t>
            </w:r>
          </w:p>
        </w:tc>
      </w:tr>
      <w:tr>
        <w:trPr>
          <w:cantSplit/>
        </w:trPr>
        <w:tc>
          <w:tcPr>
            <w:tcW w:type="dxa" w:w="2448"/>
            <w:tcMar>
              <w:top w:w="90" w:type="dxa"/>
              <w:start w:w="110" w:type="dxa"/>
              <w:bottom w:w="90" w:type="dxa"/>
              <w:end w:w="110" w:type="dxa"/>
            </w:tcMar>
            <w:vAlign w:val="center"/>
            <w:shd w:fill="F4F6F8"/>
          </w:tcPr>
          <w:p>
            <w:pPr>
              <w:spacing w:after="0" w:line="240" w:lineRule="auto"/>
            </w:pPr>
            <w:r>
              <w:rPr>
                <w:color w:val="20252B"/>
                <w:sz w:val="15"/>
              </w:rPr>
              <w:t>Best client-name proof</w:t>
            </w:r>
          </w:p>
        </w:tc>
        <w:tc>
          <w:tcPr>
            <w:tcW w:type="dxa" w:w="1440"/>
            <w:tcMar>
              <w:top w:w="90" w:type="dxa"/>
              <w:start w:w="110" w:type="dxa"/>
              <w:bottom w:w="90" w:type="dxa"/>
              <w:end w:w="110" w:type="dxa"/>
            </w:tcMar>
            <w:vAlign w:val="center"/>
            <w:shd w:fill="F4F6F8"/>
          </w:tcPr>
          <w:p>
            <w:pPr>
              <w:spacing w:after="0" w:line="240" w:lineRule="auto"/>
              <w:jc w:val="center"/>
            </w:pPr>
            <w:r>
              <w:rPr>
                <w:color w:val="20252B"/>
                <w:sz w:val="15"/>
              </w:rPr>
              <w:t>Accenture</w:t>
            </w:r>
          </w:p>
        </w:tc>
        <w:tc>
          <w:tcPr>
            <w:tcW w:type="dxa" w:w="1440"/>
            <w:tcMar>
              <w:top w:w="90" w:type="dxa"/>
              <w:start w:w="110" w:type="dxa"/>
              <w:bottom w:w="90" w:type="dxa"/>
              <w:end w:w="110" w:type="dxa"/>
            </w:tcMar>
            <w:vAlign w:val="center"/>
            <w:shd w:fill="F4F6F8"/>
          </w:tcPr>
          <w:p>
            <w:pPr>
              <w:spacing w:after="0" w:line="240" w:lineRule="auto"/>
              <w:jc w:val="center"/>
            </w:pPr>
            <w:r>
              <w:rPr>
                <w:color w:val="20252B"/>
                <w:sz w:val="15"/>
              </w:rPr>
              <w:t>EY</w:t>
            </w:r>
          </w:p>
        </w:tc>
        <w:tc>
          <w:tcPr>
            <w:tcW w:type="dxa" w:w="4320"/>
            <w:tcMar>
              <w:top w:w="90" w:type="dxa"/>
              <w:start w:w="110" w:type="dxa"/>
              <w:bottom w:w="90" w:type="dxa"/>
              <w:end w:w="110" w:type="dxa"/>
            </w:tcMar>
            <w:vAlign w:val="center"/>
            <w:shd w:fill="F4F6F8"/>
          </w:tcPr>
          <w:p>
            <w:pPr>
              <w:spacing w:after="0" w:line="240" w:lineRule="auto"/>
            </w:pPr>
            <w:r>
              <w:rPr>
                <w:color w:val="20252B"/>
                <w:sz w:val="15"/>
              </w:rPr>
              <w:t>Recognizable organizations are integrated into the core homepage experience</w:t>
            </w:r>
          </w:p>
        </w:tc>
      </w:tr>
      <w:tr>
        <w:trPr>
          <w:cantSplit/>
        </w:trPr>
        <w:tc>
          <w:tcPr>
            <w:tcW w:type="dxa" w:w="2448"/>
            <w:tcMar>
              <w:top w:w="90" w:type="dxa"/>
              <w:start w:w="110" w:type="dxa"/>
              <w:bottom w:w="90" w:type="dxa"/>
              <w:end w:w="110" w:type="dxa"/>
            </w:tcMar>
            <w:vAlign w:val="center"/>
          </w:tcPr>
          <w:p>
            <w:pPr>
              <w:spacing w:after="0" w:line="240" w:lineRule="auto"/>
            </w:pPr>
            <w:r>
              <w:rPr>
                <w:color w:val="20252B"/>
                <w:sz w:val="15"/>
              </w:rPr>
              <w:t>Best navigation innovation</w:t>
            </w:r>
          </w:p>
        </w:tc>
        <w:tc>
          <w:tcPr>
            <w:tcW w:type="dxa" w:w="1440"/>
            <w:tcMar>
              <w:top w:w="90" w:type="dxa"/>
              <w:start w:w="110" w:type="dxa"/>
              <w:bottom w:w="90" w:type="dxa"/>
              <w:end w:w="110" w:type="dxa"/>
            </w:tcMar>
            <w:vAlign w:val="center"/>
          </w:tcPr>
          <w:p>
            <w:pPr>
              <w:spacing w:after="0" w:line="240" w:lineRule="auto"/>
              <w:jc w:val="center"/>
            </w:pPr>
            <w:r>
              <w:rPr>
                <w:color w:val="20252B"/>
                <w:sz w:val="15"/>
              </w:rPr>
              <w:t>Bain</w:t>
            </w:r>
          </w:p>
        </w:tc>
        <w:tc>
          <w:tcPr>
            <w:tcW w:type="dxa" w:w="1440"/>
            <w:tcMar>
              <w:top w:w="90" w:type="dxa"/>
              <w:start w:w="110" w:type="dxa"/>
              <w:bottom w:w="90" w:type="dxa"/>
              <w:end w:w="110" w:type="dxa"/>
            </w:tcMar>
            <w:vAlign w:val="center"/>
          </w:tcPr>
          <w:p>
            <w:pPr>
              <w:spacing w:after="0" w:line="240" w:lineRule="auto"/>
              <w:jc w:val="center"/>
            </w:pPr>
            <w:r>
              <w:rPr>
                <w:color w:val="20252B"/>
                <w:sz w:val="15"/>
              </w:rPr>
              <w:t>Accenture</w:t>
            </w:r>
          </w:p>
        </w:tc>
        <w:tc>
          <w:tcPr>
            <w:tcW w:type="dxa" w:w="4320"/>
            <w:tcMar>
              <w:top w:w="90" w:type="dxa"/>
              <w:start w:w="110" w:type="dxa"/>
              <w:bottom w:w="90" w:type="dxa"/>
              <w:end w:w="110" w:type="dxa"/>
            </w:tcMar>
            <w:vAlign w:val="center"/>
          </w:tcPr>
          <w:p>
            <w:pPr>
              <w:spacing w:after="0" w:line="240" w:lineRule="auto"/>
            </w:pPr>
            <w:r>
              <w:rPr>
                <w:color w:val="20252B"/>
                <w:sz w:val="15"/>
              </w:rPr>
              <w:t>Bain guides by industry and need; Accenture contains breadth in four top-level categories</w:t>
            </w:r>
          </w:p>
        </w:tc>
      </w:tr>
      <w:tr>
        <w:trPr>
          <w:cantSplit/>
        </w:trPr>
        <w:tc>
          <w:tcPr>
            <w:tcW w:type="dxa" w:w="2448"/>
            <w:tcMar>
              <w:top w:w="90" w:type="dxa"/>
              <w:start w:w="110" w:type="dxa"/>
              <w:bottom w:w="90" w:type="dxa"/>
              <w:end w:w="110" w:type="dxa"/>
            </w:tcMar>
            <w:vAlign w:val="center"/>
            <w:shd w:fill="F4F6F8"/>
          </w:tcPr>
          <w:p>
            <w:pPr>
              <w:spacing w:after="0" w:line="240" w:lineRule="auto"/>
            </w:pPr>
            <w:r>
              <w:rPr>
                <w:color w:val="20252B"/>
                <w:sz w:val="15"/>
              </w:rPr>
              <w:t>Best startup conversion clarity</w:t>
            </w:r>
          </w:p>
        </w:tc>
        <w:tc>
          <w:tcPr>
            <w:tcW w:type="dxa" w:w="1440"/>
            <w:tcMar>
              <w:top w:w="90" w:type="dxa"/>
              <w:start w:w="110" w:type="dxa"/>
              <w:bottom w:w="90" w:type="dxa"/>
              <w:end w:w="110" w:type="dxa"/>
            </w:tcMar>
            <w:vAlign w:val="center"/>
            <w:shd w:fill="F4F6F8"/>
          </w:tcPr>
          <w:p>
            <w:pPr>
              <w:spacing w:after="0" w:line="240" w:lineRule="auto"/>
              <w:jc w:val="center"/>
            </w:pPr>
            <w:r>
              <w:rPr>
                <w:color w:val="20252B"/>
                <w:sz w:val="15"/>
              </w:rPr>
              <w:t>EchoFrame</w:t>
            </w:r>
          </w:p>
        </w:tc>
        <w:tc>
          <w:tcPr>
            <w:tcW w:type="dxa" w:w="1440"/>
            <w:tcMar>
              <w:top w:w="90" w:type="dxa"/>
              <w:start w:w="110" w:type="dxa"/>
              <w:bottom w:w="90" w:type="dxa"/>
              <w:end w:w="110" w:type="dxa"/>
            </w:tcMar>
            <w:vAlign w:val="center"/>
            <w:shd w:fill="F4F6F8"/>
          </w:tcPr>
          <w:p>
            <w:pPr>
              <w:spacing w:after="0" w:line="240" w:lineRule="auto"/>
              <w:jc w:val="center"/>
            </w:pPr>
            <w:r>
              <w:rPr>
                <w:color w:val="20252B"/>
                <w:sz w:val="15"/>
              </w:rPr>
              <w:t>Baker Tilly</w:t>
            </w:r>
          </w:p>
        </w:tc>
        <w:tc>
          <w:tcPr>
            <w:tcW w:type="dxa" w:w="4320"/>
            <w:tcMar>
              <w:top w:w="90" w:type="dxa"/>
              <w:start w:w="110" w:type="dxa"/>
              <w:bottom w:w="90" w:type="dxa"/>
              <w:end w:w="110" w:type="dxa"/>
            </w:tcMar>
            <w:vAlign w:val="center"/>
            <w:shd w:fill="F4F6F8"/>
          </w:tcPr>
          <w:p>
            <w:pPr>
              <w:spacing w:after="0" w:line="240" w:lineRule="auto"/>
            </w:pPr>
            <w:r>
              <w:rPr>
                <w:color w:val="20252B"/>
                <w:sz w:val="15"/>
              </w:rPr>
              <w:t>EchoFrame explains price, process, and next action with far less ambiguity</w:t>
            </w:r>
          </w:p>
        </w:tc>
      </w:tr>
      <w:tr>
        <w:trPr>
          <w:cantSplit/>
        </w:trPr>
        <w:tc>
          <w:tcPr>
            <w:tcW w:type="dxa" w:w="2448"/>
            <w:tcMar>
              <w:top w:w="90" w:type="dxa"/>
              <w:start w:w="110" w:type="dxa"/>
              <w:bottom w:w="90" w:type="dxa"/>
              <w:end w:w="110" w:type="dxa"/>
            </w:tcMar>
            <w:vAlign w:val="center"/>
          </w:tcPr>
          <w:p>
            <w:pPr>
              <w:spacing w:after="0" w:line="240" w:lineRule="auto"/>
            </w:pPr>
            <w:r>
              <w:rPr>
                <w:color w:val="20252B"/>
                <w:sz w:val="15"/>
              </w:rPr>
              <w:t>Best typographic restraint</w:t>
            </w:r>
          </w:p>
        </w:tc>
        <w:tc>
          <w:tcPr>
            <w:tcW w:type="dxa" w:w="1440"/>
            <w:tcMar>
              <w:top w:w="90" w:type="dxa"/>
              <w:start w:w="110" w:type="dxa"/>
              <w:bottom w:w="90" w:type="dxa"/>
              <w:end w:w="110" w:type="dxa"/>
            </w:tcMar>
            <w:vAlign w:val="center"/>
          </w:tcPr>
          <w:p>
            <w:pPr>
              <w:spacing w:after="0" w:line="240" w:lineRule="auto"/>
              <w:jc w:val="center"/>
            </w:pPr>
            <w:r>
              <w:rPr>
                <w:color w:val="20252B"/>
                <w:sz w:val="15"/>
              </w:rPr>
              <w:t>Baker Tilly</w:t>
            </w:r>
          </w:p>
        </w:tc>
        <w:tc>
          <w:tcPr>
            <w:tcW w:type="dxa" w:w="1440"/>
            <w:tcMar>
              <w:top w:w="90" w:type="dxa"/>
              <w:start w:w="110" w:type="dxa"/>
              <w:bottom w:w="90" w:type="dxa"/>
              <w:end w:w="110" w:type="dxa"/>
            </w:tcMar>
            <w:vAlign w:val="center"/>
          </w:tcPr>
          <w:p>
            <w:pPr>
              <w:spacing w:after="0" w:line="240" w:lineRule="auto"/>
              <w:jc w:val="center"/>
            </w:pPr>
            <w:r>
              <w:rPr>
                <w:color w:val="20252B"/>
                <w:sz w:val="15"/>
              </w:rPr>
              <w:t>BCG</w:t>
            </w:r>
          </w:p>
        </w:tc>
        <w:tc>
          <w:tcPr>
            <w:tcW w:type="dxa" w:w="4320"/>
            <w:tcMar>
              <w:top w:w="90" w:type="dxa"/>
              <w:start w:w="110" w:type="dxa"/>
              <w:bottom w:w="90" w:type="dxa"/>
              <w:end w:w="110" w:type="dxa"/>
            </w:tcMar>
            <w:vAlign w:val="center"/>
          </w:tcPr>
          <w:p>
            <w:pPr>
              <w:spacing w:after="0" w:line="240" w:lineRule="auto"/>
            </w:pPr>
            <w:r>
              <w:rPr>
                <w:color w:val="20252B"/>
                <w:sz w:val="15"/>
              </w:rPr>
              <w:t>Both use type and space as primary brand assets</w:t>
            </w:r>
          </w:p>
        </w:tc>
      </w:tr>
      <w:tr>
        <w:trPr>
          <w:cantSplit/>
        </w:trPr>
        <w:tc>
          <w:tcPr>
            <w:tcW w:type="dxa" w:w="2448"/>
            <w:tcMar>
              <w:top w:w="90" w:type="dxa"/>
              <w:start w:w="110" w:type="dxa"/>
              <w:bottom w:w="90" w:type="dxa"/>
              <w:end w:w="110" w:type="dxa"/>
            </w:tcMar>
            <w:vAlign w:val="center"/>
            <w:shd w:fill="F4F6F8"/>
          </w:tcPr>
          <w:p>
            <w:pPr>
              <w:spacing w:after="0" w:line="240" w:lineRule="auto"/>
            </w:pPr>
            <w:r>
              <w:rPr>
                <w:color w:val="20252B"/>
                <w:sz w:val="15"/>
              </w:rPr>
              <w:t>Best institutional completeness</w:t>
            </w:r>
          </w:p>
        </w:tc>
        <w:tc>
          <w:tcPr>
            <w:tcW w:type="dxa" w:w="1440"/>
            <w:tcMar>
              <w:top w:w="90" w:type="dxa"/>
              <w:start w:w="110" w:type="dxa"/>
              <w:bottom w:w="90" w:type="dxa"/>
              <w:end w:w="110" w:type="dxa"/>
            </w:tcMar>
            <w:vAlign w:val="center"/>
            <w:shd w:fill="F4F6F8"/>
          </w:tcPr>
          <w:p>
            <w:pPr>
              <w:spacing w:after="0" w:line="240" w:lineRule="auto"/>
              <w:jc w:val="center"/>
            </w:pPr>
            <w:r>
              <w:rPr>
                <w:color w:val="20252B"/>
                <w:sz w:val="15"/>
              </w:rPr>
              <w:t>EY</w:t>
            </w:r>
          </w:p>
        </w:tc>
        <w:tc>
          <w:tcPr>
            <w:tcW w:type="dxa" w:w="1440"/>
            <w:tcMar>
              <w:top w:w="90" w:type="dxa"/>
              <w:start w:w="110" w:type="dxa"/>
              <w:bottom w:w="90" w:type="dxa"/>
              <w:end w:w="110" w:type="dxa"/>
            </w:tcMar>
            <w:vAlign w:val="center"/>
            <w:shd w:fill="F4F6F8"/>
          </w:tcPr>
          <w:p>
            <w:pPr>
              <w:spacing w:after="0" w:line="240" w:lineRule="auto"/>
              <w:jc w:val="center"/>
            </w:pPr>
            <w:r>
              <w:rPr>
                <w:color w:val="20252B"/>
                <w:sz w:val="15"/>
              </w:rPr>
              <w:t>Deloitte</w:t>
            </w:r>
          </w:p>
        </w:tc>
        <w:tc>
          <w:tcPr>
            <w:tcW w:type="dxa" w:w="4320"/>
            <w:tcMar>
              <w:top w:w="90" w:type="dxa"/>
              <w:start w:w="110" w:type="dxa"/>
              <w:bottom w:w="90" w:type="dxa"/>
              <w:end w:w="110" w:type="dxa"/>
            </w:tcMar>
            <w:vAlign w:val="center"/>
            <w:shd w:fill="F4F6F8"/>
          </w:tcPr>
          <w:p>
            <w:pPr>
              <w:spacing w:after="0" w:line="240" w:lineRule="auto"/>
            </w:pPr>
            <w:r>
              <w:rPr>
                <w:color w:val="20252B"/>
                <w:sz w:val="15"/>
              </w:rPr>
              <w:t>Both expose a deep system of services, industries, cases, leadership topics, news, and careers</w:t>
            </w:r>
          </w:p>
        </w:tc>
      </w:tr>
    </w:tbl>
    <w:p>
      <w:pPr>
        <w:spacing w:after="20"/>
      </w:pPr>
    </w:p>
    <w:p>
      <w:pPr>
        <w:pStyle w:val="Heading2"/>
      </w:pPr>
      <w:r>
        <w:t>Bottom line</w:t>
      </w:r>
    </w:p>
    <w:p>
      <w:r>
        <w:t>A website feels elite when it demonstrates judgment at every level. The firm has chosen what to say first, which proof deserves attention, how a buyer should navigate complexity, what visual behaviors belong to the brand, and which action fits the visitor's intent. Budget can buy photography, motion, and custom type. It cannot buy the editorial discipline that makes those assets coherent.</w:t>
      </w:r>
    </w:p>
    <w:p>
      <w:r>
        <w:t>Bain is the most complete model because it makes the business case for the firm while still functioning as a useful executive resource. BCG and Accenture show two different paths to distinctiveness: intellectual warmth and digital intensity. Deloitte, EY, and PwC demonstrate how institutional breadth builds trust but also creates experience debt. KPMG and Baker Tilly show that professional polish is not the same as differentiation. EchoFrame proves that a startup can compete on focus and specificity, but elite authority ultimately requires a larger body of verifiable work.</w:t>
      </w:r>
    </w:p>
    <w:p>
      <w:r>
        <w:br w:type="page"/>
      </w:r>
    </w:p>
    <w:p>
      <w:pPr>
        <w:pStyle w:val="Heading1"/>
      </w:pPr>
      <w:r>
        <w:t>Sources</w:t>
      </w:r>
    </w:p>
    <w:p>
      <w:pPr>
        <w:pStyle w:val="Small"/>
        <w:ind w:left="216" w:hanging="216"/>
      </w:pPr>
      <w:r>
        <w:rPr>
          <w:b/>
        </w:rPr>
        <w:t xml:space="preserve">1. </w:t>
      </w:r>
      <w:hyperlink r:id="rId9">
        <w:r>
          <w:rPr>
            <w:color w:val="3C5C88"/>
            <w:u w:val="single"/>
          </w:rPr>
          <w:t>Bain and Company homepage</w:t>
        </w:r>
      </w:hyperlink>
      <w:r>
        <w:t>. Homepage navigation, guided selector, client impact, insights, and conversion paths.</w:t>
      </w:r>
    </w:p>
    <w:p>
      <w:pPr>
        <w:pStyle w:val="Small"/>
        <w:ind w:left="216" w:hanging="216"/>
      </w:pPr>
      <w:r>
        <w:rPr>
          <w:b/>
        </w:rPr>
        <w:t xml:space="preserve">2. </w:t>
      </w:r>
      <w:hyperlink r:id="rId10">
        <w:r>
          <w:rPr>
            <w:color w:val="3C5C88"/>
            <w:u w:val="single"/>
          </w:rPr>
          <w:t>Boston Consulting Group homepage</w:t>
        </w:r>
      </w:hyperlink>
      <w:r>
        <w:t>. Homepage positioning, current insight packaging, BCG Answer, client impact, and navigation.</w:t>
      </w:r>
    </w:p>
    <w:p>
      <w:pPr>
        <w:pStyle w:val="Small"/>
        <w:ind w:left="216" w:hanging="216"/>
      </w:pPr>
      <w:r>
        <w:rPr>
          <w:b/>
        </w:rPr>
        <w:t xml:space="preserve">3. </w:t>
      </w:r>
      <w:hyperlink r:id="rId11">
        <w:r>
          <w:rPr>
            <w:color w:val="3C5C88"/>
            <w:u w:val="single"/>
          </w:rPr>
          <w:t>Accenture homepage</w:t>
        </w:r>
      </w:hyperlink>
      <w:r>
        <w:t>. Reinvention positioning, research cards, client spotlight, awards, navigation, and interaction patterns.</w:t>
      </w:r>
    </w:p>
    <w:p>
      <w:pPr>
        <w:pStyle w:val="Small"/>
        <w:ind w:left="216" w:hanging="216"/>
      </w:pPr>
      <w:r>
        <w:rPr>
          <w:b/>
        </w:rPr>
        <w:t xml:space="preserve">4. </w:t>
      </w:r>
      <w:hyperlink r:id="rId12">
        <w:r>
          <w:rPr>
            <w:color w:val="3C5C88"/>
            <w:u w:val="single"/>
          </w:rPr>
          <w:t>KPMG US homepage</w:t>
        </w:r>
      </w:hyperlink>
      <w:r>
        <w:t>. Adaptability campaign, featured insights, client stories, newsletter, and navigation.</w:t>
      </w:r>
    </w:p>
    <w:p>
      <w:pPr>
        <w:pStyle w:val="Small"/>
        <w:ind w:left="216" w:hanging="216"/>
      </w:pPr>
      <w:r>
        <w:rPr>
          <w:b/>
        </w:rPr>
        <w:t xml:space="preserve">5. </w:t>
      </w:r>
      <w:hyperlink r:id="rId13">
        <w:r>
          <w:rPr>
            <w:color w:val="3C5C88"/>
            <w:u w:val="single"/>
          </w:rPr>
          <w:t>Deloitte US homepage</w:t>
        </w:r>
      </w:hyperlink>
      <w:r>
        <w:t>. Homepage campaign, client stories, services, industries, alliances, and careers.</w:t>
      </w:r>
    </w:p>
    <w:p>
      <w:pPr>
        <w:pStyle w:val="Small"/>
        <w:ind w:left="216" w:hanging="216"/>
      </w:pPr>
      <w:r>
        <w:rPr>
          <w:b/>
        </w:rPr>
        <w:t xml:space="preserve">6. </w:t>
      </w:r>
      <w:hyperlink r:id="rId14">
        <w:r>
          <w:rPr>
            <w:color w:val="3C5C88"/>
            <w:u w:val="single"/>
          </w:rPr>
          <w:t>PwC US homepage</w:t>
        </w:r>
      </w:hyperlink>
      <w:r>
        <w:t>. Intelligent enterprise positioning, current research, content labels, and homepage structure.</w:t>
      </w:r>
    </w:p>
    <w:p>
      <w:pPr>
        <w:pStyle w:val="Small"/>
        <w:ind w:left="216" w:hanging="216"/>
      </w:pPr>
      <w:r>
        <w:rPr>
          <w:b/>
        </w:rPr>
        <w:t xml:space="preserve">7. </w:t>
      </w:r>
      <w:hyperlink r:id="rId15">
        <w:r>
          <w:rPr>
            <w:color w:val="3C5C88"/>
            <w:u w:val="single"/>
          </w:rPr>
          <w:t>EY US homepage</w:t>
        </w:r>
      </w:hyperlink>
      <w:r>
        <w:t>. Services, industries, named cases, executive agendas, press releases, and institutional content.</w:t>
      </w:r>
    </w:p>
    <w:p>
      <w:pPr>
        <w:pStyle w:val="Small"/>
        <w:ind w:left="216" w:hanging="216"/>
      </w:pPr>
      <w:r>
        <w:rPr>
          <w:b/>
        </w:rPr>
        <w:t xml:space="preserve">8. </w:t>
      </w:r>
      <w:hyperlink r:id="rId16">
        <w:r>
          <w:rPr>
            <w:color w:val="3C5C88"/>
            <w:u w:val="single"/>
          </w:rPr>
          <w:t>Baker Tilly consulting page</w:t>
        </w:r>
      </w:hyperlink>
      <w:r>
        <w:t>. Consulting proposition, service categories, insight sequence, proof, and page structure.</w:t>
      </w:r>
    </w:p>
    <w:p>
      <w:pPr>
        <w:pStyle w:val="Small"/>
        <w:ind w:left="216" w:hanging="216"/>
      </w:pPr>
      <w:r>
        <w:rPr>
          <w:b/>
        </w:rPr>
        <w:t xml:space="preserve">9. </w:t>
      </w:r>
      <w:hyperlink r:id="rId17">
        <w:r>
          <w:rPr>
            <w:color w:val="3C5C88"/>
            <w:u w:val="single"/>
          </w:rPr>
          <w:t>EchoFrame homepage</w:t>
        </w:r>
      </w:hyperlink>
      <w:r>
        <w:t>. Homepage proposition, point of view, proof claim, service model, pricing, metadata, and conversion structure.</w:t>
      </w:r>
    </w:p>
    <w:p>
      <w:pPr>
        <w:pStyle w:val="Small"/>
        <w:ind w:left="216" w:hanging="216"/>
      </w:pPr>
      <w:r>
        <w:rPr>
          <w:b/>
        </w:rPr>
        <w:t xml:space="preserve">10. </w:t>
      </w:r>
      <w:hyperlink r:id="rId18">
        <w:r>
          <w:rPr>
            <w:color w:val="3C5C88"/>
            <w:u w:val="single"/>
          </w:rPr>
          <w:t>Google web.dev Core Web Vitals</w:t>
        </w:r>
      </w:hyperlink>
      <w:r>
        <w:t>. Performance framework covering user-centered loading, responsiveness, and visual stability metrics.</w:t>
      </w:r>
    </w:p>
    <w:p>
      <w:pPr>
        <w:pStyle w:val="Small"/>
        <w:ind w:left="216" w:hanging="216"/>
      </w:pPr>
      <w:r>
        <w:rPr>
          <w:b/>
        </w:rPr>
        <w:t xml:space="preserve">11. </w:t>
      </w:r>
      <w:hyperlink r:id="rId19">
        <w:r>
          <w:rPr>
            <w:color w:val="3C5C88"/>
            <w:u w:val="single"/>
          </w:rPr>
          <w:t>W3C Web Content Accessibility Guidelines 2.2</w:t>
        </w:r>
      </w:hyperlink>
      <w:r>
        <w:t>. Accessibility criteria and conformance framework.</w:t>
      </w:r>
    </w:p>
    <w:p>
      <w:pPr>
        <w:pStyle w:val="Small"/>
        <w:ind w:left="216" w:hanging="216"/>
      </w:pPr>
      <w:r>
        <w:rPr>
          <w:b/>
        </w:rPr>
        <w:t xml:space="preserve">12. </w:t>
      </w:r>
      <w:hyperlink r:id="rId20">
        <w:r>
          <w:rPr>
            <w:color w:val="3C5C88"/>
            <w:u w:val="single"/>
          </w:rPr>
          <w:t>Nielsen Norman Group About Us guidance</w:t>
        </w:r>
      </w:hyperlink>
      <w:r>
        <w:t>. Research-based guidance on trust and organizational information.</w:t>
      </w:r>
    </w:p>
    <w:sectPr w:rsidR="00FC693F" w:rsidRPr="0006063C" w:rsidSect="00034616">
      <w:footerReference w:type="default" r:id="rId21"/>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color w:val="777777"/>
        <w:sz w:val="16"/>
      </w:rPr>
      <w:t>Elite Consulting Website Audit</w:t>
    </w:r>
    <w:r>
      <w:t xml:space="preserve">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025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6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ditLead">
    <w:name w:val="Audit Lead"/>
    <w:pPr>
      <w:spacing w:after="320" w:line="269" w:lineRule="auto"/>
    </w:pPr>
    <w:rPr>
      <w:rFonts w:ascii="Aptos" w:hAnsi="Aptos"/>
      <w:color w:val="3C5C88"/>
      <w:sz w:val="26"/>
    </w:rPr>
  </w:style>
  <w:style w:type="paragraph" w:customStyle="1" w:styleId="Small">
    <w:name w:val="Small"/>
    <w:pPr>
      <w:spacing w:after="80"/>
    </w:pPr>
    <w:rPr>
      <w:rFonts w:ascii="Aptos" w:hAnsi="Aptos"/>
      <w:color w:val="55555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ain.com/" TargetMode="External"/><Relationship Id="rId10" Type="http://schemas.openxmlformats.org/officeDocument/2006/relationships/hyperlink" Target="https://www.bcg.com/" TargetMode="External"/><Relationship Id="rId11" Type="http://schemas.openxmlformats.org/officeDocument/2006/relationships/hyperlink" Target="https://www.accenture.com/en" TargetMode="External"/><Relationship Id="rId12" Type="http://schemas.openxmlformats.org/officeDocument/2006/relationships/hyperlink" Target="https://kpmg.com/us/en.html" TargetMode="External"/><Relationship Id="rId13" Type="http://schemas.openxmlformats.org/officeDocument/2006/relationships/hyperlink" Target="https://www.deloitte.com/us/en.html" TargetMode="External"/><Relationship Id="rId14" Type="http://schemas.openxmlformats.org/officeDocument/2006/relationships/hyperlink" Target="https://www.pwc.com/us/en.html" TargetMode="External"/><Relationship Id="rId15" Type="http://schemas.openxmlformats.org/officeDocument/2006/relationships/hyperlink" Target="https://www.ey.com/en_us" TargetMode="External"/><Relationship Id="rId16" Type="http://schemas.openxmlformats.org/officeDocument/2006/relationships/hyperlink" Target="https://www.bakertilly.com/services/consulting" TargetMode="External"/><Relationship Id="rId17" Type="http://schemas.openxmlformats.org/officeDocument/2006/relationships/hyperlink" Target="https://echoframe.net/" TargetMode="External"/><Relationship Id="rId18" Type="http://schemas.openxmlformats.org/officeDocument/2006/relationships/hyperlink" Target="https://web.dev/articles/vitals" TargetMode="External"/><Relationship Id="rId19" Type="http://schemas.openxmlformats.org/officeDocument/2006/relationships/hyperlink" Target="https://www.w3.org/TR/WCAG22/" TargetMode="External"/><Relationship Id="rId20" Type="http://schemas.openxmlformats.org/officeDocument/2006/relationships/hyperlink" Target="https://www.nngroup.com/articles/about-us-information-on-websites/" TargetMode="Externa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Elite Consulting Website Audit</dc:title>
  <dc:subject>Comparative audit of leading consulting and professional-services websites</dc:subject>
  <dc:creator>OpenAI</dc:creator>
  <cp:keywords>consulting, website audit, UX, brand, content, conversion, accessibility</cp:keywords>
  <dc:description>generated by python-docx</dc:description>
  <cp:lastModifiedBy/>
  <cp:revision>1</cp:revision>
  <dcterms:created xsi:type="dcterms:W3CDTF">2013-12-23T23:15:00Z</dcterms:created>
  <dcterms:modified xsi:type="dcterms:W3CDTF">2013-12-23T23:15:00Z</dcterms:modified>
  <cp:category/>
</cp:coreProperties>
</file>