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Operations Blueprint</w:t>
      </w:r>
    </w:p>
    <w:p>
      <w:r>
        <w:t>Purpose: Provide a polished client-deliverable structure</w:t>
      </w:r>
    </w:p>
    <w:p>
      <w:r>
        <w:t>Version: 1.0 | Date: 2026-08-28</w:t>
      </w:r>
    </w:p>
    <w:p>
      <w:pPr>
        <w:pStyle w:val="Heading1"/>
      </w:pPr>
      <w:r>
        <w:t>Executive standard</w:t>
      </w:r>
    </w:p>
    <w:p>
      <w:r>
        <w:t>Lead with the business decision and verified evidence. Mark estimates. Remove internal notes. Use the client’s terminology and accessibility needs.</w:t>
      </w:r>
    </w:p>
    <w:p>
      <w:pPr>
        <w:pStyle w:val="Heading1"/>
      </w:pPr>
      <w:r>
        <w:t>Required sections</w:t>
      </w:r>
    </w:p>
    <w:p>
      <w:pPr>
        <w:pStyle w:val="ListBullet"/>
      </w:pPr>
      <w:r>
        <w:t>Executive context</w:t>
      </w:r>
    </w:p>
    <w:p>
      <w:pPr>
        <w:pStyle w:val="ListBullet"/>
      </w:pPr>
      <w:r>
        <w:t>operating goals</w:t>
      </w:r>
    </w:p>
    <w:p>
      <w:pPr>
        <w:pStyle w:val="ListBullet"/>
      </w:pPr>
      <w:r>
        <w:t>readiness</w:t>
      </w:r>
    </w:p>
    <w:p>
      <w:pPr>
        <w:pStyle w:val="ListBullet"/>
      </w:pPr>
      <w:r>
        <w:t>current-state portfolio</w:t>
      </w:r>
    </w:p>
    <w:p>
      <w:pPr>
        <w:pStyle w:val="ListBullet"/>
      </w:pPr>
      <w:r>
        <w:t>target operating model</w:t>
      </w:r>
    </w:p>
    <w:p>
      <w:pPr>
        <w:pStyle w:val="ListBullet"/>
      </w:pPr>
      <w:r>
        <w:t>governance</w:t>
      </w:r>
    </w:p>
    <w:p>
      <w:pPr>
        <w:pStyle w:val="ListBullet"/>
      </w:pPr>
      <w:r>
        <w:t>prioritized workflows</w:t>
      </w:r>
    </w:p>
    <w:p>
      <w:pPr>
        <w:pStyle w:val="ListBullet"/>
      </w:pPr>
      <w:r>
        <w:t>roadmap</w:t>
      </w:r>
    </w:p>
    <w:p>
      <w:pPr>
        <w:pStyle w:val="ListBullet"/>
      </w:pPr>
      <w:r>
        <w:t>economics</w:t>
      </w:r>
    </w:p>
    <w:p>
      <w:pPr>
        <w:pStyle w:val="ListBullet"/>
      </w:pPr>
      <w:r>
        <w:t>risks</w:t>
      </w:r>
    </w:p>
    <w:p>
      <w:pPr>
        <w:pStyle w:val="ListBullet"/>
      </w:pPr>
      <w:r>
        <w:t>decisions.</w:t>
      </w:r>
    </w:p>
    <w:p>
      <w:pPr>
        <w:pStyle w:val="Heading1"/>
      </w:pPr>
      <w:r>
        <w:t>Quality gate</w:t>
      </w:r>
    </w:p>
    <w:p>
      <w:r>
        <w:t>Factual owner review; security/data review; internal consistency; accessible headings/tables; no confidential data beyond authorized audience; decisions, limits, and next actions explicit.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