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Draft</w:t>
      </w:r>
    </w:p>
    <w:p>
      <w:r>
        <w:t>Purpose: DRAFT FOR ATTORNEY REVIEW. This is a business-operating draft, not legal advice. Counsel must adapt it to the entity, jurisdiction, services, insurance, data practices, and client sector.</w:t>
      </w:r>
    </w:p>
    <w:p>
      <w:r>
        <w:t>Version: 1.0 | Date: 2026-08-28</w:t>
      </w:r>
    </w:p>
    <w:p>
      <w:pPr>
        <w:pStyle w:val="Heading1"/>
      </w:pPr>
      <w:r>
        <w:t>Parties and orders</w:t>
      </w:r>
    </w:p>
    <w:p>
      <w:r>
        <w:t>Agreement between the identified consultant entity and client. Services are authorized only by signed SOWs. Conflicts: DPA/change order, then SOW, then MSA unless expressly stated.</w:t>
      </w:r>
    </w:p>
    <w:p>
      <w:pPr>
        <w:pStyle w:val="Heading1"/>
      </w:pPr>
      <w:r>
        <w:t>Performance</w:t>
      </w:r>
    </w:p>
    <w:p>
      <w:r>
        <w:t>Consultant provides professional workflow consulting, implementation, training, and documentation using commercially reasonable care. Client supplies accurate information, access, approvals, qualified reviewers, lawful instructions, and security contacts.</w:t>
      </w:r>
    </w:p>
    <w:p>
      <w:pPr>
        <w:pStyle w:val="Heading1"/>
      </w:pPr>
      <w:r>
        <w:t>Fees</w:t>
      </w:r>
    </w:p>
    <w:p>
      <w:r>
        <w:t>Invoices follow SOW. Deposits reserve capacity. Client pays approved third-party and travel costs. Undisputed late amounts may pause work after written notice. Taxes are client responsibility except consultant income taxes.</w:t>
      </w:r>
    </w:p>
    <w:p>
      <w:pPr>
        <w:pStyle w:val="Heading1"/>
      </w:pPr>
      <w:r>
        <w:t>Change and acceptance</w:t>
      </w:r>
    </w:p>
    <w:p>
      <w:r>
        <w:t>Scope changes require written change order. Deliverables are accepted on written approval or if no material nonconformity is reported within 10 business days with reproducible detail. Consultant remedies verified nonconformity to the agreed criteria.</w:t>
      </w:r>
    </w:p>
    <w:p>
      <w:pPr>
        <w:pStyle w:val="Heading1"/>
      </w:pPr>
      <w:r>
        <w:t>AI provisions</w:t>
      </w:r>
    </w:p>
    <w:p>
      <w:r>
        <w:t>AI outputs may be incomplete or incorrect. Client remains responsible for business decisions and required professional review. No consequential, regulated, safety-critical, employment, credit, clinical, legal, or financial action may be automated unless expressly designed and approved in the SOW. Models/vendors can change. Neither party will submit unauthorized data.</w:t>
      </w:r>
    </w:p>
    <w:p>
      <w:pPr>
        <w:pStyle w:val="Heading1"/>
      </w:pPr>
      <w:r>
        <w:t>Confidentiality and security</w:t>
      </w:r>
    </w:p>
    <w:p>
      <w:r>
        <w:t>Each party protects Confidential Information using reasonable safeguards and uses it only for the agreement. Required disclosures receive notice where lawful. Security commitments are limited to the SOW/DPA; no certification is implied.</w:t>
      </w:r>
    </w:p>
    <w:p>
      <w:pPr>
        <w:pStyle w:val="Heading1"/>
      </w:pPr>
      <w:r>
        <w:t>IP and ownership</w:t>
      </w:r>
    </w:p>
    <w:p>
      <w:r>
        <w:t>Each party retains background IP. Upon full payment, client owns bespoke deliverables identified in the SOW, excluding consultant background methods, generalized know-how, tools, templates, and third-party materials. Client receives a perpetual internal-use license to embedded consultant background material necessary to use the deliverable. Counsel must refine AI-output ownership and license terms.</w:t>
      </w:r>
    </w:p>
    <w:p>
      <w:pPr>
        <w:pStyle w:val="Heading1"/>
      </w:pPr>
      <w:r>
        <w:t>Warranties and disclaimers</w:t>
      </w:r>
    </w:p>
    <w:p>
      <w:r>
        <w:t>Authority, non-malicious code, and material conformance may be warranted as approved by counsel. Otherwise services and AI outputs are provided without implied warranties to the maximum lawful extent. No guaranteed savings, revenue, accuracy, or uninterrupted vendor service.</w:t>
      </w:r>
    </w:p>
    <w:p>
      <w:pPr>
        <w:pStyle w:val="Heading1"/>
      </w:pPr>
      <w:r>
        <w:t>Liability</w:t>
      </w:r>
    </w:p>
    <w:p>
      <w:r>
        <w:t>Draft position: exclude indirect, special, consequential, punitive, and lost-profit damages; aggregate liability capped at fees paid under the affected SOW in the prior 12 months. Counsel must set exceptions, mutuality, indemnities, and enforceability.</w:t>
      </w:r>
    </w:p>
    <w:p>
      <w:pPr>
        <w:pStyle w:val="Heading1"/>
      </w:pPr>
      <w:r>
        <w:t>Termination</w:t>
      </w:r>
    </w:p>
    <w:p>
      <w:r>
        <w:t>Either party may terminate for uncured material breach after 10 business days’ notice. Client may terminate for convenience on written notice but pays completed work, committed noncancelable costs, and reserved capacity as counsel approves. Consultant returns/transfers client materials and follows deletion obligations.</w:t>
      </w:r>
    </w:p>
    <w:p>
      <w:pPr>
        <w:pStyle w:val="Heading1"/>
      </w:pPr>
      <w:r>
        <w:t>General</w:t>
      </w:r>
    </w:p>
    <w:p>
      <w:r>
        <w:t>Independent contractors; no partnership; assignment, force majeure, notices, waiver, severability, entire agreement, counterparts/e-signature. Governing law, venue, dispute process, addresses, and entity names require counsel/owner completion before signature.</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Practical AI Operations | v1.0 | 2026-08-28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B1F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