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— Draft</w:t>
      </w:r>
    </w:p>
    <w:p>
      <w:r>
        <w:t>Purpose: DRAFT FOR ATTORNEY REVIEW. This is a business-operating draft, not legal advice. Counsel must adapt it to the entity, jurisdiction, services, insurance, data practices, and client sector.</w:t>
      </w:r>
    </w:p>
    <w:p>
      <w:r>
        <w:t>Version: 1.0 | Date: 2026-08-28</w:t>
      </w:r>
    </w:p>
    <w:p>
      <w:pPr>
        <w:pStyle w:val="Heading1"/>
      </w:pPr>
      <w:r>
        <w:t>Order details</w:t>
      </w:r>
    </w:p>
    <w:p>
      <w:r>
        <w:t>SOW ID; effective date; parties; offer; sponsor; process owner; project lead; locations.</w:t>
      </w:r>
    </w:p>
    <w:p>
      <w:pPr>
        <w:pStyle w:val="Heading1"/>
      </w:pPr>
      <w:r>
        <w:t>Business outcome</w:t>
      </w:r>
    </w:p>
    <w:p>
      <w:r>
        <w:t>Current condition, intended future condition, benefit categories, and explicitly non-guaranteed outcomes.</w:t>
      </w:r>
    </w:p>
    <w:p>
      <w:pPr>
        <w:pStyle w:val="Heading1"/>
      </w:pPr>
      <w:r>
        <w:t>Scope</w:t>
      </w:r>
    </w:p>
    <w:p>
      <w:r>
        <w:t>Named workflows, departments, users, systems, data classes, deliverables, meetings, training, support, milestones, acceptance tests, assumptions, client dependencies.</w:t>
      </w:r>
    </w:p>
    <w:p>
      <w:pPr>
        <w:pStyle w:val="Heading1"/>
      </w:pPr>
      <w:r>
        <w:t>Controls</w:t>
      </w:r>
    </w:p>
    <w:p>
      <w:r>
        <w:t>Approved tools/accounts; human review; prohibited uses/data; access; logging; fallback; incident/escalation; security/DPA requirements.</w:t>
      </w:r>
    </w:p>
    <w:p>
      <w:pPr>
        <w:pStyle w:val="Heading1"/>
      </w:pPr>
      <w:r>
        <w:t>Commercials</w:t>
      </w:r>
    </w:p>
    <w:p>
      <w:r>
        <w:t>Price, deposit, milestone invoices, payment due dates, travel, third-party fees, taxes, pause rights, cancellation/termination economics.</w:t>
      </w:r>
    </w:p>
    <w:p>
      <w:pPr>
        <w:pStyle w:val="Heading1"/>
      </w:pPr>
      <w:r>
        <w:t>Exclusions</w:t>
      </w:r>
    </w:p>
    <w:p>
      <w:r>
        <w:t>Anything not expressly listed, including licenses, migrations, data cleanup, 24/7 support, formal compliance certification, and autonomous consequential decisions unless added.</w:t>
      </w:r>
    </w:p>
    <w:p>
      <w:pPr>
        <w:pStyle w:val="Heading1"/>
      </w:pPr>
      <w:r>
        <w:t>Signatures</w:t>
      </w:r>
    </w:p>
    <w:p>
      <w:r>
        <w:t>Authorized representatives approve this SOW and incorporated MSA/DPA/change-order process.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