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Acceptable Use Policy</w:t>
      </w:r>
    </w:p>
    <w:p>
      <w:r>
        <w:t>Purpose: Establish a practical security baseline</w:t>
      </w:r>
    </w:p>
    <w:p>
      <w:r>
        <w:t>Version: 1.0 | Date: 2026-08-28</w:t>
      </w:r>
    </w:p>
    <w:p>
      <w:pPr>
        <w:pStyle w:val="Heading1"/>
      </w:pPr>
      <w:r>
        <w:t>Policy</w:t>
      </w:r>
    </w:p>
    <w:p>
      <w:r>
        <w:t>Approved tools/accounts only; human accountability; no secrets; no unlawful deception; no unauthorized likeness/content; no consequential autonomous decisions; verify outputs; report incidents.</w:t>
      </w:r>
    </w:p>
    <w:p>
      <w:pPr>
        <w:pStyle w:val="Heading1"/>
      </w:pPr>
      <w:r>
        <w:t>Evidence</w:t>
      </w:r>
    </w:p>
    <w:p>
      <w:r>
        <w:t>Record owner, approver, effective date, systems in scope, exceptions, control evidence, incident contact, and next review.</w:t>
      </w:r>
    </w:p>
    <w:p>
      <w:pPr>
        <w:pStyle w:val="Heading1"/>
      </w:pPr>
      <w:r>
        <w:t>Exception rule</w:t>
      </w:r>
    </w:p>
    <w:p>
      <w:r>
        <w:t>Exceptions require written business reason, risk assessment, compensating controls, expiry date, and accountable approval. Convenience alone is not sufficient.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