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Blueprint</w:t>
      </w:r>
    </w:p>
    <w:p>
      <w:r>
        <w:t>Purpose: Define how the company creates, delivers, and captures value</w:t>
      </w:r>
    </w:p>
    <w:p>
      <w:r>
        <w:t>Version: 1.0 | Date: 2026-08-28</w:t>
      </w:r>
    </w:p>
    <w:p>
      <w:pPr>
        <w:pStyle w:val="Heading1"/>
      </w:pPr>
      <w:r>
        <w:t>Mission</w:t>
      </w:r>
    </w:p>
    <w:p>
      <w:r>
        <w:t>Help established businesses turn repeatable knowledge work into safe, useful AI-enabled workflows, then give their people the skills and documentation to own them.</w:t>
      </w:r>
    </w:p>
    <w:p>
      <w:pPr>
        <w:pStyle w:val="Heading1"/>
      </w:pPr>
      <w:r>
        <w:t>Business model</w:t>
      </w:r>
    </w:p>
    <w:p>
      <w:r>
        <w:t>Founder-led projects produce diagnostic, implementation, training, and assurance revenue. Productized boundaries reduce sales friction while SOWs preserve flexibility. Retainers protect workflow reliability and adoption after launch.</w:t>
      </w:r>
    </w:p>
    <w:p>
      <w:pPr>
        <w:pStyle w:val="Heading1"/>
      </w:pPr>
      <w:r>
        <w:t>Category</w:t>
      </w:r>
    </w:p>
    <w:p>
      <w:r>
        <w:t>AI Operations Enablement sits between generic training, management consulting, automation agencies, and software vendors. The unit of value is an adopted workflow with an owner, controls, evidence, and measurable operating impact.</w:t>
      </w:r>
    </w:p>
    <w:p>
      <w:pPr>
        <w:pStyle w:val="Heading1"/>
      </w:pPr>
      <w:r>
        <w:t>Operating loop</w:t>
      </w:r>
    </w:p>
    <w:p>
      <w:r>
        <w:t>Discover → map → classify data → score opportunities → design → prototype → test → train → launch → measure → transfer → improve.</w:t>
      </w:r>
    </w:p>
    <w:p>
      <w:pPr>
        <w:pStyle w:val="Heading1"/>
      </w:pPr>
      <w:r>
        <w:t>Moat</w:t>
      </w:r>
    </w:p>
    <w:p>
      <w:r>
        <w:t>Cumulative workflow patterns, decision records, test libraries, role-based training, vendor-neutral selection evidence, and credible ROI measurement. Client dependency is not the moat.</w:t>
      </w:r>
    </w:p>
    <w:p>
      <w:pPr>
        <w:pStyle w:val="Heading1"/>
      </w:pPr>
      <w:r>
        <w:t>Success metrics</w:t>
      </w:r>
    </w:p>
    <w:p>
      <w:r>
        <w:t>Qualified referral introductions; diagnostic-to-build conversion; gross margin; time-to-first-value; workflow adoption; acceptance pass rate; verified hours/cost/revenue effects; retainer attachment; referral and case-study rate.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Practical AI Operations | v1.0 | 2026-08-28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0B1F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