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5328"/>
        <w:gridCol w:w="5328"/>
      </w:tblGrid>
      <w:tr>
        <w:tc>
          <w:tcPr>
            <w:tcW w:type="dxa" w:w="5328"/>
            <w:tcW w:w="6606" w:type="dxa"/>
            <w:shd w:val="clear" w:color="auto" w:fill="012A4A"/>
            <w:tcMar>
              <w:top w:w="160" w:type="dxa"/>
              <w:bottom w:w="160" w:type="dxa"/>
              <w:left w:w="22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FFFFFF"/>
                <w:sz w:val="40"/>
              </w:rPr>
              <w:t>Tony's Brick Oven Pizza</w:t>
            </w:r>
          </w:p>
          <w:p>
            <w:pPr>
              <w:spacing w:before="40" w:after="0"/>
            </w:pPr>
            <w:r>
              <w:rPr>
                <w:rFonts w:ascii="Arial" w:hAnsi="Arial"/>
                <w:color w:val="9CA3AF"/>
                <w:sz w:val="19"/>
              </w:rPr>
              <w:t>Rival Scan  ·  Local Competitive Monitoring  ·  June 2026</w:t>
            </w:r>
          </w:p>
        </w:tc>
        <w:tc>
          <w:tcPr>
            <w:tcW w:type="dxa" w:w="5328"/>
            <w:tcW w:w="4049" w:type="dxa"/>
            <w:shd w:val="clear" w:color="auto" w:fill="012A4A"/>
            <w:tcMar>
              <w:top w:w="160" w:type="dxa"/>
              <w:bottom w:w="160" w:type="dxa"/>
              <w:left w:w="100" w:type="dxa"/>
              <w:right w:w="220" w:type="dxa"/>
            </w:tcMar>
          </w:tcPr>
          <w:p>
            <w:pPr>
              <w:spacing w:before="0" w:after="20"/>
              <w:jc w:val="right"/>
            </w:pPr>
            <w:r>
              <w:rPr>
                <w:rFonts w:ascii="Arial" w:hAnsi="Arial"/>
                <w:b/>
                <w:color w:val="FFFFFF"/>
                <w:sz w:val="14"/>
              </w:rPr>
              <w:t>POWERED BY</w:t>
            </w:r>
          </w:p>
          <w:p>
            <w:pPr>
              <w:spacing w:before="0" w:after="40"/>
              <w:jc w:val="right"/>
            </w:pPr>
            <w:r>
              <w:rPr>
                <w:rFonts w:ascii="Arial" w:hAnsi="Arial"/>
                <w:b/>
                <w:color w:val="C8972A"/>
                <w:sz w:val="52"/>
              </w:rPr>
              <w:t>EchoFrame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/>
                <w:i/>
                <w:color w:val="FFFFFF"/>
                <w:sz w:val="16"/>
              </w:rPr>
              <w:t>Business intelligence, not accounting.</w:t>
            </w:r>
          </w:p>
        </w:tc>
      </w:tr>
    </w:tbl>
    <w:p>
      <w:pPr>
        <w:spacing w:before="80" w:after="0"/>
      </w:pPr>
    </w:p>
    <w:p>
      <w:pPr>
        <w:spacing w:before="40" w:after="120"/>
      </w:pPr>
      <w:r>
        <w:rPr>
          <w:rFonts w:ascii="Arial" w:hAnsi="Arial"/>
          <w:b/>
          <w:color w:val="C8972A"/>
          <w:sz w:val="17"/>
        </w:rPr>
        <w:t xml:space="preserve">REDACTED SAMPLE  </w:t>
      </w:r>
      <w:r>
        <w:rPr>
          <w:rFonts w:ascii="Arial" w:hAnsi="Arial"/>
          <w:i/>
          <w:color w:val="9CA3AF"/>
          <w:sz w:val="17"/>
        </w:rPr>
        <w:t>— Fictional business and competitors. Prices, ratings, and promotions are illustrative only and do not reflect any real establishment.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tcW w:w="3552" w:type="dxa"/>
            <w:shd w:val="clear" w:color="auto" w:fill="DBEAFE"/>
            <w:tcMar>
              <w:top w:w="90" w:type="dxa"/>
              <w:bottom w:w="90" w:type="dxa"/>
              <w:left w:w="220" w:type="dxa"/>
              <w:right w:w="140" w:type="dxa"/>
            </w:tcMar>
            <w:tcBorders>
              <w:left w:val="single" w:sz="18" w:color="C8972A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9CA3AF"/>
                <w:sz w:val="20"/>
              </w:rPr>
              <w:t>COMPETITORS TRACKED</w:t>
            </w:r>
          </w:p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44"/>
              </w:rPr>
              <w:t>3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12A4A"/>
                <w:sz w:val="20"/>
              </w:rPr>
              <w:t>Within 4 mi of Broadway</w:t>
            </w:r>
          </w:p>
        </w:tc>
        <w:tc>
          <w:tcPr>
            <w:tcW w:type="dxa" w:w="3552"/>
            <w:tcW w:w="3552" w:type="dxa"/>
            <w:shd w:val="clear" w:color="auto" w:fill="DBEAFE"/>
            <w:tcMar>
              <w:top w:w="90" w:type="dxa"/>
              <w:bottom w:w="90" w:type="dxa"/>
              <w:left w:w="220" w:type="dxa"/>
              <w:right w:w="140" w:type="dxa"/>
            </w:tcMar>
            <w:tcBorders>
              <w:left w:val="single" w:sz="18" w:color="C8972A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9CA3AF"/>
                <w:sz w:val="20"/>
              </w:rPr>
              <w:t>CHANGES THIS MONTH</w:t>
            </w:r>
          </w:p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44"/>
              </w:rPr>
              <w:t>7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20"/>
              </w:rPr>
              <w:t>▲ up from 4 in May</w:t>
            </w:r>
          </w:p>
        </w:tc>
        <w:tc>
          <w:tcPr>
            <w:tcW w:type="dxa" w:w="3552"/>
            <w:tcW w:w="3552" w:type="dxa"/>
            <w:shd w:val="clear" w:color="auto" w:fill="DBEAFE"/>
            <w:tcMar>
              <w:top w:w="90" w:type="dxa"/>
              <w:bottom w:w="90" w:type="dxa"/>
              <w:left w:w="220" w:type="dxa"/>
              <w:right w:w="140" w:type="dxa"/>
            </w:tcMar>
            <w:tcBorders>
              <w:left w:val="single" w:sz="18" w:color="C8972A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9CA3AF"/>
                <w:sz w:val="20"/>
              </w:rPr>
              <w:t>YOUR PRICE POSITION</w:t>
            </w:r>
          </w:p>
          <w:p>
            <w:pPr>
              <w:spacing w:before="0" w:after="80"/>
            </w:pPr>
            <w:r>
              <w:rPr>
                <w:rFonts w:ascii="Arial" w:hAnsi="Arial"/>
                <w:b/>
                <w:color w:val="012A4A"/>
                <w:sz w:val="44"/>
              </w:rPr>
              <w:t>Mid-Market</w:t>
            </w:r>
          </w:p>
          <w:p>
            <w:pPr>
              <w:spacing w:before="0" w:after="0"/>
            </w:pPr>
            <w:r>
              <w:rPr>
                <w:rFonts w:ascii="Arial" w:hAnsi="Arial"/>
                <w:b/>
                <w:color w:val="012A4A"/>
                <w:sz w:val="20"/>
              </w:rPr>
              <w:t>2nd-lowest of 4 tracked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COMPETITOR COMPARISON  ·  Large 1-Topping Pizza</w:t>
            </w:r>
          </w:p>
        </w:tc>
      </w:tr>
    </w:tbl>
    <w:p>
      <w:pPr>
        <w:keepNext/>
        <w:spacing w:before="0" w:after="1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tcW w:w="2877" w:type="dxa"/>
            <w:shd w:val="clear" w:color="auto" w:fill="012A4A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Competitor</w:t>
            </w:r>
          </w:p>
        </w:tc>
        <w:tc>
          <w:tcPr>
            <w:tcW w:type="dxa" w:w="2131"/>
            <w:tcW w:w="1385" w:type="dxa"/>
            <w:shd w:val="clear" w:color="auto" w:fill="012A4A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Key Price</w:t>
              <w:br/>
              <w:t>(Lg 1-Topping)</w:t>
            </w:r>
          </w:p>
        </w:tc>
        <w:tc>
          <w:tcPr>
            <w:tcW w:type="dxa" w:w="2131"/>
            <w:tcW w:w="1704" w:type="dxa"/>
            <w:shd w:val="clear" w:color="auto" w:fill="012A4A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Rating / Reviews</w:t>
            </w:r>
          </w:p>
        </w:tc>
        <w:tc>
          <w:tcPr>
            <w:tcW w:type="dxa" w:w="2131"/>
            <w:tcW w:w="3196" w:type="dxa"/>
            <w:shd w:val="clear" w:color="auto" w:fill="012A4A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Current Promotion</w:t>
            </w:r>
          </w:p>
        </w:tc>
        <w:tc>
          <w:tcPr>
            <w:tcW w:type="dxa" w:w="2131"/>
            <w:tcW w:w="1491" w:type="dxa"/>
            <w:shd w:val="clear" w:color="auto" w:fill="012A4A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7"/>
              </w:rPr>
              <w:t>Change vs</w:t>
              <w:br/>
              <w:t>Last Month</w:t>
            </w:r>
          </w:p>
        </w:tc>
      </w:tr>
      <w:tr>
        <w:tc>
          <w:tcPr>
            <w:tcW w:type="dxa" w:w="2131"/>
            <w:tcW w:w="2877" w:type="dxa"/>
            <w:shd w:val="clear" w:color="auto" w:fill="FFFFFF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12A4A"/>
                <w:sz w:val="18"/>
              </w:rPr>
              <w:t>Tony's Brick Oven  (You)</w:t>
            </w:r>
          </w:p>
        </w:tc>
        <w:tc>
          <w:tcPr>
            <w:tcW w:type="dxa" w:w="2131"/>
            <w:tcW w:w="1385" w:type="dxa"/>
            <w:shd w:val="clear" w:color="auto" w:fill="FFFFFF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12A4A"/>
                <w:sz w:val="18"/>
              </w:rPr>
              <w:t>$15.99</w:t>
            </w:r>
          </w:p>
        </w:tc>
        <w:tc>
          <w:tcPr>
            <w:tcW w:type="dxa" w:w="2131"/>
            <w:tcW w:w="1704" w:type="dxa"/>
            <w:shd w:val="clear" w:color="auto" w:fill="FFFFFF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12A4A"/>
                <w:sz w:val="18"/>
              </w:rPr>
              <w:t>4.6★  (412)</w:t>
            </w:r>
          </w:p>
        </w:tc>
        <w:tc>
          <w:tcPr>
            <w:tcW w:type="dxa" w:w="2131"/>
            <w:tcW w:w="3196" w:type="dxa"/>
            <w:shd w:val="clear" w:color="auto" w:fill="FFFFFF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9CA3AF"/>
                <w:sz w:val="17"/>
              </w:rPr>
              <w:t>None active</w:t>
            </w:r>
          </w:p>
        </w:tc>
        <w:tc>
          <w:tcPr>
            <w:tcW w:type="dxa" w:w="2131"/>
            <w:tcW w:w="1491" w:type="dxa"/>
            <w:shd w:val="clear" w:color="auto" w:fill="FFFFFF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9CA3AF"/>
                <w:sz w:val="18"/>
              </w:rPr>
              <w:t>—</w:t>
            </w:r>
          </w:p>
        </w:tc>
      </w:tr>
      <w:tr>
        <w:tc>
          <w:tcPr>
            <w:tcW w:type="dxa" w:w="2131"/>
            <w:tcW w:w="2877" w:type="dxa"/>
            <w:shd w:val="clear" w:color="auto" w:fill="F1F5F9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12A4A"/>
                <w:sz w:val="18"/>
              </w:rPr>
              <w:t>Marco's Pizza – Macon Rd</w:t>
            </w:r>
          </w:p>
        </w:tc>
        <w:tc>
          <w:tcPr>
            <w:tcW w:type="dxa" w:w="2131"/>
            <w:tcW w:w="1385" w:type="dxa"/>
            <w:shd w:val="clear" w:color="auto" w:fill="F1F5F9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12A4A"/>
                <w:sz w:val="18"/>
              </w:rPr>
              <w:t>$13.99</w:t>
            </w:r>
          </w:p>
        </w:tc>
        <w:tc>
          <w:tcPr>
            <w:tcW w:type="dxa" w:w="2131"/>
            <w:tcW w:w="1704" w:type="dxa"/>
            <w:shd w:val="clear" w:color="auto" w:fill="F1F5F9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12A4A"/>
                <w:sz w:val="18"/>
              </w:rPr>
              <w:t>4.1★  (530)</w:t>
            </w:r>
          </w:p>
        </w:tc>
        <w:tc>
          <w:tcPr>
            <w:tcW w:type="dxa" w:w="2131"/>
            <w:tcW w:w="3196" w:type="dxa"/>
            <w:shd w:val="clear" w:color="auto" w:fill="F1F5F9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12A4A"/>
                <w:sz w:val="17"/>
              </w:rPr>
              <w:t>Online large 1-top $9.99 (PIZZA10)</w:t>
            </w:r>
          </w:p>
        </w:tc>
        <w:tc>
          <w:tcPr>
            <w:tcW w:type="dxa" w:w="2131"/>
            <w:tcW w:w="1491" w:type="dxa"/>
            <w:shd w:val="clear" w:color="auto" w:fill="F1F5F9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18"/>
              </w:rPr>
              <w:t>▼ –$2.00</w:t>
            </w:r>
          </w:p>
        </w:tc>
      </w:tr>
      <w:tr>
        <w:tc>
          <w:tcPr>
            <w:tcW w:type="dxa" w:w="2131"/>
            <w:tcW w:w="2877" w:type="dxa"/>
            <w:shd w:val="clear" w:color="auto" w:fill="FFFFFF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12A4A"/>
                <w:sz w:val="18"/>
              </w:rPr>
              <w:t>Mellow Mushroom</w:t>
            </w:r>
          </w:p>
        </w:tc>
        <w:tc>
          <w:tcPr>
            <w:tcW w:type="dxa" w:w="2131"/>
            <w:tcW w:w="1385" w:type="dxa"/>
            <w:shd w:val="clear" w:color="auto" w:fill="FFFFFF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12A4A"/>
                <w:sz w:val="18"/>
              </w:rPr>
              <w:t>$18.50</w:t>
            </w:r>
          </w:p>
        </w:tc>
        <w:tc>
          <w:tcPr>
            <w:tcW w:type="dxa" w:w="2131"/>
            <w:tcW w:w="1704" w:type="dxa"/>
            <w:shd w:val="clear" w:color="auto" w:fill="FFFFFF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12A4A"/>
                <w:sz w:val="18"/>
              </w:rPr>
              <w:t>4.3★  (1,240)</w:t>
            </w:r>
          </w:p>
        </w:tc>
        <w:tc>
          <w:tcPr>
            <w:tcW w:type="dxa" w:w="2131"/>
            <w:tcW w:w="3196" w:type="dxa"/>
            <w:shd w:val="clear" w:color="auto" w:fill="FFFFFF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12A4A"/>
                <w:sz w:val="17"/>
              </w:rPr>
              <w:t>2 for $24 large cheese (ends 6/15)</w:t>
            </w:r>
          </w:p>
        </w:tc>
        <w:tc>
          <w:tcPr>
            <w:tcW w:type="dxa" w:w="2131"/>
            <w:tcW w:w="1491" w:type="dxa"/>
            <w:shd w:val="clear" w:color="auto" w:fill="FFFFFF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DC2626"/>
                <w:sz w:val="18"/>
              </w:rPr>
              <w:t>▲ +$1.00</w:t>
            </w:r>
          </w:p>
        </w:tc>
      </w:tr>
      <w:tr>
        <w:tc>
          <w:tcPr>
            <w:tcW w:type="dxa" w:w="2131"/>
            <w:tcW w:w="2877" w:type="dxa"/>
            <w:shd w:val="clear" w:color="auto" w:fill="F1F5F9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12A4A"/>
                <w:sz w:val="18"/>
              </w:rPr>
              <w:t>Fountain City Pizza Co.</w:t>
            </w:r>
          </w:p>
        </w:tc>
        <w:tc>
          <w:tcPr>
            <w:tcW w:type="dxa" w:w="2131"/>
            <w:tcW w:w="1385" w:type="dxa"/>
            <w:shd w:val="clear" w:color="auto" w:fill="F1F5F9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12A4A"/>
                <w:sz w:val="18"/>
              </w:rPr>
              <w:t>$16.50</w:t>
            </w:r>
          </w:p>
        </w:tc>
        <w:tc>
          <w:tcPr>
            <w:tcW w:type="dxa" w:w="2131"/>
            <w:tcW w:w="1704" w:type="dxa"/>
            <w:shd w:val="clear" w:color="auto" w:fill="F1F5F9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12A4A"/>
                <w:sz w:val="18"/>
              </w:rPr>
              <w:t>4.7★  (286)</w:t>
            </w:r>
          </w:p>
        </w:tc>
        <w:tc>
          <w:tcPr>
            <w:tcW w:type="dxa" w:w="2131"/>
            <w:tcW w:w="3196" w:type="dxa"/>
            <w:shd w:val="clear" w:color="auto" w:fill="F1F5F9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012A4A"/>
                <w:sz w:val="17"/>
              </w:rPr>
              <w:t>Free garlic knots over $25</w:t>
            </w:r>
          </w:p>
        </w:tc>
        <w:tc>
          <w:tcPr>
            <w:tcW w:type="dxa" w:w="2131"/>
            <w:tcW w:w="1491" w:type="dxa"/>
            <w:shd w:val="clear" w:color="auto" w:fill="F1F5F9"/>
            <w:tcMar>
              <w:top w:w="70" w:type="dxa"/>
              <w:bottom w:w="70" w:type="dxa"/>
              <w:left w:w="120" w:type="dxa"/>
              <w:right w:w="10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color w:val="9CA3AF"/>
                <w:sz w:val="18"/>
              </w:rPr>
              <w:t>—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WHAT MOVED THIS WEEK</w:t>
            </w:r>
          </w:p>
        </w:tc>
      </w:tr>
    </w:tbl>
    <w:p>
      <w:pPr>
        <w:keepNext/>
        <w:spacing w:before="0" w:after="100"/>
      </w:pPr>
    </w:p>
    <w:p>
      <w:pPr>
        <w:spacing w:before="40" w:after="60"/>
        <w:ind w:left="40"/>
      </w:pPr>
      <w:r>
        <w:rPr>
          <w:rFonts w:ascii="Arial" w:hAnsi="Arial"/>
          <w:b/>
          <w:color w:val="DC2626"/>
          <w:sz w:val="20"/>
        </w:rPr>
        <w:t xml:space="preserve">●  </w:t>
      </w:r>
      <w:r>
        <w:rPr>
          <w:rFonts w:ascii="Arial" w:hAnsi="Arial"/>
          <w:b/>
          <w:color w:val="012A4A"/>
          <w:sz w:val="20"/>
        </w:rPr>
        <w:t>Marco's slashed online pricing.</w:t>
      </w:r>
      <w:r>
        <w:rPr>
          <w:rFonts w:ascii="Arial" w:hAnsi="Arial"/>
          <w:color w:val="333333"/>
          <w:sz w:val="20"/>
        </w:rPr>
        <w:t xml:space="preserve"> Large 1-topping dropped to $9.99 with code PIZZA10 — now undercuts you by $6.00 on delivery apps.</w:t>
      </w:r>
    </w:p>
    <w:p>
      <w:pPr>
        <w:spacing w:before="40" w:after="60"/>
        <w:ind w:left="40"/>
      </w:pPr>
      <w:r>
        <w:rPr>
          <w:rFonts w:ascii="Arial" w:hAnsi="Arial"/>
          <w:b/>
          <w:color w:val="C8972A"/>
          <w:sz w:val="20"/>
        </w:rPr>
        <w:t xml:space="preserve">●  </w:t>
      </w:r>
      <w:r>
        <w:rPr>
          <w:rFonts w:ascii="Arial" w:hAnsi="Arial"/>
          <w:b/>
          <w:color w:val="012A4A"/>
          <w:sz w:val="20"/>
        </w:rPr>
        <w:t>Mellow Mushroom raised base + launched a bundle.</w:t>
      </w:r>
      <w:r>
        <w:rPr>
          <w:rFonts w:ascii="Arial" w:hAnsi="Arial"/>
          <w:color w:val="333333"/>
          <w:sz w:val="20"/>
        </w:rPr>
        <w:t xml:space="preserve"> Large specialty up $1.00 to $18.50, paired with a “2-for-$24 cheese” promo running through 6/15.</w:t>
      </w:r>
    </w:p>
    <w:p>
      <w:pPr>
        <w:spacing w:before="40" w:after="60"/>
        <w:ind w:left="40"/>
      </w:pPr>
      <w:r>
        <w:rPr>
          <w:rFonts w:ascii="Arial" w:hAnsi="Arial"/>
          <w:b/>
          <w:color w:val="059669"/>
          <w:sz w:val="20"/>
        </w:rPr>
        <w:t xml:space="preserve">●  </w:t>
      </w:r>
      <w:r>
        <w:rPr>
          <w:rFonts w:ascii="Arial" w:hAnsi="Arial"/>
          <w:b/>
          <w:color w:val="012A4A"/>
          <w:sz w:val="20"/>
        </w:rPr>
        <w:t>Fountain City's new threshold plays to you.</w:t>
      </w:r>
      <w:r>
        <w:rPr>
          <w:rFonts w:ascii="Arial" w:hAnsi="Arial"/>
          <w:color w:val="333333"/>
          <w:sz w:val="20"/>
        </w:rPr>
        <w:t xml:space="preserve"> Their “free garlic knots over $25” kicks in above your ~$25.50 average ticket — easy to out-message.</w:t>
      </w:r>
    </w:p>
    <w:p>
      <w:pPr>
        <w:spacing w:before="40" w:after="60"/>
        <w:ind w:left="40"/>
      </w:pPr>
      <w:r>
        <w:rPr>
          <w:rFonts w:ascii="Arial" w:hAnsi="Arial"/>
          <w:b/>
          <w:color w:val="012A4A"/>
          <w:sz w:val="20"/>
        </w:rPr>
        <w:t xml:space="preserve">●  </w:t>
      </w:r>
      <w:r>
        <w:rPr>
          <w:rFonts w:ascii="Arial" w:hAnsi="Arial"/>
          <w:b/>
          <w:color w:val="012A4A"/>
          <w:sz w:val="20"/>
        </w:rPr>
        <w:t>Reviews shifting.</w:t>
      </w:r>
      <w:r>
        <w:rPr>
          <w:rFonts w:ascii="Arial" w:hAnsi="Arial"/>
          <w:color w:val="333333"/>
          <w:sz w:val="20"/>
        </w:rPr>
        <w:t xml:space="preserve"> 14 new Google reviews across rivals this week; Mellow Mushroom's rating slipped 4.4 → 4.3.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656" w:type="dxa"/>
      </w:tblPr>
      <w:tblGrid>
        <w:gridCol w:w="10656"/>
      </w:tblGrid>
      <w:tr>
        <w:tc>
          <w:tcPr>
            <w:tcW w:type="dxa" w:w="10656"/>
            <w:shd w:val="clear" w:color="auto" w:fill="012A4A"/>
            <w:tcMar>
              <w:top w:w="110" w:type="dxa"/>
              <w:bottom w:w="110" w:type="dxa"/>
              <w:left w:w="200" w:type="dxa"/>
              <w:right w:w="200" w:type="dxa"/>
            </w:tcMar>
            <w:tcBorders>
              <w:left w:val="single" w:sz="18" w:color="C8972A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20"/>
              </w:rPr>
              <w:t>THE ONE THING TO DO THIS WEEK</w:t>
            </w:r>
          </w:p>
        </w:tc>
      </w:tr>
    </w:tbl>
    <w:p>
      <w:pPr>
        <w:keepNext/>
        <w:spacing w:before="0" w:after="100"/>
      </w:pPr>
    </w:p>
    <w:p>
      <w:pPr>
        <w:spacing w:before="40" w:after="80"/>
      </w:pPr>
      <w:r>
        <w:rPr>
          <w:rFonts w:ascii="Arial" w:hAnsi="Arial"/>
          <w:b/>
          <w:color w:val="012A4A"/>
          <w:sz w:val="22"/>
        </w:rPr>
        <w:t>Counter Marco's $9.99 online push — don't match it.</w:t>
      </w:r>
    </w:p>
    <w:p>
      <w:pPr>
        <w:spacing w:before="0" w:after="100"/>
      </w:pPr>
      <w:r>
        <w:rPr>
          <w:rFonts w:ascii="Arial" w:hAnsi="Arial"/>
          <w:sz w:val="20"/>
        </w:rPr>
        <w:t>Marco's loss-leader targets price-sensitive online orders, not your dine-in base. Matching $9.99 torches margin; ignoring it cedes weekday delivery. Launch a “Tuesday Online-Only Large 1-Topping — $11.99” fenced to your own app and web ordering, capped at one per order.</w:t>
      </w:r>
    </w:p>
    <w:p>
      <w:pPr>
        <w:spacing w:before="20" w:after="20"/>
      </w:pPr>
      <w:r>
        <w:rPr>
          <w:rFonts w:ascii="Arial" w:hAnsi="Arial"/>
          <w:b/>
          <w:color w:val="012A4A"/>
          <w:sz w:val="20"/>
        </w:rPr>
        <w:t xml:space="preserve">1.  </w:t>
      </w:r>
      <w:r>
        <w:rPr>
          <w:rFonts w:ascii="Arial" w:hAnsi="Arial"/>
          <w:sz w:val="20"/>
        </w:rPr>
        <w:t>Add the $11.99 Tuesday code to your online menu and pin it to the app home screen.</w:t>
      </w:r>
    </w:p>
    <w:p>
      <w:pPr>
        <w:spacing w:before="20" w:after="20"/>
      </w:pPr>
      <w:r>
        <w:rPr>
          <w:rFonts w:ascii="Arial" w:hAnsi="Arial"/>
          <w:b/>
          <w:color w:val="012A4A"/>
          <w:sz w:val="20"/>
        </w:rPr>
        <w:t xml:space="preserve">2.  </w:t>
      </w:r>
      <w:r>
        <w:rPr>
          <w:rFonts w:ascii="Arial" w:hAnsi="Arial"/>
          <w:sz w:val="20"/>
        </w:rPr>
        <w:t>Push it once to your SMS/email list framed as “skip the apps, order direct.”</w:t>
      </w:r>
    </w:p>
    <w:p>
      <w:pPr>
        <w:spacing w:before="20" w:after="20"/>
      </w:pPr>
      <w:r>
        <w:rPr>
          <w:rFonts w:ascii="Arial" w:hAnsi="Arial"/>
          <w:b/>
          <w:color w:val="012A4A"/>
          <w:sz w:val="20"/>
        </w:rPr>
        <w:t xml:space="preserve">3.  </w:t>
      </w:r>
      <w:r>
        <w:rPr>
          <w:rFonts w:ascii="Arial" w:hAnsi="Arial"/>
          <w:sz w:val="20"/>
        </w:rPr>
        <w:t>Leave dine-in and your $15.99 everyday price untouched — this is a fence, not a price cut.</w:t>
      </w:r>
    </w:p>
    <w:p>
      <w:pPr>
        <w:spacing w:before="120" w:after="0"/>
      </w:pPr>
      <w:r>
        <w:rPr>
          <w:rFonts w:ascii="Arial" w:hAnsi="Arial"/>
          <w:i/>
          <w:color w:val="059669"/>
          <w:sz w:val="20"/>
        </w:rPr>
        <w:t>Estimated impact: defends ~$1,150/month in at-risk online revenue (≈35 weekday online orders/wk × $15.99, the cohort most likely to chase Marco's code).</w:t>
      </w:r>
    </w:p>
    <w:p>
      <w:pPr>
        <w:spacing w:before="80" w:after="0"/>
      </w:pPr>
      <w:r>
        <w:rPr>
          <w:rFonts w:ascii="Arial" w:hAnsi="Arial"/>
          <w:b/>
          <w:color w:val="C8972A"/>
          <w:sz w:val="19"/>
        </w:rPr>
        <w:t xml:space="preserve">Risk: </w:t>
      </w:r>
      <w:r>
        <w:rPr>
          <w:rFonts w:ascii="Arial" w:hAnsi="Arial"/>
          <w:i/>
          <w:color w:val="9CA3AF"/>
          <w:sz w:val="19"/>
        </w:rPr>
        <w:t>Cannibalization if un-fenced. Keep it online-only and one-per-order so walk-in traffic doesn't trade down.</w:t>
      </w:r>
    </w:p>
    <w:sectPr w:rsidR="00FC693F" w:rsidRPr="0006063C" w:rsidSect="00034616">
      <w:footerReference w:type="default" r:id="rId9"/>
      <w:pgSz w:w="12240" w:h="15840"/>
      <w:pgMar w:top="720" w:right="792" w:bottom="720" w:left="792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/>
        <w:sz w:val="17"/>
        <w:szCs w:val="17"/>
        <w:color w:val="9CA3AF"/>
      </w:rPr>
      <w:t xml:space="preserve">EchoFrame  |  Page </w:t>
    </w:r>
    <w:r>
      <w:rPr>
        <w:rFonts w:ascii="Arial" w:hAnsi="Arial"/>
        <w:sz w:val="17"/>
        <w:szCs w:val="17"/>
        <w:color w:val="9CA3AF"/>
      </w:rPr>
      <w:fldChar w:fldCharType="begin" w:dirty="true"/>
    </w:r>
    <w:r>
      <w:rPr>
        <w:rFonts w:ascii="Arial" w:hAnsi="Arial"/>
        <w:sz w:val="17"/>
        <w:szCs w:val="17"/>
        <w:color w:val="9CA3AF"/>
      </w:rPr>
      <w:instrText xml:space="preserve"> PAGE </w:instrText>
    </w:r>
    <w:r>
      <w:rPr>
        <w:rFonts w:ascii="Arial" w:hAnsi="Arial"/>
        <w:sz w:val="17"/>
        <w:szCs w:val="17"/>
        <w:color w:val="9CA3AF"/>
      </w:rPr>
      <w:fldChar w:fldCharType="separate"/>
    </w:r>
    <w:r>
      <w:rPr>
        <w:rFonts w:ascii="Arial" w:hAnsi="Arial"/>
        <w:sz w:val="17"/>
        <w:szCs w:val="17"/>
        <w:color w:val="9CA3AF"/>
      </w:rPr>
      <w:t>1</w:t>
    </w:r>
    <w:r>
      <w:rPr>
        <w:rFonts w:ascii="Arial" w:hAnsi="Arial"/>
        <w:sz w:val="17"/>
        <w:szCs w:val="17"/>
        <w:color w:val="9CA3AF"/>
      </w:rPr>
      <w:fldChar w:fldCharType="end"/>
    </w:r>
    <w:r>
      <w:rPr>
        <w:rFonts w:ascii="Arial" w:hAnsi="Arial"/>
        <w:sz w:val="17"/>
        <w:szCs w:val="17"/>
        <w:color w:val="9CA3AF"/>
      </w:rPr>
      <w:t xml:space="preserve"> of </w:t>
    </w:r>
    <w:r>
      <w:rPr>
        <w:rFonts w:ascii="Arial" w:hAnsi="Arial"/>
        <w:sz w:val="17"/>
        <w:szCs w:val="17"/>
        <w:color w:val="9CA3AF"/>
      </w:rPr>
      <w:fldChar w:fldCharType="begin" w:dirty="true"/>
    </w:r>
    <w:r>
      <w:rPr>
        <w:rFonts w:ascii="Arial" w:hAnsi="Arial"/>
        <w:sz w:val="17"/>
        <w:szCs w:val="17"/>
        <w:color w:val="9CA3AF"/>
      </w:rPr>
      <w:instrText xml:space="preserve"> NUMPAGES </w:instrText>
    </w:r>
    <w:r>
      <w:rPr>
        <w:rFonts w:ascii="Arial" w:hAnsi="Arial"/>
        <w:sz w:val="17"/>
        <w:szCs w:val="17"/>
        <w:color w:val="9CA3AF"/>
      </w:rPr>
      <w:fldChar w:fldCharType="separate"/>
    </w:r>
    <w:r>
      <w:rPr>
        <w:rFonts w:ascii="Arial" w:hAnsi="Arial"/>
        <w:sz w:val="17"/>
        <w:szCs w:val="17"/>
        <w:color w:val="9CA3AF"/>
      </w:rPr>
      <w:t>1</w:t>
    </w:r>
    <w:r>
      <w:rPr>
        <w:rFonts w:ascii="Arial" w:hAnsi="Arial"/>
        <w:sz w:val="17"/>
        <w:szCs w:val="17"/>
        <w:color w:val="9CA3AF"/>
      </w:rPr>
      <w:fldChar w:fldCharType="end"/>
    </w:r>
    <w:r>
      <w:rPr>
        <w:rFonts w:ascii="Arial" w:hAnsi="Arial"/>
        <w:sz w:val="17"/>
        <w:szCs w:val="17"/>
        <w:color w:val="9CA3AF"/>
      </w:rPr>
      <w:t xml:space="preserve">  ·  June 2026  ·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259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