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656" w:type="dxa"/>
      </w:tblPr>
      <w:tblGrid>
        <w:gridCol w:w="5328"/>
        <w:gridCol w:w="5328"/>
      </w:tblGrid>
      <w:tr>
        <w:tc>
          <w:tcPr>
            <w:tcW w:type="dxa" w:w="5328"/>
            <w:tcW w:w="6606" w:type="dxa"/>
            <w:shd w:val="clear" w:color="auto" w:fill="012A4A"/>
            <w:tcMar>
              <w:top w:w="160" w:type="dxa"/>
              <w:bottom w:w="160" w:type="dxa"/>
              <w:left w:w="220" w:type="dxa"/>
              <w:right w:w="10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FFFFFF"/>
                <w:sz w:val="40"/>
              </w:rPr>
              <w:t>Reliable Heating &amp; Air</w:t>
            </w:r>
          </w:p>
          <w:p>
            <w:pPr>
              <w:spacing w:before="40" w:after="0"/>
            </w:pPr>
            <w:r>
              <w:rPr>
                <w:rFonts w:ascii="Arial" w:hAnsi="Arial"/>
                <w:color w:val="9CA3AF"/>
                <w:sz w:val="19"/>
              </w:rPr>
              <w:t>Monthly Financial Clarity Report  ·  May 2026</w:t>
            </w:r>
          </w:p>
        </w:tc>
        <w:tc>
          <w:tcPr>
            <w:tcW w:type="dxa" w:w="5328"/>
            <w:tcW w:w="4049" w:type="dxa"/>
            <w:shd w:val="clear" w:color="auto" w:fill="012A4A"/>
            <w:tcMar>
              <w:top w:w="160" w:type="dxa"/>
              <w:bottom w:w="160" w:type="dxa"/>
              <w:left w:w="100" w:type="dxa"/>
              <w:right w:w="220" w:type="dxa"/>
            </w:tcMar>
          </w:tcPr>
          <w:p>
            <w:pPr>
              <w:spacing w:before="0" w:after="20"/>
              <w:jc w:val="right"/>
            </w:pPr>
            <w:r>
              <w:rPr>
                <w:rFonts w:ascii="Arial" w:hAnsi="Arial"/>
                <w:b/>
                <w:color w:val="FFFFFF"/>
                <w:sz w:val="14"/>
              </w:rPr>
              <w:t>POWERED BY</w:t>
            </w:r>
          </w:p>
          <w:p>
            <w:pPr>
              <w:spacing w:before="0" w:after="40"/>
              <w:jc w:val="right"/>
            </w:pPr>
            <w:r>
              <w:rPr>
                <w:rFonts w:ascii="Arial" w:hAnsi="Arial"/>
                <w:b/>
                <w:color w:val="C8972A"/>
                <w:sz w:val="52"/>
              </w:rPr>
              <w:t>EchoFrame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/>
                <w:i/>
                <w:color w:val="FFFFFF"/>
                <w:sz w:val="16"/>
              </w:rPr>
              <w:t>Business intelligence, not accounting.</w:t>
            </w:r>
          </w:p>
        </w:tc>
      </w:tr>
    </w:tbl>
    <w:p>
      <w:pPr>
        <w:spacing w:before="12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52"/>
        <w:gridCol w:w="3552"/>
        <w:gridCol w:w="3552"/>
      </w:tblGrid>
      <w:tr>
        <w:tc>
          <w:tcPr>
            <w:tcW w:type="dxa" w:w="3552"/>
            <w:tcW w:w="3456" w:type="dxa"/>
            <w:shd w:val="clear" w:color="auto" w:fill="DBEAFE"/>
            <w:tcMar>
              <w:top w:w="120" w:type="dxa"/>
              <w:bottom w:w="120" w:type="dxa"/>
              <w:left w:w="220" w:type="dxa"/>
              <w:right w:w="140" w:type="dxa"/>
            </w:tcMar>
            <w:tcBorders>
              <w:left w:val="single" w:sz="18" w:color="C8972A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9CA3AF"/>
                <w:sz w:val="22"/>
              </w:rPr>
              <w:t>REVENUE</w:t>
            </w:r>
          </w:p>
          <w:p>
            <w:pPr>
              <w:spacing w:before="0" w:after="80"/>
            </w:pPr>
            <w:r>
              <w:rPr>
                <w:rFonts w:ascii="Arial" w:hAnsi="Arial"/>
                <w:b/>
                <w:color w:val="012A4A"/>
                <w:sz w:val="56"/>
              </w:rPr>
              <w:t>$52,000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059669"/>
                <w:sz w:val="22"/>
              </w:rPr>
              <w:t>▲ 18.2% vs last month</w:t>
            </w:r>
          </w:p>
        </w:tc>
        <w:tc>
          <w:tcPr>
            <w:tcW w:type="dxa" w:w="3552"/>
            <w:tcW w:w="3456" w:type="dxa"/>
            <w:shd w:val="clear" w:color="auto" w:fill="DBEAFE"/>
            <w:tcMar>
              <w:top w:w="120" w:type="dxa"/>
              <w:bottom w:w="120" w:type="dxa"/>
              <w:left w:w="220" w:type="dxa"/>
              <w:right w:w="140" w:type="dxa"/>
            </w:tcMar>
            <w:tcBorders>
              <w:left w:val="single" w:sz="18" w:color="C8972A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9CA3AF"/>
                <w:sz w:val="22"/>
              </w:rPr>
              <w:t>NET INCOME</w:t>
            </w:r>
          </w:p>
          <w:p>
            <w:pPr>
              <w:spacing w:before="0" w:after="80"/>
            </w:pPr>
            <w:r>
              <w:rPr>
                <w:rFonts w:ascii="Arial" w:hAnsi="Arial"/>
                <w:b/>
                <w:color w:val="012A4A"/>
                <w:sz w:val="56"/>
              </w:rPr>
              <w:t>$12,636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059669"/>
                <w:sz w:val="22"/>
              </w:rPr>
              <w:t>24.3% margin</w:t>
            </w:r>
          </w:p>
        </w:tc>
        <w:tc>
          <w:tcPr>
            <w:tcW w:type="dxa" w:w="3552"/>
            <w:tcW w:w="3456" w:type="dxa"/>
            <w:shd w:val="clear" w:color="auto" w:fill="DBEAFE"/>
            <w:tcMar>
              <w:top w:w="120" w:type="dxa"/>
              <w:bottom w:w="120" w:type="dxa"/>
              <w:left w:w="220" w:type="dxa"/>
              <w:right w:w="140" w:type="dxa"/>
            </w:tcMar>
            <w:tcBorders>
              <w:left w:val="single" w:sz="18" w:color="C8972A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9CA3AF"/>
                <w:sz w:val="22"/>
              </w:rPr>
              <w:t>HEALTH SCORE</w:t>
            </w:r>
          </w:p>
          <w:p>
            <w:pPr>
              <w:spacing w:before="0" w:after="80"/>
            </w:pPr>
            <w:r>
              <w:rPr>
                <w:rFonts w:ascii="Arial" w:hAnsi="Arial"/>
                <w:b/>
                <w:color w:val="012A4A"/>
                <w:sz w:val="56"/>
              </w:rPr>
              <w:t>80/100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059669"/>
                <w:sz w:val="22"/>
              </w:rPr>
              <w:t>Excellent</w:t>
            </w:r>
          </w:p>
        </w:tc>
      </w:tr>
    </w:tbl>
    <w:p>
      <w:pPr>
        <w:spacing w:before="12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656" w:type="dxa"/>
      </w:tblPr>
      <w:tblGrid>
        <w:gridCol w:w="10656"/>
      </w:tblGrid>
      <w:tr>
        <w:tc>
          <w:tcPr>
            <w:tcW w:type="dxa" w:w="10656"/>
            <w:shd w:val="clear" w:color="auto" w:fill="012A4A"/>
            <w:tcMar>
              <w:top w:w="110" w:type="dxa"/>
              <w:bottom w:w="110" w:type="dxa"/>
              <w:left w:w="200" w:type="dxa"/>
              <w:right w:w="200" w:type="dxa"/>
            </w:tcMar>
            <w:tcBorders>
              <w:left w:val="single" w:sz="18" w:color="C8972A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FINANCIAL OVERVIEW</w:t>
            </w:r>
          </w:p>
        </w:tc>
      </w:tr>
    </w:tbl>
    <w:p>
      <w:pPr>
        <w:keepNext/>
        <w:spacing w:before="0" w:after="10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52"/>
        <w:gridCol w:w="3552"/>
        <w:gridCol w:w="3552"/>
      </w:tblGrid>
      <w:tr>
        <w:tc>
          <w:tcPr>
            <w:tcW w:type="dxa" w:w="3552"/>
            <w:tcW w:w="3552" w:type="dxa"/>
            <w:vAlign w:val="top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9CA3AF"/>
                <w:sz w:val="15"/>
              </w:rPr>
              <w:t>MONTH-OVER-MONTH REVENUE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154473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15447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52"/>
            <w:tcW w:w="3552" w:type="dxa"/>
            <w:vAlign w:val="top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9CA3AF"/>
                <w:sz w:val="15"/>
              </w:rPr>
              <w:t>EXPENSE MIX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177882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1778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52"/>
            <w:tcW w:w="3552" w:type="dxa"/>
            <w:vAlign w:val="top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9CA3AF"/>
                <w:sz w:val="15"/>
              </w:rPr>
              <w:t>HEALTH SCORE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14661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14661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/>
              <w:jc w:val="center"/>
            </w:pPr>
            <w:r>
              <w:rPr>
                <w:rFonts w:ascii="Arial" w:hAnsi="Arial"/>
                <w:b/>
                <w:color w:val="059669"/>
                <w:sz w:val="18"/>
              </w:rPr>
              <w:t>80/100 — Excellent</w:t>
              <w:br/>
              <w:t>Revenue 25pts  ·  Margin 35pts  ·  Compliance 40pts</w:t>
            </w:r>
          </w:p>
        </w:tc>
      </w:tr>
    </w:tbl>
    <w:p>
      <w:pPr>
        <w:spacing w:before="8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656" w:type="dxa"/>
      </w:tblPr>
      <w:tblGrid>
        <w:gridCol w:w="10656"/>
      </w:tblGrid>
      <w:tr>
        <w:tc>
          <w:tcPr>
            <w:tcW w:type="dxa" w:w="10656"/>
            <w:shd w:val="clear" w:color="auto" w:fill="012A4A"/>
            <w:tcMar>
              <w:top w:w="110" w:type="dxa"/>
              <w:bottom w:w="110" w:type="dxa"/>
              <w:left w:w="200" w:type="dxa"/>
              <w:right w:w="200" w:type="dxa"/>
            </w:tcMar>
            <w:tcBorders>
              <w:left w:val="single" w:sz="18" w:color="C8972A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SUMMARY</w:t>
            </w:r>
          </w:p>
        </w:tc>
      </w:tr>
    </w:tbl>
    <w:p>
      <w:pPr>
        <w:keepNext/>
        <w:spacing w:before="0" w:after="100"/>
      </w:pPr>
    </w:p>
    <w:p>
      <w:pPr>
        <w:spacing w:before="60" w:after="120"/>
      </w:pPr>
      <w:r>
        <w:rPr>
          <w:rFonts w:ascii="Arial" w:hAnsi="Arial"/>
          <w:sz w:val="21"/>
        </w:rPr>
        <w:t>$52,000 in May revenue represents an 18.2% increase over April, driven by spring AC tune-up season and strong service demand. Net income reached $12,636 at a 24.3% margin, a solid result, but the business is caught in a strategic contradiction: labor costs and utilities are consuming an additional $624 per month above industry benchmarks while marketing spend remains $1,820 below peer HVAC operations, restraining customer acquisition precisely when the business is growing. Reliable Heating &amp; Air is over-investing in payroll to handle peak-season demand while under-investing in the demand-generation infrastructure needed to sustain growth beyond the seasonal peak. Without a deliberate reallocation from operational overhead to customer acquisition, the competitive position will weaken as spring demand softens and the business retreats toward its smaller peer base.</w:t>
      </w:r>
    </w:p>
    <w:p>
      <w:pPr>
        <w:spacing w:before="0" w:after="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656" w:type="dxa"/>
      </w:tblPr>
      <w:tblGrid>
        <w:gridCol w:w="10656"/>
      </w:tblGrid>
      <w:tr>
        <w:tc>
          <w:tcPr>
            <w:tcW w:type="dxa" w:w="10656"/>
            <w:shd w:val="clear" w:color="auto" w:fill="012A4A"/>
            <w:tcMar>
              <w:top w:w="110" w:type="dxa"/>
              <w:bottom w:w="110" w:type="dxa"/>
              <w:left w:w="200" w:type="dxa"/>
              <w:right w:w="200" w:type="dxa"/>
            </w:tcMar>
            <w:tcBorders>
              <w:left w:val="single" w:sz="18" w:color="C8972A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EXPENSE LEAKS</w:t>
            </w:r>
          </w:p>
        </w:tc>
      </w:tr>
    </w:tbl>
    <w:p>
      <w:pPr>
        <w:keepNext/>
        <w:spacing w:before="0" w:after="10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E5E7EB"/>
          <w:insideV w:val="single" w:sz="4" w:space="0" w:color="E5E7EB"/>
        </w:tblBorders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592"/>
            <w:shd w:val="clear" w:color="auto" w:fill="012A4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584"/>
            <w:shd w:val="clear" w:color="auto" w:fill="012A4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This Month</w:t>
            </w:r>
          </w:p>
        </w:tc>
        <w:tc>
          <w:tcPr>
            <w:tcW w:type="dxa" w:w="1368"/>
            <w:shd w:val="clear" w:color="auto" w:fill="012A4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% Revenue</w:t>
            </w:r>
          </w:p>
        </w:tc>
        <w:tc>
          <w:tcPr>
            <w:tcW w:type="dxa" w:w="1368"/>
            <w:shd w:val="clear" w:color="auto" w:fill="012A4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Benchmark</w:t>
            </w:r>
          </w:p>
        </w:tc>
        <w:tc>
          <w:tcPr>
            <w:tcW w:type="dxa" w:w="2448"/>
            <w:shd w:val="clear" w:color="auto" w:fill="012A4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Variance</w:t>
            </w:r>
          </w:p>
        </w:tc>
      </w:tr>
      <w:tr>
        <w:tc>
          <w:tcPr>
            <w:tcW w:type="dxa" w:w="2592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Labor Cost</w:t>
            </w:r>
          </w:p>
        </w:tc>
        <w:tc>
          <w:tcPr>
            <w:tcW w:type="dxa" w:w="1584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$18,720</w:t>
            </w:r>
          </w:p>
        </w:tc>
        <w:tc>
          <w:tcPr>
            <w:tcW w:type="dxa" w:w="1368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36.0%</w:t>
            </w:r>
          </w:p>
        </w:tc>
        <w:tc>
          <w:tcPr>
            <w:tcW w:type="dxa" w:w="1368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35.0%</w:t>
            </w:r>
          </w:p>
        </w:tc>
        <w:tc>
          <w:tcPr>
            <w:tcW w:type="dxa" w:w="2448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19"/>
              </w:rPr>
              <w:t>+1.0pp  ($520)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Parts &amp; Materials</w:t>
            </w:r>
          </w:p>
        </w:tc>
        <w:tc>
          <w:tcPr>
            <w:tcW w:type="dxa" w:w="158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$9,360</w:t>
            </w:r>
          </w:p>
        </w:tc>
        <w:tc>
          <w:tcPr>
            <w:tcW w:type="dxa" w:w="136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18.0%</w:t>
            </w:r>
          </w:p>
        </w:tc>
        <w:tc>
          <w:tcPr>
            <w:tcW w:type="dxa" w:w="136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—</w:t>
            </w:r>
          </w:p>
        </w:tc>
        <w:tc>
          <w:tcPr>
            <w:tcW w:type="dxa" w:w="244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—</w:t>
            </w:r>
          </w:p>
        </w:tc>
      </w:tr>
      <w:tr>
        <w:tc>
          <w:tcPr>
            <w:tcW w:type="dxa" w:w="2592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Vehicle &amp; Fuel</w:t>
            </w:r>
          </w:p>
        </w:tc>
        <w:tc>
          <w:tcPr>
            <w:tcW w:type="dxa" w:w="1584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$3,120</w:t>
            </w:r>
          </w:p>
        </w:tc>
        <w:tc>
          <w:tcPr>
            <w:tcW w:type="dxa" w:w="1368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6.0%</w:t>
            </w:r>
          </w:p>
        </w:tc>
        <w:tc>
          <w:tcPr>
            <w:tcW w:type="dxa" w:w="1368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—</w:t>
            </w:r>
          </w:p>
        </w:tc>
        <w:tc>
          <w:tcPr>
            <w:tcW w:type="dxa" w:w="2448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—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Equipment</w:t>
            </w:r>
          </w:p>
        </w:tc>
        <w:tc>
          <w:tcPr>
            <w:tcW w:type="dxa" w:w="158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$4,160</w:t>
            </w:r>
          </w:p>
        </w:tc>
        <w:tc>
          <w:tcPr>
            <w:tcW w:type="dxa" w:w="136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8.0%</w:t>
            </w:r>
          </w:p>
        </w:tc>
        <w:tc>
          <w:tcPr>
            <w:tcW w:type="dxa" w:w="136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—</w:t>
            </w:r>
          </w:p>
        </w:tc>
        <w:tc>
          <w:tcPr>
            <w:tcW w:type="dxa" w:w="244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—</w:t>
            </w:r>
          </w:p>
        </w:tc>
      </w:tr>
      <w:tr>
        <w:tc>
          <w:tcPr>
            <w:tcW w:type="dxa" w:w="2592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Rent</w:t>
            </w:r>
          </w:p>
        </w:tc>
        <w:tc>
          <w:tcPr>
            <w:tcW w:type="dxa" w:w="1584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$1,560</w:t>
            </w:r>
          </w:p>
        </w:tc>
        <w:tc>
          <w:tcPr>
            <w:tcW w:type="dxa" w:w="1368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3.0%</w:t>
            </w:r>
          </w:p>
        </w:tc>
        <w:tc>
          <w:tcPr>
            <w:tcW w:type="dxa" w:w="1368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—</w:t>
            </w:r>
          </w:p>
        </w:tc>
        <w:tc>
          <w:tcPr>
            <w:tcW w:type="dxa" w:w="2448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—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Marketing</w:t>
            </w:r>
          </w:p>
        </w:tc>
        <w:tc>
          <w:tcPr>
            <w:tcW w:type="dxa" w:w="158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$780</w:t>
            </w:r>
          </w:p>
        </w:tc>
        <w:tc>
          <w:tcPr>
            <w:tcW w:type="dxa" w:w="136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1.5%</w:t>
            </w:r>
          </w:p>
        </w:tc>
        <w:tc>
          <w:tcPr>
            <w:tcW w:type="dxa" w:w="136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5.0%</w:t>
            </w:r>
          </w:p>
        </w:tc>
        <w:tc>
          <w:tcPr>
            <w:tcW w:type="dxa" w:w="244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59669"/>
                <w:sz w:val="19"/>
              </w:rPr>
              <w:t>-3.5pp  ($1,820)</w:t>
            </w:r>
          </w:p>
        </w:tc>
      </w:tr>
      <w:tr>
        <w:tc>
          <w:tcPr>
            <w:tcW w:type="dxa" w:w="2592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Utilities</w:t>
            </w:r>
          </w:p>
        </w:tc>
        <w:tc>
          <w:tcPr>
            <w:tcW w:type="dxa" w:w="1584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$624</w:t>
            </w:r>
          </w:p>
        </w:tc>
        <w:tc>
          <w:tcPr>
            <w:tcW w:type="dxa" w:w="1368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1.2%</w:t>
            </w:r>
          </w:p>
        </w:tc>
        <w:tc>
          <w:tcPr>
            <w:tcW w:type="dxa" w:w="1368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1.0%</w:t>
            </w:r>
          </w:p>
        </w:tc>
        <w:tc>
          <w:tcPr>
            <w:tcW w:type="dxa" w:w="2448"/>
            <w:shd w:val="clear" w:color="auto" w:fill="F3F4F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19"/>
              </w:rPr>
              <w:t>+0.2pp  ($104)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Misc</w:t>
            </w:r>
          </w:p>
        </w:tc>
        <w:tc>
          <w:tcPr>
            <w:tcW w:type="dxa" w:w="158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$1,040</w:t>
            </w:r>
          </w:p>
        </w:tc>
        <w:tc>
          <w:tcPr>
            <w:tcW w:type="dxa" w:w="136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2.0%</w:t>
            </w:r>
          </w:p>
        </w:tc>
        <w:tc>
          <w:tcPr>
            <w:tcW w:type="dxa" w:w="136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3.0%</w:t>
            </w:r>
          </w:p>
        </w:tc>
        <w:tc>
          <w:tcPr>
            <w:tcW w:type="dxa" w:w="244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59669"/>
                <w:sz w:val="19"/>
              </w:rPr>
              <w:t>-1.0pp  ($520)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656" w:type="dxa"/>
      </w:tblPr>
      <w:tblGrid>
        <w:gridCol w:w="10656"/>
      </w:tblGrid>
      <w:tr>
        <w:tc>
          <w:tcPr>
            <w:tcW w:type="dxa" w:w="10656"/>
            <w:shd w:val="clear" w:color="auto" w:fill="012A4A"/>
            <w:tcMar>
              <w:top w:w="110" w:type="dxa"/>
              <w:bottom w:w="110" w:type="dxa"/>
              <w:left w:w="200" w:type="dxa"/>
              <w:right w:w="200" w:type="dxa"/>
            </w:tcMar>
            <w:tcBorders>
              <w:left w:val="single" w:sz="18" w:color="C8972A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EXPENSE vs BENCHMARK  ·  Source: IBISWorld Industry Averages</w:t>
            </w:r>
          </w:p>
        </w:tc>
      </w:tr>
    </w:tbl>
    <w:p>
      <w:pPr>
        <w:keepNext/>
        <w:spacing w:before="0" w:after="100"/>
      </w:pP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6583680" cy="30914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09141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656" w:type="dxa"/>
      </w:tblPr>
      <w:tblGrid>
        <w:gridCol w:w="10656"/>
      </w:tblGrid>
      <w:tr>
        <w:tc>
          <w:tcPr>
            <w:tcW w:type="dxa" w:w="10656"/>
            <w:shd w:val="clear" w:color="auto" w:fill="012A4A"/>
            <w:tcMar>
              <w:top w:w="110" w:type="dxa"/>
              <w:bottom w:w="110" w:type="dxa"/>
              <w:left w:w="200" w:type="dxa"/>
              <w:right w:w="200" w:type="dxa"/>
            </w:tcMar>
            <w:tcBorders>
              <w:left w:val="single" w:sz="18" w:color="C8972A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GROWTH GAPS  —  UNDERINVESTMENT vs BENCHMARK</w:t>
            </w:r>
          </w:p>
        </w:tc>
      </w:tr>
    </w:tbl>
    <w:p>
      <w:pPr>
        <w:keepNext/>
        <w:spacing w:before="0" w:after="10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28"/>
        <w:gridCol w:w="5328"/>
      </w:tblGrid>
      <w:tr>
        <w:tc>
          <w:tcPr>
            <w:tcW w:type="dxa" w:w="5328"/>
            <w:tcW w:w="5328" w:type="dxa"/>
            <w:shd w:val="clear" w:color="auto" w:fill="FEF3C7"/>
            <w:tcMar>
              <w:top w:w="160" w:type="dxa"/>
              <w:bottom w:w="160" w:type="dxa"/>
              <w:left w:w="200" w:type="dxa"/>
              <w:right w:w="200" w:type="dxa"/>
            </w:tcMar>
            <w:vAlign w:val="top"/>
            <w:tcBorders>
              <w:left w:val="single" w:sz="18" w:color="C8972A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C8972A"/>
                <w:sz w:val="22"/>
              </w:rPr>
              <w:t>▲  Marketing  —  Growth Opportunity</w:t>
            </w:r>
          </w:p>
          <w:p>
            <w:pPr>
              <w:spacing w:before="0" w:after="100"/>
            </w:pPr>
            <w:r>
              <w:rPr>
                <w:rFonts w:ascii="Arial" w:hAnsi="Arial"/>
                <w:b/>
                <w:color w:val="C8972A"/>
                <w:sz w:val="19"/>
              </w:rPr>
              <w:t>Current: 1.5% ($780/mo)  ·  Industry avg: 5.0% ($2,600/mo)  ·  Gap: $1,820/mo below peers</w:t>
            </w:r>
          </w:p>
          <w:p>
            <w:pPr>
              <w:spacing w:before="0" w:after="100"/>
            </w:pPr>
            <w:r>
              <w:rPr>
                <w:rFonts w:ascii="Arial" w:hAnsi="Arial"/>
                <w:sz w:val="20"/>
              </w:rPr>
              <w:t>Marketing underinvestment directly constrains new customer acquisition. Peers at the 5.0% benchmark are investing $2,600/mo — $1,820/mo more than you are currently spending.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012A4A"/>
                <w:sz w:val="20"/>
              </w:rPr>
              <w:t>Action: Determine your current cost per acquired customer, then evaluate whether a $1,820/mo increase in acquisition channels would generate a positive return within 12 months given your average customer lifetime value.</w:t>
            </w:r>
          </w:p>
        </w:tc>
        <w:tc>
          <w:tcPr>
            <w:tcW w:type="dxa" w:w="5328"/>
            <w:tcW w:w="5328" w:type="dxa"/>
            <w:shd w:val="clear" w:color="auto" w:fill="FEF3C7"/>
            <w:tcMar>
              <w:top w:w="160" w:type="dxa"/>
              <w:bottom w:w="160" w:type="dxa"/>
              <w:left w:w="200" w:type="dxa"/>
              <w:right w:w="200" w:type="dxa"/>
            </w:tcMar>
            <w:vAlign w:val="top"/>
            <w:tcBorders>
              <w:left w:val="single" w:sz="18" w:color="C8972A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C8972A"/>
                <w:sz w:val="22"/>
              </w:rPr>
              <w:t>▲  Misc  —  Growth Opportunity</w:t>
            </w:r>
          </w:p>
          <w:p>
            <w:pPr>
              <w:spacing w:before="0" w:after="100"/>
            </w:pPr>
            <w:r>
              <w:rPr>
                <w:rFonts w:ascii="Arial" w:hAnsi="Arial"/>
                <w:b/>
                <w:color w:val="C8972A"/>
                <w:sz w:val="19"/>
              </w:rPr>
              <w:t>Current: 2.0% ($1,040/mo)  ·  Industry avg: 3.0% ($1,560/mo)  ·  Gap: $520/mo below peers</w:t>
            </w:r>
          </w:p>
          <w:p>
            <w:pPr>
              <w:spacing w:before="0" w:after="100"/>
            </w:pPr>
            <w:r>
              <w:rPr>
                <w:rFonts w:ascii="Arial" w:hAnsi="Arial"/>
                <w:sz w:val="20"/>
              </w:rPr>
              <w:t>Spending 2.0% vs the 3.0% industry average means $520/mo less investment than comparable businesses. Review whether this reflects a deliberate strategic choice or an unexamined constraint.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012A4A"/>
                <w:sz w:val="20"/>
              </w:rPr>
              <w:t>Action: Document the rationale for the current spend level. If it is not a strategic decision, model the return on closing the gap to benchmark over 90 days.</w:t>
            </w:r>
          </w:p>
        </w:tc>
      </w:tr>
    </w:tbl>
    <w:p>
      <w:pPr>
        <w:spacing w:before="12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656" w:type="dxa"/>
      </w:tblPr>
      <w:tblGrid>
        <w:gridCol w:w="10656"/>
      </w:tblGrid>
      <w:tr>
        <w:tc>
          <w:tcPr>
            <w:tcW w:type="dxa" w:w="10656"/>
            <w:shd w:val="clear" w:color="auto" w:fill="012A4A"/>
            <w:tcMar>
              <w:top w:w="110" w:type="dxa"/>
              <w:bottom w:w="110" w:type="dxa"/>
              <w:left w:w="200" w:type="dxa"/>
              <w:right w:w="200" w:type="dxa"/>
            </w:tcMar>
            <w:tcBorders>
              <w:left w:val="single" w:sz="18" w:color="C8972A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LEAK ANALYSIS</w:t>
            </w:r>
          </w:p>
        </w:tc>
      </w:tr>
    </w:tbl>
    <w:p>
      <w:pPr>
        <w:keepNext/>
        <w:spacing w:before="0" w:after="10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52"/>
        <w:gridCol w:w="3552"/>
        <w:gridCol w:w="3552"/>
      </w:tblGrid>
      <w:tr>
        <w:tc>
          <w:tcPr>
            <w:tcW w:type="dxa" w:w="3552"/>
            <w:tcW w:w="3552" w:type="dxa"/>
            <w:vAlign w:val="top"/>
            <w:tcMar>
              <w:top w:w="40" w:type="dxa"/>
              <w:bottom w:w="40" w:type="dxa"/>
              <w:left w:w="0" w:type="dxa"/>
              <w:right w:w="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C8972A"/>
                <w:sz w:val="28"/>
              </w:rPr>
              <w:t xml:space="preserve">#1  </w:t>
            </w:r>
            <w:r>
              <w:rPr>
                <w:rFonts w:ascii="Arial" w:hAnsi="Arial"/>
                <w:b/>
                <w:color w:val="012A4A"/>
                <w:sz w:val="28"/>
              </w:rPr>
              <w:t>Labor Cost</w:t>
            </w:r>
          </w:p>
          <w:p>
            <w:pPr>
              <w:spacing w:before="20" w:after="100"/>
            </w:pPr>
            <w:r>
              <w:rPr>
                <w:rFonts w:ascii="Arial" w:hAnsi="Arial"/>
                <w:b/>
                <w:color w:val="DC2626"/>
                <w:sz w:val="17"/>
              </w:rPr>
              <w:t>36.0% rev  ·  35.0% avg  ·  +$520/mo over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Labor cost sits at $18,720 or 36.0% of revenue, running $520 per month above the 35.0% HVAC industry benchmark. The second technician hire for peak season is necessary for capacity but has not been paired with a defined seasonal staffing plan or performance target.</w:t>
            </w:r>
          </w:p>
        </w:tc>
        <w:tc>
          <w:tcPr>
            <w:tcW w:type="dxa" w:w="3552"/>
            <w:tcW w:w="3552" w:type="dxa"/>
            <w:vAlign w:val="top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C8972A"/>
                <w:sz w:val="28"/>
              </w:rPr>
              <w:t xml:space="preserve">#2  </w:t>
            </w:r>
            <w:r>
              <w:rPr>
                <w:rFonts w:ascii="Arial" w:hAnsi="Arial"/>
                <w:b/>
                <w:color w:val="012A4A"/>
                <w:sz w:val="28"/>
              </w:rPr>
              <w:t>Utilities</w:t>
            </w:r>
          </w:p>
          <w:p>
            <w:pPr>
              <w:spacing w:before="20" w:after="100"/>
            </w:pPr>
            <w:r>
              <w:rPr>
                <w:rFonts w:ascii="Arial" w:hAnsi="Arial"/>
                <w:b/>
                <w:color w:val="DC2626"/>
                <w:sz w:val="17"/>
              </w:rPr>
              <w:t>1.2% rev  ·  1.0% avg  ·  +$104/mo over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Utilities expense reached $624 or 1.2% of revenue against a 1.0% benchmark, an overage of $104 per month. The facility may have increased HVAC usage due to the second technician occupying shop space, or thermostat settings may not reflect seasonal conditions.</w:t>
            </w:r>
          </w:p>
        </w:tc>
        <w:tc>
          <w:tcPr>
            <w:tcW w:type="dxa" w:w="3552"/>
            <w:tcW w:w="3552" w:type="dxa"/>
            <w:vAlign w:val="top"/>
            <w:tcMar>
              <w:top w:w="40" w:type="dxa"/>
              <w:bottom w:w="40" w:type="dxa"/>
              <w:left w:w="80" w:type="dxa"/>
              <w:right w:w="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C8972A"/>
                <w:sz w:val="28"/>
              </w:rPr>
              <w:t xml:space="preserve">#3  </w:t>
            </w:r>
            <w:r>
              <w:rPr>
                <w:rFonts w:ascii="Arial" w:hAnsi="Arial"/>
                <w:b/>
                <w:color w:val="012A4A"/>
                <w:sz w:val="28"/>
              </w:rPr>
              <w:t>Parts &amp; Materials</w:t>
            </w:r>
          </w:p>
          <w:p>
            <w:pPr>
              <w:spacing w:before="20" w:after="100"/>
            </w:pPr>
            <w:r>
              <w:rPr>
                <w:rFonts w:ascii="Arial" w:hAnsi="Arial"/>
                <w:b/>
                <w:color w:val="9CA3AF"/>
                <w:sz w:val="17"/>
              </w:rPr>
              <w:t>18.0% of revenue  ·  No benchmark</w:t>
            </w:r>
          </w:p>
          <w:p>
            <w:pPr>
              <w:spacing w:before="0" w:after="0"/>
            </w:pPr>
            <w:r>
              <w:rPr>
                <w:rFonts w:ascii="Arial" w:hAnsi="Arial"/>
                <w:sz w:val="20"/>
              </w:rPr>
              <w:t>Parts and materials cost $9,360 or 18.0% of revenue. No industry benchmark exists for this category, and the data provided does not indicate variance from prior months.</w:t>
            </w:r>
          </w:p>
        </w:tc>
      </w:tr>
    </w:tbl>
    <w:p>
      <w:pPr>
        <w:spacing w:before="8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656" w:type="dxa"/>
      </w:tblPr>
      <w:tblGrid>
        <w:gridCol w:w="10656"/>
      </w:tblGrid>
      <w:tr>
        <w:tc>
          <w:tcPr>
            <w:tcW w:type="dxa" w:w="10656"/>
            <w:shd w:val="clear" w:color="auto" w:fill="012A4A"/>
            <w:tcMar>
              <w:top w:w="110" w:type="dxa"/>
              <w:bottom w:w="110" w:type="dxa"/>
              <w:left w:w="200" w:type="dxa"/>
              <w:right w:w="200" w:type="dxa"/>
            </w:tcMar>
            <w:tcBorders>
              <w:left w:val="single" w:sz="18" w:color="C8972A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THE ONE THING TO FIX THIS MONTH</w:t>
            </w:r>
          </w:p>
        </w:tc>
      </w:tr>
    </w:tbl>
    <w:p>
      <w:pPr>
        <w:keepNext/>
        <w:spacing w:before="0" w:after="100"/>
      </w:pPr>
    </w:p>
    <w:p>
      <w:pPr>
        <w:spacing w:before="0" w:after="120"/>
      </w:pPr>
      <w:r>
        <w:rPr>
          <w:rFonts w:ascii="Arial" w:hAnsi="Arial"/>
          <w:sz w:val="21"/>
        </w:rPr>
        <w:t>Labor cost is the single highest-leverage pressure on Reliable Heating &amp; Air's profitability and the only expense leak with both a quantified benchmark and a specific dollar recovery pathway.</w:t>
      </w:r>
    </w:p>
    <w:p>
      <w:pPr>
        <w:spacing w:before="40" w:after="40"/>
      </w:pPr>
      <w:r>
        <w:rPr>
          <w:rFonts w:ascii="Arial" w:hAnsi="Arial"/>
          <w:b/>
          <w:color w:val="012A4A"/>
          <w:sz w:val="21"/>
        </w:rPr>
        <w:t xml:space="preserve">1.  </w:t>
      </w:r>
      <w:r>
        <w:rPr>
          <w:rFonts w:ascii="Arial" w:hAnsi="Arial"/>
          <w:sz w:val="21"/>
        </w:rPr>
        <w:t>Pull the May and June payroll register and list every employee by name, role, scheduled hours per week, and loaded hourly cost including burden.</w:t>
      </w:r>
    </w:p>
    <w:p>
      <w:pPr>
        <w:spacing w:before="40" w:after="40"/>
      </w:pPr>
      <w:r>
        <w:rPr>
          <w:rFonts w:ascii="Arial" w:hAnsi="Arial"/>
          <w:b/>
          <w:color w:val="012A4A"/>
          <w:sz w:val="21"/>
        </w:rPr>
        <w:t xml:space="preserve">2.  </w:t>
      </w:r>
      <w:r>
        <w:rPr>
          <w:rFonts w:ascii="Arial" w:hAnsi="Arial"/>
          <w:sz w:val="21"/>
        </w:rPr>
        <w:t>Divide total billable hours per technician by total paid hours per technician to calculate individual utilization rate, then identify which technician or shift operates below eighty percent utilization.</w:t>
      </w:r>
    </w:p>
    <w:p>
      <w:pPr>
        <w:spacing w:before="40" w:after="40"/>
      </w:pPr>
      <w:r>
        <w:rPr>
          <w:rFonts w:ascii="Arial" w:hAnsi="Arial"/>
          <w:b/>
          <w:color w:val="012A4A"/>
          <w:sz w:val="21"/>
        </w:rPr>
        <w:t xml:space="preserve">3.  </w:t>
      </w:r>
      <w:r>
        <w:rPr>
          <w:rFonts w:ascii="Arial" w:hAnsi="Arial"/>
          <w:sz w:val="21"/>
        </w:rPr>
        <w:t>Model a revised schedule in your POS or scheduling system that reduces the lowest-utilization technician to seasonal-only status (off-peak months at ten hours per week) and confirm coverage against average daily customer calls for July through February.</w:t>
      </w:r>
    </w:p>
    <w:p>
      <w:pPr>
        <w:spacing w:before="40" w:after="40"/>
      </w:pPr>
      <w:r>
        <w:rPr>
          <w:rFonts w:ascii="Arial" w:hAnsi="Arial"/>
          <w:b/>
          <w:color w:val="012A4A"/>
          <w:sz w:val="21"/>
        </w:rPr>
        <w:t xml:space="preserve">4.  </w:t>
      </w:r>
      <w:r>
        <w:rPr>
          <w:rFonts w:ascii="Arial" w:hAnsi="Arial"/>
          <w:sz w:val="21"/>
        </w:rPr>
        <w:t>Present the revised schedule to your service manager and customers over the next five business days, obtain commit-to feedback on response time impact, and execute the change by month-end if no service degradation is flagged.</w:t>
      </w:r>
    </w:p>
    <w:p>
      <w:pPr>
        <w:spacing w:before="120" w:after="0"/>
      </w:pPr>
      <w:r>
        <w:rPr>
          <w:rFonts w:ascii="Arial" w:hAnsi="Arial"/>
          <w:i/>
          <w:color w:val="059669"/>
          <w:sz w:val="20"/>
        </w:rPr>
        <w:t>Full recovery of the $520 per month labor cost overage returns $520 per month to net income based on current month run rate.</w:t>
      </w:r>
    </w:p>
    <w:p>
      <w:pPr>
        <w:spacing w:before="100" w:after="0"/>
      </w:pPr>
      <w:r>
        <w:rPr>
          <w:rFonts w:ascii="Arial" w:hAnsi="Arial"/>
          <w:b/>
          <w:color w:val="C8972A"/>
          <w:sz w:val="19"/>
        </w:rPr>
        <w:t xml:space="preserve">Risk: </w:t>
      </w:r>
      <w:r>
        <w:rPr>
          <w:rFonts w:ascii="Arial" w:hAnsi="Arial"/>
          <w:i/>
          <w:color w:val="9CA3AF"/>
          <w:sz w:val="19"/>
        </w:rPr>
        <w:t>This assumes scheduling optimization can maintain service response time and customer satisfaction scores during peak season — evaluate customer satisfaction metrics and average response time before reducing any customer-facing technician shifts or hours.</w:t>
      </w:r>
    </w:p>
    <w:p>
      <w:pPr>
        <w:spacing w:before="120" w:after="0"/>
      </w:pPr>
    </w:p>
    <w:p>
      <w:pPr>
        <w:spacing w:before="0" w:after="0"/>
      </w:pPr>
      <w:r>
        <w:br w:type="page"/>
      </w:r>
    </w:p>
    <w:p>
      <w:pPr>
        <w:spacing w:before="0" w:after="120"/>
      </w:pPr>
      <w:r>
        <w:rPr>
          <w:rFonts w:ascii="Arial" w:hAnsi="Arial"/>
          <w:b/>
          <w:color w:val="9CA3AF"/>
          <w:sz w:val="19"/>
        </w:rPr>
        <w:t>90-DAY NET INCOME OUTLOOK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E5E7EB"/>
          <w:insideV w:val="single" w:sz="4" w:space="0" w:color="E5E7EB"/>
        </w:tblBorders>
      </w:tblPr>
      <w:tblGrid>
        <w:gridCol w:w="3552"/>
        <w:gridCol w:w="3552"/>
        <w:gridCol w:w="3552"/>
      </w:tblGrid>
      <w:tr>
        <w:tc>
          <w:tcPr>
            <w:tcW w:type="dxa" w:w="3552"/>
            <w:tcW w:w="3623" w:type="dxa"/>
            <w:shd w:val="clear" w:color="auto" w:fill="012A4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Scenario</w:t>
            </w:r>
          </w:p>
        </w:tc>
        <w:tc>
          <w:tcPr>
            <w:tcW w:type="dxa" w:w="3552"/>
            <w:tcW w:w="3516" w:type="dxa"/>
            <w:shd w:val="clear" w:color="auto" w:fill="012A4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Net Income / Mo</w:t>
            </w:r>
          </w:p>
        </w:tc>
        <w:tc>
          <w:tcPr>
            <w:tcW w:type="dxa" w:w="3552"/>
            <w:tcW w:w="3516" w:type="dxa"/>
            <w:shd w:val="clear" w:color="auto" w:fill="012A4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Assumption</w:t>
            </w:r>
          </w:p>
        </w:tc>
      </w:tr>
      <w:tr>
        <w:tc>
          <w:tcPr>
            <w:tcW w:type="dxa" w:w="3552"/>
            <w:tcW w:w="3623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No Changes</w:t>
            </w:r>
          </w:p>
        </w:tc>
        <w:tc>
          <w:tcPr>
            <w:tcW w:type="dxa" w:w="3552"/>
            <w:tcW w:w="351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$12,636</w:t>
            </w:r>
          </w:p>
        </w:tc>
        <w:tc>
          <w:tcPr>
            <w:tcW w:type="dxa" w:w="3552"/>
            <w:tcW w:w="351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Current trajectory</w:t>
            </w:r>
          </w:p>
        </w:tc>
      </w:tr>
      <w:tr>
        <w:tc>
          <w:tcPr>
            <w:tcW w:type="dxa" w:w="3552"/>
            <w:tcW w:w="3623" w:type="dxa"/>
            <w:shd w:val="clear" w:color="auto" w:fill="DBEA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Top Leak Fixed</w:t>
            </w:r>
          </w:p>
        </w:tc>
        <w:tc>
          <w:tcPr>
            <w:tcW w:type="dxa" w:w="3552"/>
            <w:tcW w:w="3516" w:type="dxa"/>
            <w:shd w:val="clear" w:color="auto" w:fill="DBEA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$13,156</w:t>
            </w:r>
          </w:p>
        </w:tc>
        <w:tc>
          <w:tcPr>
            <w:tcW w:type="dxa" w:w="3552"/>
            <w:tcW w:w="3516" w:type="dxa"/>
            <w:shd w:val="clear" w:color="auto" w:fill="DBEA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+$520 recovered</w:t>
            </w:r>
          </w:p>
        </w:tc>
      </w:tr>
      <w:tr>
        <w:tc>
          <w:tcPr>
            <w:tcW w:type="dxa" w:w="3552"/>
            <w:tcW w:w="3623" w:type="dxa"/>
            <w:shd w:val="clear" w:color="auto" w:fill="D1FA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All Leaks Fixed</w:t>
            </w:r>
          </w:p>
        </w:tc>
        <w:tc>
          <w:tcPr>
            <w:tcW w:type="dxa" w:w="3552"/>
            <w:tcW w:w="3516" w:type="dxa"/>
            <w:shd w:val="clear" w:color="auto" w:fill="D1FA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$13,260</w:t>
            </w:r>
          </w:p>
        </w:tc>
        <w:tc>
          <w:tcPr>
            <w:tcW w:type="dxa" w:w="3552"/>
            <w:tcW w:w="3516" w:type="dxa"/>
            <w:shd w:val="clear" w:color="auto" w:fill="D1FAE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+$624 recovered</w:t>
            </w:r>
          </w:p>
        </w:tc>
      </w:tr>
    </w:tbl>
    <w:p>
      <w:pPr>
        <w:spacing w:before="100" w:after="160"/>
      </w:pPr>
      <w:r>
        <w:rPr>
          <w:rFonts w:ascii="Arial" w:hAnsi="Arial"/>
          <w:i/>
          <w:color w:val="9CA3AF"/>
          <w:sz w:val="17"/>
        </w:rPr>
        <w:t>Assumes consistent revenue base and full implementation of labor and utility interventions within 60 days. Partial recovery scenarios available on request.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656" w:type="dxa"/>
      </w:tblPr>
      <w:tblGrid>
        <w:gridCol w:w="10656"/>
      </w:tblGrid>
      <w:tr>
        <w:tc>
          <w:tcPr>
            <w:tcW w:type="dxa" w:w="10656"/>
            <w:shd w:val="clear" w:color="auto" w:fill="012A4A"/>
            <w:tcMar>
              <w:top w:w="110" w:type="dxa"/>
              <w:bottom w:w="110" w:type="dxa"/>
              <w:left w:w="200" w:type="dxa"/>
              <w:right w:w="200" w:type="dxa"/>
            </w:tcMar>
            <w:tcBorders>
              <w:left w:val="single" w:sz="18" w:color="C8972A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NEXT STEPS</w:t>
            </w:r>
          </w:p>
        </w:tc>
      </w:tr>
    </w:tbl>
    <w:p>
      <w:pPr>
        <w:keepNext/>
        <w:spacing w:before="0" w:after="10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52"/>
        <w:gridCol w:w="3552"/>
        <w:gridCol w:w="3552"/>
      </w:tblGrid>
      <w:tr>
        <w:tc>
          <w:tcPr>
            <w:tcW w:type="dxa" w:w="3552"/>
            <w:tcW w:w="3552" w:type="dxa"/>
            <w:shd w:val="clear" w:color="auto" w:fill="DBEAFE"/>
            <w:tcMar>
              <w:top w:w="140" w:type="dxa"/>
              <w:bottom w:w="140" w:type="dxa"/>
              <w:left w:w="180" w:type="dxa"/>
              <w:right w:w="180" w:type="dxa"/>
            </w:tcMar>
            <w:vAlign w:val="top"/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12A4A"/>
                <w:sz w:val="19"/>
              </w:rPr>
              <w:t>THIS WEEK</w:t>
            </w:r>
          </w:p>
          <w:p>
            <w:pPr>
              <w:spacing w:before="40" w:after="0"/>
            </w:pPr>
            <w:r>
              <w:rPr>
                <w:rFonts w:ascii="Arial" w:hAnsi="Arial"/>
                <w:sz w:val="20"/>
              </w:rPr>
              <w:t>Request demand charge analysis and time-of-use rate schedule comparison from your electricity provider within five business days.</w:t>
            </w:r>
          </w:p>
        </w:tc>
        <w:tc>
          <w:tcPr>
            <w:tcW w:type="dxa" w:w="3552"/>
            <w:tcW w:w="3552" w:type="dxa"/>
            <w:shd w:val="clear" w:color="auto" w:fill="DBEAFE"/>
            <w:tcMar>
              <w:top w:w="140" w:type="dxa"/>
              <w:bottom w:w="140" w:type="dxa"/>
              <w:left w:w="180" w:type="dxa"/>
              <w:right w:w="180" w:type="dxa"/>
            </w:tcMar>
            <w:vAlign w:val="top"/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12A4A"/>
                <w:sz w:val="19"/>
              </w:rPr>
              <w:t>THIS MONTH</w:t>
            </w:r>
          </w:p>
          <w:p>
            <w:pPr>
              <w:spacing w:before="40" w:after="0"/>
            </w:pPr>
            <w:r>
              <w:rPr>
                <w:rFonts w:ascii="Arial" w:hAnsi="Arial"/>
                <w:sz w:val="20"/>
              </w:rPr>
              <w:t>Finalize the seasonal staffing plan and confirm the second technician's tenure before June payroll closes.</w:t>
            </w:r>
          </w:p>
        </w:tc>
        <w:tc>
          <w:tcPr>
            <w:tcW w:type="dxa" w:w="3552"/>
            <w:tcW w:w="3552" w:type="dxa"/>
            <w:shd w:val="clear" w:color="auto" w:fill="DBEAFE"/>
            <w:tcMar>
              <w:top w:w="140" w:type="dxa"/>
              <w:bottom w:w="140" w:type="dxa"/>
              <w:left w:w="180" w:type="dxa"/>
              <w:right w:w="180" w:type="dxa"/>
            </w:tcMar>
            <w:vAlign w:val="top"/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12A4A"/>
                <w:sz w:val="19"/>
              </w:rPr>
              <w:t>NEXT 30 DAYS</w:t>
            </w:r>
          </w:p>
          <w:p>
            <w:pPr>
              <w:spacing w:before="40" w:after="0"/>
            </w:pPr>
            <w:r>
              <w:rPr>
                <w:rFonts w:ascii="Arial" w:hAnsi="Arial"/>
                <w:sz w:val="20"/>
              </w:rPr>
              <w:t>Evaluate the highest-return customer acquisition channel for HVAC service in Columbus, Georgia — referral incentives, local Google service ads, or trade sponsorships — and allocate an additional $1,820 per month to the highest-performing channel.</w:t>
            </w:r>
          </w:p>
        </w:tc>
      </w:tr>
    </w:tbl>
    <w:p>
      <w:pPr>
        <w:spacing w:before="240" w:after="0"/>
        <w:jc w:val="center"/>
      </w:pPr>
      <w:r>
        <w:rPr>
          <w:rFonts w:ascii="Arial" w:hAnsi="Arial"/>
          <w:i/>
          <w:color w:val="9CA3AF"/>
          <w:sz w:val="19"/>
        </w:rPr>
        <w:t>The June report, delivered July 1, 2026, will track labor cost %, utility spend, and marketing allocation against the targets set here.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sz w:val="17"/>
        <w:szCs w:val="17"/>
        <w:color w:val="9CA3AF"/>
      </w:rPr>
      <w:t xml:space="preserve">EchoFrame  |  Page </w:t>
    </w:r>
    <w:r>
      <w:rPr>
        <w:rFonts w:ascii="Arial" w:hAnsi="Arial"/>
        <w:sz w:val="17"/>
        <w:szCs w:val="17"/>
        <w:color w:val="9CA3AF"/>
      </w:rPr>
      <w:fldChar w:fldCharType="begin" w:dirty="true"/>
    </w:r>
    <w:r>
      <w:rPr>
        <w:rFonts w:ascii="Arial" w:hAnsi="Arial"/>
        <w:sz w:val="17"/>
        <w:szCs w:val="17"/>
        <w:color w:val="9CA3AF"/>
      </w:rPr>
      <w:instrText xml:space="preserve"> PAGE </w:instrText>
    </w:r>
    <w:r>
      <w:rPr>
        <w:rFonts w:ascii="Arial" w:hAnsi="Arial"/>
        <w:sz w:val="17"/>
        <w:szCs w:val="17"/>
        <w:color w:val="9CA3AF"/>
      </w:rPr>
      <w:fldChar w:fldCharType="separate"/>
    </w:r>
    <w:r>
      <w:rPr>
        <w:rFonts w:ascii="Arial" w:hAnsi="Arial"/>
        <w:sz w:val="17"/>
        <w:szCs w:val="17"/>
        <w:color w:val="9CA3AF"/>
      </w:rPr>
      <w:t>1</w:t>
    </w:r>
    <w:r>
      <w:rPr>
        <w:rFonts w:ascii="Arial" w:hAnsi="Arial"/>
        <w:sz w:val="17"/>
        <w:szCs w:val="17"/>
        <w:color w:val="9CA3AF"/>
      </w:rPr>
      <w:fldChar w:fldCharType="end"/>
    </w:r>
    <w:r>
      <w:rPr>
        <w:rFonts w:ascii="Arial" w:hAnsi="Arial"/>
        <w:sz w:val="17"/>
        <w:szCs w:val="17"/>
        <w:color w:val="9CA3AF"/>
      </w:rPr>
      <w:t xml:space="preserve"> of </w:t>
    </w:r>
    <w:r>
      <w:rPr>
        <w:rFonts w:ascii="Arial" w:hAnsi="Arial"/>
        <w:sz w:val="17"/>
        <w:szCs w:val="17"/>
        <w:color w:val="9CA3AF"/>
      </w:rPr>
      <w:fldChar w:fldCharType="begin" w:dirty="true"/>
    </w:r>
    <w:r>
      <w:rPr>
        <w:rFonts w:ascii="Arial" w:hAnsi="Arial"/>
        <w:sz w:val="17"/>
        <w:szCs w:val="17"/>
        <w:color w:val="9CA3AF"/>
      </w:rPr>
      <w:instrText xml:space="preserve"> NUMPAGES </w:instrText>
    </w:r>
    <w:r>
      <w:rPr>
        <w:rFonts w:ascii="Arial" w:hAnsi="Arial"/>
        <w:sz w:val="17"/>
        <w:szCs w:val="17"/>
        <w:color w:val="9CA3AF"/>
      </w:rPr>
      <w:fldChar w:fldCharType="separate"/>
    </w:r>
    <w:r>
      <w:rPr>
        <w:rFonts w:ascii="Arial" w:hAnsi="Arial"/>
        <w:sz w:val="17"/>
        <w:szCs w:val="17"/>
        <w:color w:val="9CA3AF"/>
      </w:rPr>
      <w:t>4</w:t>
    </w:r>
    <w:r>
      <w:rPr>
        <w:rFonts w:ascii="Arial" w:hAnsi="Arial"/>
        <w:sz w:val="17"/>
        <w:szCs w:val="17"/>
        <w:color w:val="9CA3AF"/>
      </w:rPr>
      <w:fldChar w:fldCharType="end"/>
    </w:r>
    <w:r>
      <w:rPr>
        <w:rFonts w:ascii="Arial" w:hAnsi="Arial"/>
        <w:sz w:val="17"/>
        <w:szCs w:val="17"/>
        <w:color w:val="9CA3AF"/>
      </w:rPr>
      <w:t xml:space="preserve">  ·  May 2026  ·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rPr>
        <w:rFonts w:ascii="Arial" w:hAnsi="Arial"/>
        <w:color w:val="9CA3AF"/>
        <w:sz w:val="18"/>
      </w:rPr>
      <w:t>Reliable Heating &amp; Air  |  Monthly Clarity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319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