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5328"/>
        <w:gridCol w:w="5328"/>
      </w:tblGrid>
      <w:tr>
        <w:tc>
          <w:tcPr>
            <w:tcW w:type="dxa" w:w="5328"/>
            <w:tcW w:w="6606" w:type="dxa"/>
            <w:shd w:val="clear" w:color="auto" w:fill="012A4A"/>
            <w:tcMar>
              <w:top w:w="160" w:type="dxa"/>
              <w:bottom w:w="160" w:type="dxa"/>
              <w:left w:w="22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40"/>
              </w:rPr>
              <w:t>Fork &amp; Fire Kitchen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9CA3AF"/>
                <w:sz w:val="19"/>
              </w:rPr>
              <w:t>Monthly Financial Clarity Report  ·  May 2026</w:t>
            </w:r>
          </w:p>
        </w:tc>
        <w:tc>
          <w:tcPr>
            <w:tcW w:type="dxa" w:w="5328"/>
            <w:tcW w:w="4049" w:type="dxa"/>
            <w:shd w:val="clear" w:color="auto" w:fill="012A4A"/>
            <w:tcMar>
              <w:top w:w="160" w:type="dxa"/>
              <w:bottom w:w="160" w:type="dxa"/>
              <w:left w:w="100" w:type="dxa"/>
              <w:right w:w="220" w:type="dxa"/>
            </w:tcMar>
          </w:tcPr>
          <w:p>
            <w:pPr>
              <w:spacing w:before="0" w:after="2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POWERED BY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/>
                <w:color w:val="C8972A"/>
                <w:sz w:val="52"/>
              </w:rPr>
              <w:t>EchoFrame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i/>
                <w:color w:val="FFFFFF"/>
                <w:sz w:val="16"/>
              </w:rPr>
              <w:t>Business intelligence, not accounting.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456" w:type="dxa"/>
            <w:shd w:val="clear" w:color="auto" w:fill="DBEAFE"/>
            <w:tcMar>
              <w:top w:w="120" w:type="dxa"/>
              <w:bottom w:w="12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2"/>
              </w:rPr>
              <w:t>REVENUE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56"/>
              </w:rPr>
              <w:t>$89,000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22"/>
              </w:rPr>
              <w:t>▼ 5.3% vs last month</w:t>
            </w:r>
          </w:p>
        </w:tc>
        <w:tc>
          <w:tcPr>
            <w:tcW w:type="dxa" w:w="3552"/>
            <w:tcW w:w="3456" w:type="dxa"/>
            <w:shd w:val="clear" w:color="auto" w:fill="DBEAFE"/>
            <w:tcMar>
              <w:top w:w="120" w:type="dxa"/>
              <w:bottom w:w="12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2"/>
              </w:rPr>
              <w:t>NET INCOME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56"/>
              </w:rPr>
              <w:t>$16,846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59669"/>
                <w:sz w:val="22"/>
              </w:rPr>
              <w:t>18.9% margin</w:t>
            </w:r>
          </w:p>
        </w:tc>
        <w:tc>
          <w:tcPr>
            <w:tcW w:type="dxa" w:w="3552"/>
            <w:tcW w:w="3456" w:type="dxa"/>
            <w:shd w:val="clear" w:color="auto" w:fill="DBEAFE"/>
            <w:tcMar>
              <w:top w:w="120" w:type="dxa"/>
              <w:bottom w:w="12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2"/>
              </w:rPr>
              <w:t>HEALTH SCORE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56"/>
              </w:rPr>
              <w:t>48/100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22"/>
              </w:rPr>
              <w:t>Needs Attention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FINANCIAL OVERVIEW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9CA3AF"/>
                <w:sz w:val="15"/>
              </w:rPr>
              <w:t>MONTH-OVER-MONTH REVENUE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5447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544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9CA3AF"/>
                <w:sz w:val="15"/>
              </w:rPr>
              <w:t>EXPENSE MIX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815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81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9CA3AF"/>
                <w:sz w:val="15"/>
              </w:rPr>
              <w:t>HEALTH SCORE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4661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466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48/100 — Needs Attention</w:t>
              <w:br/>
              <w:t>Revenue 25pts  ·  Margin 35pts  ·  Compliance 40pts</w:t>
            </w:r>
          </w:p>
        </w:tc>
      </w:tr>
    </w:tbl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</w:tbl>
    <w:p>
      <w:pPr>
        <w:keepNext/>
        <w:spacing w:before="0" w:after="100"/>
      </w:pPr>
    </w:p>
    <w:p>
      <w:pPr>
        <w:spacing w:before="60" w:after="120"/>
      </w:pPr>
      <w:r>
        <w:rPr>
          <w:rFonts w:ascii="Arial" w:hAnsi="Arial"/>
          <w:sz w:val="21"/>
        </w:rPr>
        <w:t>$89,000 in May revenue represents a 5.3% decline from April, a signal that requires immediate attention to customer acquisition channels. Net income stands at $16,846 on an 18.9% margin, which is healthy in absolute terms but masks a deeper structural problem: Fork &amp; Fire Kitchen is simultaneously overspending on labor and food cost operations while underinvesting in marketing by $1,068 per month. Labor cost is running 2.8 percentage points above the NRA industry average at 34.8% of revenue, food cost is 2.0 points over benchmark at 32.0%, and miscellaneous expenses add another $418 monthly overrun.</w:t>
      </w:r>
    </w:p>
    <w:p>
      <w:pPr>
        <w:spacing w:before="0" w:after="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EXPENSE LEAKS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E5E7EB"/>
          <w:insideV w:val="single" w:sz="4" w:space="0" w:color="E5E7EB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592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84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This Month</w:t>
            </w:r>
          </w:p>
        </w:tc>
        <w:tc>
          <w:tcPr>
            <w:tcW w:type="dxa" w:w="1368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% Revenue</w:t>
            </w:r>
          </w:p>
        </w:tc>
        <w:tc>
          <w:tcPr>
            <w:tcW w:type="dxa" w:w="1368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Benchmark</w:t>
            </w:r>
          </w:p>
        </w:tc>
        <w:tc>
          <w:tcPr>
            <w:tcW w:type="dxa" w:w="2448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Variance</w:t>
            </w:r>
          </w:p>
        </w:tc>
      </w:tr>
      <w:tr>
        <w:tc>
          <w:tcPr>
            <w:tcW w:type="dxa" w:w="2592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Food Cost</w:t>
            </w:r>
          </w:p>
        </w:tc>
        <w:tc>
          <w:tcPr>
            <w:tcW w:type="dxa" w:w="1584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$28,480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32.0%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30.0%</w:t>
            </w:r>
          </w:p>
        </w:tc>
        <w:tc>
          <w:tcPr>
            <w:tcW w:type="dxa" w:w="244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+2.0pp  ($1,780)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Labor Cost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$30,972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34.8%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32.0%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+2.8pp  ($2,492)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Rent</w:t>
            </w:r>
          </w:p>
        </w:tc>
        <w:tc>
          <w:tcPr>
            <w:tcW w:type="dxa" w:w="1584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$7,120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8.0%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8.0%</w:t>
            </w:r>
          </w:p>
        </w:tc>
        <w:tc>
          <w:tcPr>
            <w:tcW w:type="dxa" w:w="244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9"/>
              </w:rPr>
              <w:t>+0.0pp  ($0)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Marketing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$1,602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1.8%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3.0%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9"/>
              </w:rPr>
              <w:t>-1.2pp  ($1,068)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Utilities</w:t>
            </w:r>
          </w:p>
        </w:tc>
        <w:tc>
          <w:tcPr>
            <w:tcW w:type="dxa" w:w="1584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$1,780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2.0%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2.0%</w:t>
            </w:r>
          </w:p>
        </w:tc>
        <w:tc>
          <w:tcPr>
            <w:tcW w:type="dxa" w:w="244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9"/>
              </w:rPr>
              <w:t>+0.0pp  ($0)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Misc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$2,200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2.5%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2.0%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+0.5pp  ($418)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EXPENSE vs BENCHMARK  ·  Source: NRA / IBISWorld Industry Averages</w:t>
            </w:r>
          </w:p>
        </w:tc>
      </w:tr>
    </w:tbl>
    <w:p>
      <w:pPr>
        <w:keepNext/>
        <w:spacing w:before="0" w:after="100"/>
      </w:pP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583680" cy="2324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32400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GROWTH GAPS  —  UNDERINVESTMENT vs BENCHMARK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W w:w="10656" w:type="dxa"/>
            <w:shd w:val="clear" w:color="auto" w:fill="FEF3C7"/>
            <w:tcMar>
              <w:top w:w="160" w:type="dxa"/>
              <w:bottom w:w="160" w:type="dxa"/>
              <w:left w:w="200" w:type="dxa"/>
              <w:right w:w="200" w:type="dxa"/>
            </w:tcMar>
            <w:vAlign w:val="top"/>
            <w:tcBorders>
              <w:left w:val="single" w:sz="18" w:color="C8972A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C8972A"/>
                <w:sz w:val="22"/>
              </w:rPr>
              <w:t>▲  Marketing  —  Growth Opportunity</w:t>
            </w:r>
          </w:p>
          <w:p>
            <w:pPr>
              <w:spacing w:before="0" w:after="100"/>
            </w:pPr>
            <w:r>
              <w:rPr>
                <w:rFonts w:ascii="Arial" w:hAnsi="Arial"/>
                <w:b/>
                <w:color w:val="C8972A"/>
                <w:sz w:val="19"/>
              </w:rPr>
              <w:t>Current: 1.8% ($1,602/mo)  ·  Industry avg: 3.0% ($2,670/mo)  ·  Gap: $1,068/mo below peers</w:t>
            </w:r>
          </w:p>
          <w:p>
            <w:pPr>
              <w:spacing w:before="0" w:after="100"/>
            </w:pPr>
            <w:r>
              <w:rPr>
                <w:rFonts w:ascii="Arial" w:hAnsi="Arial"/>
                <w:sz w:val="20"/>
              </w:rPr>
              <w:t>Restaurant revenue is directly correlated with table turn frequency and new cover acquisition. Competitors spending 3.0% on marketing are actively buying share in your market.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20"/>
              </w:rPr>
              <w:t>Action: Determine your current cost per acquired customer, then evaluate whether a $1,068/mo increase in acquisition channels would generate a positive return within 12 months given your average customer lifetime value.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LEAK ANALYSIS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8972A"/>
                <w:sz w:val="28"/>
              </w:rPr>
              <w:t xml:space="preserve">#1  </w:t>
            </w:r>
            <w:r>
              <w:rPr>
                <w:rFonts w:ascii="Arial" w:hAnsi="Arial"/>
                <w:b/>
                <w:color w:val="012A4A"/>
                <w:sz w:val="28"/>
              </w:rPr>
              <w:t>Labor Cost</w:t>
            </w:r>
          </w:p>
          <w:p>
            <w:pPr>
              <w:spacing w:before="20" w:after="100"/>
            </w:pPr>
            <w:r>
              <w:rPr>
                <w:rFonts w:ascii="Arial" w:hAnsi="Arial"/>
                <w:b/>
                <w:color w:val="DC2626"/>
                <w:sz w:val="17"/>
              </w:rPr>
              <w:t>34.8% rev  ·  32.0% avg  ·  +$2,492/mo over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Labor cost is running $2,492 per month above benchmark at 34.8% of revenue against the NRA industry standard of 32.0%. Root cause is likely a combination of overstaffing relative to the variable traffic pattern and potentially inefficient scheduling—the drop in daily traffic should have reduced payroll proportionally but did not.</w:t>
            </w:r>
          </w:p>
        </w:tc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8972A"/>
                <w:sz w:val="28"/>
              </w:rPr>
              <w:t xml:space="preserve">#2  </w:t>
            </w:r>
            <w:r>
              <w:rPr>
                <w:rFonts w:ascii="Arial" w:hAnsi="Arial"/>
                <w:b/>
                <w:color w:val="012A4A"/>
                <w:sz w:val="28"/>
              </w:rPr>
              <w:t>Food Cost</w:t>
            </w:r>
          </w:p>
          <w:p>
            <w:pPr>
              <w:spacing w:before="20" w:after="100"/>
            </w:pPr>
            <w:r>
              <w:rPr>
                <w:rFonts w:ascii="Arial" w:hAnsi="Arial"/>
                <w:b/>
                <w:color w:val="DC2626"/>
                <w:sz w:val="17"/>
              </w:rPr>
              <w:t>32.0% rev  ·  30.0% avg  ·  +$1,780/mo over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Food cost is $1,780 per month over benchmark at 32.0% of revenue versus the 30.0% NRA standard.</w:t>
            </w:r>
          </w:p>
        </w:tc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80" w:type="dxa"/>
              <w:right w:w="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8972A"/>
                <w:sz w:val="28"/>
              </w:rPr>
              <w:t xml:space="preserve">#3  </w:t>
            </w:r>
            <w:r>
              <w:rPr>
                <w:rFonts w:ascii="Arial" w:hAnsi="Arial"/>
                <w:b/>
                <w:color w:val="012A4A"/>
                <w:sz w:val="28"/>
              </w:rPr>
              <w:t>Misc</w:t>
            </w:r>
          </w:p>
          <w:p>
            <w:pPr>
              <w:spacing w:before="20" w:after="100"/>
            </w:pPr>
            <w:r>
              <w:rPr>
                <w:rFonts w:ascii="Arial" w:hAnsi="Arial"/>
                <w:b/>
                <w:color w:val="DC2626"/>
                <w:sz w:val="17"/>
              </w:rPr>
              <w:t>2.5% rev  ·  2.0% avg  ·  +$418/mo over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Miscellaneous expenses are $418 per month over benchmark at 2.5% of revenue against the 2.0% NRA average. Root cause is unclear from the aggregate figure and requires disaggregation of this category.</w:t>
            </w:r>
          </w:p>
        </w:tc>
      </w:tr>
    </w:tbl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THE ONE THING TO FIX THIS MONTH</w:t>
            </w:r>
          </w:p>
        </w:tc>
      </w:tr>
    </w:tbl>
    <w:p>
      <w:pPr>
        <w:keepNext/>
        <w:spacing w:before="0" w:after="100"/>
      </w:pPr>
    </w:p>
    <w:p>
      <w:pPr>
        <w:spacing w:before="0" w:after="120"/>
      </w:pPr>
      <w:r>
        <w:rPr>
          <w:rFonts w:ascii="Arial" w:hAnsi="Arial"/>
          <w:sz w:val="21"/>
        </w:rPr>
        <w:t>Labor cost is the single highest-dollar leak at $2,492 per month and represents 53% of total operational overages.</w:t>
      </w:r>
    </w:p>
    <w:p>
      <w:pPr>
        <w:spacing w:before="40" w:after="40"/>
      </w:pPr>
      <w:r>
        <w:rPr>
          <w:rFonts w:ascii="Arial" w:hAnsi="Arial"/>
          <w:b/>
          <w:color w:val="012A4A"/>
          <w:sz w:val="21"/>
        </w:rPr>
        <w:t xml:space="preserve">1.  </w:t>
      </w:r>
      <w:r>
        <w:rPr>
          <w:rFonts w:ascii="Arial" w:hAnsi="Arial"/>
          <w:sz w:val="21"/>
        </w:rPr>
        <w:t>Pull the May payroll register and list every employee by role, scheduled hours, and actual covers served per shift.</w:t>
      </w:r>
    </w:p>
    <w:p>
      <w:pPr>
        <w:spacing w:before="40" w:after="40"/>
      </w:pPr>
      <w:r>
        <w:rPr>
          <w:rFonts w:ascii="Arial" w:hAnsi="Arial"/>
          <w:b/>
          <w:color w:val="012A4A"/>
          <w:sz w:val="21"/>
        </w:rPr>
        <w:t xml:space="preserve">2.  </w:t>
      </w:r>
      <w:r>
        <w:rPr>
          <w:rFonts w:ascii="Arial" w:hAnsi="Arial"/>
          <w:sz w:val="21"/>
        </w:rPr>
        <w:t>Identify shifts where labor-to-cover ratio exceeds HFTP restaurant standard of one labor hour per 2.5 covers and flag for reduction.</w:t>
      </w:r>
    </w:p>
    <w:p>
      <w:pPr>
        <w:spacing w:before="40" w:after="40"/>
      </w:pPr>
      <w:r>
        <w:rPr>
          <w:rFonts w:ascii="Arial" w:hAnsi="Arial"/>
          <w:b/>
          <w:color w:val="012A4A"/>
          <w:sz w:val="21"/>
        </w:rPr>
        <w:t xml:space="preserve">3.  </w:t>
      </w:r>
      <w:r>
        <w:rPr>
          <w:rFonts w:ascii="Arial" w:hAnsi="Arial"/>
          <w:sz w:val="21"/>
        </w:rPr>
        <w:t>Model a revised schedule reducing overstaffed shifts by 8 to 10 hours per week and enter it into your POS system.</w:t>
      </w:r>
    </w:p>
    <w:p>
      <w:pPr>
        <w:spacing w:before="40" w:after="40"/>
      </w:pPr>
      <w:r>
        <w:rPr>
          <w:rFonts w:ascii="Arial" w:hAnsi="Arial"/>
          <w:b/>
          <w:color w:val="012A4A"/>
          <w:sz w:val="21"/>
        </w:rPr>
        <w:t xml:space="preserve">4.  </w:t>
      </w:r>
      <w:r>
        <w:rPr>
          <w:rFonts w:ascii="Arial" w:hAnsi="Arial"/>
          <w:sz w:val="21"/>
        </w:rPr>
        <w:t>Run a 14-day trial of the revised schedule and confirm service quality and table turn times maintain or improve before full implementation.</w:t>
      </w:r>
    </w:p>
    <w:p>
      <w:pPr>
        <w:spacing w:before="120" w:after="0"/>
      </w:pPr>
      <w:r>
        <w:rPr>
          <w:rFonts w:ascii="Arial" w:hAnsi="Arial"/>
          <w:i/>
          <w:color w:val="059669"/>
          <w:sz w:val="20"/>
        </w:rPr>
        <w:t>Full recovery of the $2,492 monthly overage in labor cost returns $2,492 per month to net income based on May run rate.</w:t>
      </w:r>
    </w:p>
    <w:p>
      <w:pPr>
        <w:spacing w:before="100" w:after="0"/>
      </w:pPr>
      <w:r>
        <w:rPr>
          <w:rFonts w:ascii="Arial" w:hAnsi="Arial"/>
          <w:b/>
          <w:color w:val="C8972A"/>
          <w:sz w:val="19"/>
        </w:rPr>
        <w:t xml:space="preserve">Risk: </w:t>
      </w:r>
      <w:r>
        <w:rPr>
          <w:rFonts w:ascii="Arial" w:hAnsi="Arial"/>
          <w:i/>
          <w:color w:val="9CA3AF"/>
          <w:sz w:val="19"/>
        </w:rPr>
        <w:t>This assumes scheduling optimization can maintain service quality and table turn times without eroding diner satisfaction; evaluate table turn metrics and customer satisfaction scores before reducing any customer-facing shifts.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9CA3AF"/>
          <w:sz w:val="19"/>
        </w:rPr>
        <w:t>90-DAY NET INCOME OUTLOOK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E5E7EB"/>
          <w:insideV w:val="single" w:sz="4" w:space="0" w:color="E5E7EB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623" w:type="dxa"/>
            <w:shd w:val="clear" w:color="auto" w:fill="012A4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3552"/>
            <w:tcW w:w="3516" w:type="dxa"/>
            <w:shd w:val="clear" w:color="auto" w:fill="012A4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Net Income / Mo</w:t>
            </w:r>
          </w:p>
        </w:tc>
        <w:tc>
          <w:tcPr>
            <w:tcW w:type="dxa" w:w="3552"/>
            <w:tcW w:w="3516" w:type="dxa"/>
            <w:shd w:val="clear" w:color="auto" w:fill="012A4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Assumption</w:t>
            </w:r>
          </w:p>
        </w:tc>
      </w:tr>
      <w:tr>
        <w:tc>
          <w:tcPr>
            <w:tcW w:type="dxa" w:w="3552"/>
            <w:tcW w:w="362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No Changes</w:t>
            </w:r>
          </w:p>
        </w:tc>
        <w:tc>
          <w:tcPr>
            <w:tcW w:type="dxa" w:w="3552"/>
            <w:tcW w:w="351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$16,846</w:t>
            </w:r>
          </w:p>
        </w:tc>
        <w:tc>
          <w:tcPr>
            <w:tcW w:type="dxa" w:w="3552"/>
            <w:tcW w:w="351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Current trajectory</w:t>
            </w:r>
          </w:p>
        </w:tc>
      </w:tr>
      <w:tr>
        <w:tc>
          <w:tcPr>
            <w:tcW w:type="dxa" w:w="3552"/>
            <w:tcW w:w="3623" w:type="dxa"/>
            <w:shd w:val="clear" w:color="auto" w:fill="DBEA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Top Leak Fixed</w:t>
            </w:r>
          </w:p>
        </w:tc>
        <w:tc>
          <w:tcPr>
            <w:tcW w:type="dxa" w:w="3552"/>
            <w:tcW w:w="3516" w:type="dxa"/>
            <w:shd w:val="clear" w:color="auto" w:fill="DBEA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$19,338</w:t>
            </w:r>
          </w:p>
        </w:tc>
        <w:tc>
          <w:tcPr>
            <w:tcW w:type="dxa" w:w="3552"/>
            <w:tcW w:w="3516" w:type="dxa"/>
            <w:shd w:val="clear" w:color="auto" w:fill="DBEA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+$2,492 recovered</w:t>
            </w:r>
          </w:p>
        </w:tc>
      </w:tr>
      <w:tr>
        <w:tc>
          <w:tcPr>
            <w:tcW w:type="dxa" w:w="3552"/>
            <w:tcW w:w="3623" w:type="dxa"/>
            <w:shd w:val="clear" w:color="auto"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All Leaks Fixed</w:t>
            </w:r>
          </w:p>
        </w:tc>
        <w:tc>
          <w:tcPr>
            <w:tcW w:type="dxa" w:w="3552"/>
            <w:tcW w:w="3516" w:type="dxa"/>
            <w:shd w:val="clear" w:color="auto"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$21,536</w:t>
            </w:r>
          </w:p>
        </w:tc>
        <w:tc>
          <w:tcPr>
            <w:tcW w:type="dxa" w:w="3552"/>
            <w:tcW w:w="3516" w:type="dxa"/>
            <w:shd w:val="clear" w:color="auto"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+$4,690 recovered</w:t>
            </w:r>
          </w:p>
        </w:tc>
      </w:tr>
    </w:tbl>
    <w:p>
      <w:pPr>
        <w:spacing w:before="100" w:after="160"/>
      </w:pPr>
      <w:r>
        <w:rPr>
          <w:rFonts w:ascii="Arial" w:hAnsi="Arial"/>
          <w:i/>
          <w:color w:val="9CA3AF"/>
          <w:sz w:val="17"/>
        </w:rPr>
        <w:t>Assumes consistent revenue base and full implementation of labor and utility interventions within 60 days. Partial recovery scenarios available on request.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NEXT STEPS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552" w:type="dxa"/>
            <w:shd w:val="clear" w:color="auto" w:fill="DBEAFE"/>
            <w:tcMar>
              <w:top w:w="140" w:type="dxa"/>
              <w:bottom w:w="140" w:type="dxa"/>
              <w:left w:w="180" w:type="dxa"/>
              <w:right w:w="180" w:type="dxa"/>
            </w:tcMar>
            <w:vAlign w:val="top"/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19"/>
              </w:rPr>
              <w:t>THIS WEEK</w:t>
            </w:r>
          </w:p>
          <w:p>
            <w:pPr>
              <w:spacing w:before="40" w:after="0"/>
            </w:pPr>
            <w:r>
              <w:rPr>
                <w:rFonts w:ascii="Arial" w:hAnsi="Arial"/>
                <w:sz w:val="20"/>
              </w:rPr>
              <w:t>Pull May payroll register, identify overstaffed shifts against actual covers served, and prepare a revised schedule for modeling.</w:t>
            </w:r>
          </w:p>
        </w:tc>
        <w:tc>
          <w:tcPr>
            <w:tcW w:type="dxa" w:w="3552"/>
            <w:tcW w:w="3552" w:type="dxa"/>
            <w:shd w:val="clear" w:color="auto" w:fill="DBEAFE"/>
            <w:tcMar>
              <w:top w:w="140" w:type="dxa"/>
              <w:bottom w:w="140" w:type="dxa"/>
              <w:left w:w="180" w:type="dxa"/>
              <w:right w:w="180" w:type="dxa"/>
            </w:tcMar>
            <w:vAlign w:val="top"/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19"/>
              </w:rPr>
              <w:t>THIS MONTH</w:t>
            </w:r>
          </w:p>
          <w:p>
            <w:pPr>
              <w:spacing w:before="40" w:after="0"/>
            </w:pPr>
            <w:r>
              <w:rPr>
                <w:rFonts w:ascii="Arial" w:hAnsi="Arial"/>
                <w:sz w:val="20"/>
              </w:rPr>
              <w:t>Execute a 14-day trial of the revised labor schedule and measure table turn time and customer satisfaction against baseline to confirm readiness for full implementation.</w:t>
            </w:r>
          </w:p>
        </w:tc>
        <w:tc>
          <w:tcPr>
            <w:tcW w:type="dxa" w:w="3552"/>
            <w:tcW w:w="3552" w:type="dxa"/>
            <w:shd w:val="clear" w:color="auto" w:fill="DBEAFE"/>
            <w:tcMar>
              <w:top w:w="140" w:type="dxa"/>
              <w:bottom w:w="140" w:type="dxa"/>
              <w:left w:w="180" w:type="dxa"/>
              <w:right w:w="180" w:type="dxa"/>
            </w:tcMar>
            <w:vAlign w:val="top"/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19"/>
              </w:rPr>
              <w:t>NEXT 30 DAYS</w:t>
            </w:r>
          </w:p>
          <w:p>
            <w:pPr>
              <w:spacing w:before="40" w:after="0"/>
            </w:pPr>
            <w:r>
              <w:rPr>
                <w:rFonts w:ascii="Arial" w:hAnsi="Arial"/>
                <w:sz w:val="20"/>
              </w:rPr>
              <w:t>Evaluate highest-return customer acquisition channel for your restaurant model and allocate the $1,068 monthly marketing gap to testing that channel.</w:t>
            </w:r>
          </w:p>
        </w:tc>
      </w:tr>
    </w:tbl>
    <w:p>
      <w:pPr>
        <w:spacing w:before="240" w:after="0"/>
        <w:jc w:val="center"/>
      </w:pPr>
      <w:r>
        <w:rPr>
          <w:rFonts w:ascii="Arial" w:hAnsi="Arial"/>
          <w:i/>
          <w:color w:val="9CA3AF"/>
          <w:sz w:val="19"/>
        </w:rPr>
        <w:t>The June report, delivered July 1, 2026, will track labor cost %, utility spend, and marketing allocation against the targets set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sz w:val="17"/>
        <w:szCs w:val="17"/>
        <w:color w:val="9CA3AF"/>
      </w:rPr>
      <w:t xml:space="preserve">EchoFrame  |  Page </w:t>
    </w:r>
    <w:r>
      <w:rPr>
        <w:rFonts w:ascii="Arial" w:hAnsi="Arial"/>
        <w:sz w:val="17"/>
        <w:szCs w:val="17"/>
        <w:color w:val="9CA3AF"/>
      </w:rPr>
      <w:fldChar w:fldCharType="begin" w:dirty="true"/>
    </w:r>
    <w:r>
      <w:rPr>
        <w:rFonts w:ascii="Arial" w:hAnsi="Arial"/>
        <w:sz w:val="17"/>
        <w:szCs w:val="17"/>
        <w:color w:val="9CA3AF"/>
      </w:rPr>
      <w:instrText xml:space="preserve"> PAGE </w:instrText>
    </w:r>
    <w:r>
      <w:rPr>
        <w:rFonts w:ascii="Arial" w:hAnsi="Arial"/>
        <w:sz w:val="17"/>
        <w:szCs w:val="17"/>
        <w:color w:val="9CA3AF"/>
      </w:rPr>
      <w:fldChar w:fldCharType="separate"/>
    </w:r>
    <w:r>
      <w:rPr>
        <w:rFonts w:ascii="Arial" w:hAnsi="Arial"/>
        <w:sz w:val="17"/>
        <w:szCs w:val="17"/>
        <w:color w:val="9CA3AF"/>
      </w:rPr>
      <w:t>1</w:t>
    </w:r>
    <w:r>
      <w:rPr>
        <w:rFonts w:ascii="Arial" w:hAnsi="Arial"/>
        <w:sz w:val="17"/>
        <w:szCs w:val="17"/>
        <w:color w:val="9CA3AF"/>
      </w:rPr>
      <w:fldChar w:fldCharType="end"/>
    </w:r>
    <w:r>
      <w:rPr>
        <w:rFonts w:ascii="Arial" w:hAnsi="Arial"/>
        <w:sz w:val="17"/>
        <w:szCs w:val="17"/>
        <w:color w:val="9CA3AF"/>
      </w:rPr>
      <w:t xml:space="preserve"> of </w:t>
    </w:r>
    <w:r>
      <w:rPr>
        <w:rFonts w:ascii="Arial" w:hAnsi="Arial"/>
        <w:sz w:val="17"/>
        <w:szCs w:val="17"/>
        <w:color w:val="9CA3AF"/>
      </w:rPr>
      <w:fldChar w:fldCharType="begin" w:dirty="true"/>
    </w:r>
    <w:r>
      <w:rPr>
        <w:rFonts w:ascii="Arial" w:hAnsi="Arial"/>
        <w:sz w:val="17"/>
        <w:szCs w:val="17"/>
        <w:color w:val="9CA3AF"/>
      </w:rPr>
      <w:instrText xml:space="preserve"> NUMPAGES </w:instrText>
    </w:r>
    <w:r>
      <w:rPr>
        <w:rFonts w:ascii="Arial" w:hAnsi="Arial"/>
        <w:sz w:val="17"/>
        <w:szCs w:val="17"/>
        <w:color w:val="9CA3AF"/>
      </w:rPr>
      <w:fldChar w:fldCharType="separate"/>
    </w:r>
    <w:r>
      <w:rPr>
        <w:rFonts w:ascii="Arial" w:hAnsi="Arial"/>
        <w:sz w:val="17"/>
        <w:szCs w:val="17"/>
        <w:color w:val="9CA3AF"/>
      </w:rPr>
      <w:t>4</w:t>
    </w:r>
    <w:r>
      <w:rPr>
        <w:rFonts w:ascii="Arial" w:hAnsi="Arial"/>
        <w:sz w:val="17"/>
        <w:szCs w:val="17"/>
        <w:color w:val="9CA3AF"/>
      </w:rPr>
      <w:fldChar w:fldCharType="end"/>
    </w:r>
    <w:r>
      <w:rPr>
        <w:rFonts w:ascii="Arial" w:hAnsi="Arial"/>
        <w:sz w:val="17"/>
        <w:szCs w:val="17"/>
        <w:color w:val="9CA3AF"/>
      </w:rPr>
      <w:t xml:space="preserve">  ·  May 2026  ·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Arial" w:hAnsi="Arial"/>
        <w:color w:val="9CA3AF"/>
        <w:sz w:val="18"/>
      </w:rPr>
      <w:t>Fork &amp; Fire Kitchen  |  Monthly Clarity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19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