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00D4C8" w:sz="8" w:space="1"/>
        </w:pBdr>
        <w:spacing w:after="0"/>
      </w:pPr>
    </w:p>
    <w:p>
      <w:pPr>
        <w:spacing w:after="200"/>
      </w:pPr>
    </w:p>
    <w:p>
      <w:r>
        <w:rPr>
          <w:rFonts w:ascii="Arial" w:cs="Arial" w:eastAsia="Arial" w:hAnsi="Arial"/>
          <w:b/>
          <w:bCs/>
          <w:color w:val="0F172A"/>
          <w:sz w:val="56"/>
          <w:szCs w:val="56"/>
        </w:rPr>
        <w:t xml:space="preserve">POCKET DEVELOPER</w:t>
      </w:r>
    </w:p>
    <w:p>
      <w:pPr>
        <w:spacing w:after="40"/>
      </w:pPr>
    </w:p>
    <w:p>
      <w:r>
        <w:rPr>
          <w:rFonts w:ascii="Arial" w:cs="Arial" w:eastAsia="Arial" w:hAnsi="Arial"/>
          <w:color w:val="475569"/>
          <w:sz w:val="32"/>
          <w:szCs w:val="32"/>
        </w:rPr>
        <w:t xml:space="preserve">Pre-Development Checklist</w:t>
      </w:r>
    </w:p>
    <w:p>
      <w:pPr>
        <w:spacing w:after="20"/>
      </w:pPr>
    </w:p>
    <w:p>
      <w:r>
        <w:rPr>
          <w:rFonts w:ascii="Arial" w:cs="Arial" w:eastAsia="Arial" w:hAnsi="Arial"/>
          <w:i/>
          <w:iCs/>
          <w:color w:val="475569"/>
          <w:sz w:val="22"/>
          <w:szCs w:val="22"/>
        </w:rPr>
        <w:t xml:space="preserve">Everything to complete before the first commit</w:t>
      </w:r>
    </w:p>
    <w:p>
      <w:pPr>
        <w:spacing w:after="100"/>
      </w:pPr>
    </w:p>
    <w:p>
      <w:pPr>
        <w:pBdr>
          <w:bottom w:val="single" w:color="00D4C8" w:sz="8" w:space="1"/>
        </w:pBdr>
        <w:spacing w:after="0"/>
      </w:pPr>
    </w:p>
    <w:p>
      <w:pPr>
        <w:spacing w:after="300"/>
      </w:pPr>
    </w:p>
    <w:p>
      <w:r>
        <w:rPr>
          <w:rFonts w:ascii="Arial" w:cs="Arial" w:eastAsia="Arial" w:hAnsi="Arial"/>
          <w:color w:val="475569"/>
          <w:sz w:val="20"/>
          <w:szCs w:val="20"/>
        </w:rPr>
        <w:t xml:space="preserve">7 workstreams  |  42 action items  |  Target: Complete by mid-March 2026</w:t>
      </w:r>
    </w:p>
    <w:p>
      <w:pPr>
        <w:spacing w:after="40"/>
      </w:pPr>
    </w:p>
    <w:p>
      <w:r>
        <w:rPr>
          <w:rFonts w:ascii="Arial" w:cs="Arial" w:eastAsia="Arial" w:hAnsi="Arial"/>
          <w:color w:val="475569"/>
          <w:sz w:val="20"/>
          <w:szCs w:val="20"/>
        </w:rPr>
        <w:t xml:space="preserve">Version 1.0  |  February 2026  |  JT Dev LLC</w:t>
      </w:r>
    </w:p>
    <w:p>
      <w:pPr>
        <w:spacing w:after="1200"/>
      </w:pPr>
    </w:p>
    <w:p>
      <w:r>
        <w:rPr>
          <w:rFonts w:ascii="Arial" w:cs="Arial" w:eastAsia="Arial" w:hAnsi="Arial"/>
          <w:b/>
          <w:bCs/>
          <w:color w:val="475569"/>
          <w:sz w:val="16"/>
          <w:szCs w:val="16"/>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F172A"/>
          <w:sz w:val="36"/>
          <w:szCs w:val="36"/>
        </w:rPr>
        <w:t xml:space="preserve">Pre-Development Checklist</w:t>
      </w:r>
    </w:p>
    <w:p>
      <w:pPr>
        <w:pBdr>
          <w:bottom w:val="single" w:color="00D4C8" w:sz="8" w:space="1"/>
        </w:pBdr>
        <w:spacing w:after="0"/>
      </w:pPr>
    </w:p>
    <w:p>
      <w:pPr>
        <w:spacing w:after="100"/>
      </w:pPr>
    </w:p>
    <w:p>
      <w:pPr>
        <w:spacing w:after="120" w:line="300"/>
      </w:pPr>
      <w:r>
        <w:rPr>
          <w:rFonts w:ascii="Arial" w:cs="Arial" w:eastAsia="Arial" w:hAnsi="Arial"/>
          <w:color w:val="0F172A"/>
          <w:sz w:val="20"/>
          <w:szCs w:val="20"/>
        </w:rPr>
        <w:t xml:space="preserve">This checklist covers every action item that must be completed before writing production code. Skipping these creates compounding problems: legal exposure without an LLC, data you can’t legally display, a demo that fails in the field, and a client conversation that stalls on unanswered questions. Complete these in roughly the order presented — each workstream unlocks the next.</w:t>
      </w:r>
    </w:p>
    <w:p>
      <w:pPr>
        <w:spacing w:after="40"/>
      </w:pPr>
    </w:p>
    <w:p>
      <w:pPr>
        <w:spacing w:before="200" w:after="100"/>
      </w:pPr>
      <w:r>
        <w:rPr>
          <w:rFonts w:ascii="Arial" w:cs="Arial" w:eastAsia="Arial" w:hAnsi="Arial"/>
          <w:b/>
          <w:bCs/>
          <w:color w:val="0A7A73"/>
          <w:sz w:val="24"/>
          <w:szCs w:val="24"/>
        </w:rPr>
        <w:t xml:space="preserve">Workstream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000"/>
        <w:gridCol w:w="2200"/>
        <w:gridCol w:w="1800"/>
        <w:gridCol w:w="184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Workstream</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Items</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Blocking?</w:t>
            </w:r>
          </w:p>
        </w:tc>
        <w:tc>
          <w:tcPr>
            <w:tcW w:type="dxa" w:w="18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i w:val="false"/>
                <w:iCs w:val="false"/>
                <w:color w:val="0F172A"/>
                <w:sz w:val="18"/>
                <w:szCs w:val="18"/>
              </w:rPr>
              <w:t xml:space="preserve">Legal &amp; Entity Formation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7 items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DC2626"/>
                <w:sz w:val="18"/>
                <w:szCs w:val="18"/>
              </w:rPr>
              <w:t xml:space="preserve">Yes — blocks all client work</w:t>
            </w:r>
          </w:p>
        </w:tc>
        <w:tc>
          <w:tcPr>
            <w:tcW w:type="dxa" w:w="18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Week 1–2</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2</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i w:val="false"/>
                <w:iCs w:val="false"/>
                <w:color w:val="0F172A"/>
                <w:sz w:val="18"/>
                <w:szCs w:val="18"/>
              </w:rPr>
              <w:t xml:space="preserve">DeThomas Relationship &amp; Research</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6 items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DC2626"/>
                <w:sz w:val="18"/>
                <w:szCs w:val="18"/>
              </w:rPr>
              <w:t xml:space="preserve">Yes — blocks proposal</w:t>
            </w:r>
          </w:p>
        </w:tc>
        <w:tc>
          <w:tcPr>
            <w:tcW w:type="dxa" w:w="18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Week 1–3</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i w:val="false"/>
                <w:iCs w:val="false"/>
                <w:color w:val="0F172A"/>
                <w:sz w:val="18"/>
                <w:szCs w:val="18"/>
              </w:rPr>
              <w:t xml:space="preserve">Data Licensing &amp; Acquisition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7 items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DC2626"/>
                <w:sz w:val="18"/>
                <w:szCs w:val="18"/>
              </w:rPr>
              <w:t xml:space="preserve">Yes — blocks Phase 1 code</w:t>
            </w:r>
          </w:p>
        </w:tc>
        <w:tc>
          <w:tcPr>
            <w:tcW w:type="dxa" w:w="18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Week 2–3</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4</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i w:val="false"/>
                <w:iCs w:val="false"/>
                <w:color w:val="0F172A"/>
                <w:sz w:val="18"/>
                <w:szCs w:val="18"/>
              </w:rPr>
              <w:t xml:space="preserve">Accounts &amp; Service Setup</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7 items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DC2626"/>
                <w:sz w:val="18"/>
                <w:szCs w:val="18"/>
              </w:rPr>
              <w:t xml:space="preserve">Yes — blocks dev environment</w:t>
            </w:r>
          </w:p>
        </w:tc>
        <w:tc>
          <w:tcPr>
            <w:tcW w:type="dxa" w:w="18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Week 2</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5</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i w:val="false"/>
                <w:iCs w:val="false"/>
                <w:color w:val="0F172A"/>
                <w:sz w:val="18"/>
                <w:szCs w:val="18"/>
              </w:rPr>
              <w:t xml:space="preserve">Technical Validation &amp; Spikes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6 items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F97316"/>
                <w:sz w:val="18"/>
                <w:szCs w:val="18"/>
              </w:rPr>
              <w:t xml:space="preserve">Partially — de-risks build</w:t>
            </w:r>
          </w:p>
        </w:tc>
        <w:tc>
          <w:tcPr>
            <w:tcW w:type="dxa" w:w="18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Week 3–4</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6</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i w:val="false"/>
                <w:iCs w:val="false"/>
                <w:color w:val="0F172A"/>
                <w:sz w:val="18"/>
                <w:szCs w:val="18"/>
              </w:rPr>
              <w:t xml:space="preserve">Product &amp; Design Prep</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5 items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A7A73"/>
                <w:sz w:val="18"/>
                <w:szCs w:val="18"/>
              </w:rPr>
              <w:t xml:space="preserve">No — but improves quality</w:t>
            </w:r>
          </w:p>
        </w:tc>
        <w:tc>
          <w:tcPr>
            <w:tcW w:type="dxa" w:w="18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Week 2–4</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7</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i w:val="false"/>
                <w:iCs w:val="false"/>
                <w:color w:val="0F172A"/>
                <w:sz w:val="18"/>
                <w:szCs w:val="18"/>
              </w:rPr>
              <w:t xml:space="preserve">Financial &amp; Business Setup</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4 items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F97316"/>
                <w:sz w:val="18"/>
                <w:szCs w:val="18"/>
              </w:rPr>
              <w:t xml:space="preserve">Partially — blocks invoicing</w:t>
            </w:r>
          </w:p>
        </w:tc>
        <w:tc>
          <w:tcPr>
            <w:tcW w:type="dxa" w:w="18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Week 2–3</w:t>
            </w:r>
          </w:p>
        </w:tc>
      </w:tr>
    </w:tbl>
    <w:p>
      <w:r>
        <w:br w:type="page"/>
      </w:r>
    </w:p>
    <w:p>
      <w:pPr>
        <w:pStyle w:val="Heading1"/>
        <w:spacing w:before="360" w:after="200"/>
      </w:pPr>
      <w:r>
        <w:rPr>
          <w:rFonts w:ascii="Arial" w:cs="Arial" w:eastAsia="Arial" w:hAnsi="Arial"/>
          <w:b/>
          <w:bCs/>
          <w:color w:val="0F172A"/>
          <w:sz w:val="36"/>
          <w:szCs w:val="36"/>
        </w:rPr>
        <w:t xml:space="preserve">Workstream 1: Legal &amp; Entity Formation</w:t>
      </w:r>
    </w:p>
    <w:p>
      <w:pPr>
        <w:shd w:fill="DC2626" w:val="clear"/>
        <w:spacing w:before="40" w:after="120"/>
      </w:pPr>
      <w:r>
        <w:rPr>
          <w:rFonts w:ascii="Arial" w:cs="Arial" w:eastAsia="Arial" w:hAnsi="Arial"/>
          <w:b/>
          <w:bCs/>
          <w:color w:val="FFFFFF"/>
          <w:sz w:val="18"/>
          <w:szCs w:val="18"/>
        </w:rPr>
        <w:t xml:space="preserve">  BLOCKING — Nothing gets signed or invoiced without this</w:t>
      </w:r>
    </w:p>
    <w:p>
      <w:pPr>
        <w:spacing w:after="60"/>
      </w:pPr>
    </w:p>
    <w:p>
      <w:pPr>
        <w:spacing w:after="120" w:line="300"/>
      </w:pPr>
      <w:r>
        <w:rPr>
          <w:rFonts w:ascii="Arial" w:cs="Arial" w:eastAsia="Arial" w:hAnsi="Arial"/>
          <w:color w:val="0F172A"/>
          <w:sz w:val="20"/>
          <w:szCs w:val="20"/>
        </w:rPr>
        <w:t xml:space="preserve">Your financial advisor conversation covered the entity question. Now execute on it. The LLC must exist before the DeThomas proposal goes out, before you buy data licenses, and before you push a single commit to a repo that will become commercial software.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1000"/>
        <w:gridCol w:w="100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0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Action Items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Form LLC in Georgia</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File with GA Secretary of State. Name: JT Dev LLC (or your chosen name). $100 filing fee. Get the EIN from IRS same day (online, free). This is the entity that owns the Pocket Developer IP and signs the DeThomas contract.</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1</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Open business bank account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Separate account for the LLC. All Pocket Developer expenses (Regrid, Supabase, Mapbox) and all DeThomas revenue flow through this account. Chase, Mercury, or Relay all work. Requires EIN + Articles of Organization.</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1</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Draft SaaS services agreement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Hire a tech-focused attorney to draft the master services agreement you’ll use with DeThomas. Must cover: IP ownership (you own platform, they own their data), data handling obligations, SLA expectations, termination and data export provisions, liability caps. Budget $1,500–$3,000. This is non-negotiable — DeThomas’s counsel will review it.</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Draft data processing agreement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Separate from the MSA. Governs how you handle DeThomas’s proprietary deal documents (Phase 2 RAG pipeline). Must specify: data storage location (Supabase region), encryption at rest, access controls (RLS), deletion policy on termination, and whether anonymized patterns can improve the platform for other clients.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Privacy Policy + ToS</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Use Termly or Iubenda ($150–$300/yr) for initial versions. Must cover: what user data you collect, how parcel data is sourced and licensed, cookie policy (minimal for PWA), and CCPA basics. These live at pocketdeveloper.com/privacy and /terms.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Setup code repository under LLC</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Create a GitHub organization under the LLC name. All Pocket Developer repos live here, not your personal GitHub. This establishes IP provenance — the code was always created by/for the entity. Enable branch protection on main from day one.</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1</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Get E&amp;O / tech liability insurance quote</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Not needed before the first commit, but needed before the first invoice. Get quotes from Next Insurance, Hiscox, or Embroker. Budget $800–$1,500/yr. You want Errors &amp; Omissions + Cyber Liability. Don’t bind the policy until the DeThomas contract is signed.</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bl>
    <w:p>
      <w:r>
        <w:br w:type="page"/>
      </w:r>
    </w:p>
    <w:p>
      <w:pPr>
        <w:pStyle w:val="Heading1"/>
        <w:spacing w:before="360" w:after="200"/>
      </w:pPr>
      <w:r>
        <w:rPr>
          <w:rFonts w:ascii="Arial" w:cs="Arial" w:eastAsia="Arial" w:hAnsi="Arial"/>
          <w:b/>
          <w:bCs/>
          <w:color w:val="0F172A"/>
          <w:sz w:val="36"/>
          <w:szCs w:val="36"/>
        </w:rPr>
        <w:t xml:space="preserve">Workstream 2: DeThomas Relationship &amp; Research</w:t>
      </w:r>
    </w:p>
    <w:p>
      <w:pPr>
        <w:shd w:fill="F97316" w:val="clear"/>
        <w:spacing w:before="40" w:after="120"/>
      </w:pPr>
      <w:r>
        <w:rPr>
          <w:rFonts w:ascii="Arial" w:cs="Arial" w:eastAsia="Arial" w:hAnsi="Arial"/>
          <w:b/>
          <w:bCs/>
          <w:color w:val="FFFFFF"/>
          <w:sz w:val="18"/>
          <w:szCs w:val="18"/>
        </w:rPr>
        <w:t xml:space="preserve">  BLOCKING — Informs product priorities and validates assumptions</w:t>
      </w:r>
    </w:p>
    <w:p>
      <w:pPr>
        <w:spacing w:after="60"/>
      </w:pPr>
    </w:p>
    <w:p>
      <w:pPr>
        <w:spacing w:after="120" w:line="300"/>
      </w:pPr>
      <w:r>
        <w:rPr>
          <w:rFonts w:ascii="Arial" w:cs="Arial" w:eastAsia="Arial" w:hAnsi="Arial"/>
          <w:color w:val="0F172A"/>
          <w:sz w:val="20"/>
          <w:szCs w:val="20"/>
        </w:rPr>
        <w:t xml:space="preserve">You have a client asking for a proposal. Before you write it, you need to understand their actual workflow deeply enough to build the right thing — not what you assume they need, but what they’ll actually use in the field every day. This workstream is about closing the knowledge gap.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1000"/>
        <w:gridCol w:w="100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0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Action Items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Request a ride-along / site visit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Ask to join one of their team’s site visits. Watch how they currently evaluate a parcel. What apps do they open? What do they look at first? What questions do they ask out loud? What frustrates them? One afternoon in the field is worth more than a week of building assumptions. Take notes, not photos.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1</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Map their current tool stack</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Find out exactly what they use today: LandGlide, CoStar, LoopNet, county GIS portals, Google Earth, Excel proformas, shared drives. For each tool, understand what they get from it and what’s missing. This directly informs which Phase 1 features to prioritize for the demo.</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1</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Identify the demo audience</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Who will be in the room for your Phase 1 demo? A field analyst has different needs than a principal/partner. If the decision-maker is a senior partner, the demo needs to show time savings and deal intelligence, not just a pretty map. If it’s a field team, it needs to feel faster than LandGlide on a phone.</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1</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Get their target market list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Which specific counties and submarkets does DeThomas operate in? This determines which Regrid county extracts to purchase first. Don’t assume Gwinnett + Fulton — they may be actively looking in Cherokee, Forsyth, or Hall County. Buy data for the markets they’re actually working.</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Understand their deal doc format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Before you build the RAG pipeline, you need to know what their documents actually look like. Are proformas in Excel or PDF? Are site memos in Word? Are they on Google Drive or a shared network folder? Are they OCR-scannable or handwritten? This changes your ingestion strategy entirely.</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Send the formal proposal</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After the ride-along and research, finalize and send the proposal document. Anchor at $18K–$22K setup + $3,500/month. Include the Phase 1 pilot alternative ($8,500 + $1,500/mo for 90 days). Send as a clean PDF with their logo on the cover. Follow up within 48 hours.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bl>
    <w:p>
      <w:r>
        <w:br w:type="page"/>
      </w:r>
    </w:p>
    <w:p>
      <w:pPr>
        <w:pStyle w:val="Heading1"/>
        <w:spacing w:before="360" w:after="200"/>
      </w:pPr>
      <w:r>
        <w:rPr>
          <w:rFonts w:ascii="Arial" w:cs="Arial" w:eastAsia="Arial" w:hAnsi="Arial"/>
          <w:b/>
          <w:bCs/>
          <w:color w:val="0F172A"/>
          <w:sz w:val="36"/>
          <w:szCs w:val="36"/>
        </w:rPr>
        <w:t xml:space="preserve">Workstream 3: Data Licensing &amp; Acquisition</w:t>
      </w:r>
    </w:p>
    <w:p>
      <w:pPr>
        <w:shd w:fill="F97316" w:val="clear"/>
        <w:spacing w:before="40" w:after="120"/>
      </w:pPr>
      <w:r>
        <w:rPr>
          <w:rFonts w:ascii="Arial" w:cs="Arial" w:eastAsia="Arial" w:hAnsi="Arial"/>
          <w:b/>
          <w:bCs/>
          <w:color w:val="FFFFFF"/>
          <w:sz w:val="18"/>
          <w:szCs w:val="18"/>
        </w:rPr>
        <w:t xml:space="preserve">  BLOCKING — Phase 1 cannot be built without parcel data</w:t>
      </w:r>
    </w:p>
    <w:p>
      <w:pPr>
        <w:spacing w:after="60"/>
      </w:pPr>
    </w:p>
    <w:p>
      <w:pPr>
        <w:spacing w:after="120" w:line="300"/>
      </w:pPr>
      <w:r>
        <w:rPr>
          <w:rFonts w:ascii="Arial" w:cs="Arial" w:eastAsia="Arial" w:hAnsi="Arial"/>
          <w:color w:val="0F172A"/>
          <w:sz w:val="20"/>
          <w:szCs w:val="20"/>
        </w:rPr>
        <w:t xml:space="preserve">The entire product is built on data layers. If the licensing terms don’t permit your use case, or the data quality is poor, you discover it after you’ve built features on top of it. Validate before you purchase.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1000"/>
        <w:gridCol w:w="100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0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Action Items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Contact Regrid sales re: licensing</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Email Regrid and explicitly describe your use case: “We are building a SaaS platform that displays parcel boundaries and ownership data to paying commercial real estate clients.” Ask which license tier permits this. Get the answer in writing. Some tiers restrict display to internal use only — if you buy the wrong tier, you can’t show parcels to DeThomas.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Request a sample county extract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Before buying 5 counties, ask Regrid for a sample extract (they often provide one free or for a single county). Validate: field completeness (owner name, zoning, sale date/price populated), geometry quality (no broken polygons), and file format (GeoJSON or Shapefile that loads cleanly into PostGIS).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Test Regrid data in PostGIS</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Load the sample extract into a local Postgres/PostGIS instance. Run ST_IsValid on geometries. Check how many parcels have NULL owner_name, NULL zoning, NULL last_sale_price. If &gt;20% of critical fields are null for your target counties, you need a fallback plan (county assessor direct feeds).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Purchase county extracts</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Buy the counties DeThomas confirmed they operate in (from Workstream 2). Budget $600–$900 for 5 counties. Pay from the LLC bank account for clean expense tracking and tax deduction.</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Download free federal datasets</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Register for and download: FEMA NFHL (flood zones), USFWS NWI (wetlands), HIFLD (substations + TX lines), FCC BDC (fiber providers), EPA SDWIS (water systems), Census ACS (demographics). These are all free but some require registration. Do this now so you’re not blocked when you reach Phase 2–3.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Pull county zoning GIS data</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Check each target county’s open data portal for zoning overlay GeoJSON/Shapefile. Gwinnett, Fulton, Cobb, and DeKalb all publish this. Cherokee and Forsyth may require a FOIA request or direct contact with the county GIS department. Download what’s available now.</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Review GA SOS terms of use</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Read the terms of use on ecorp.sos.ga.gov before building the LLC lookup scraper. Government sites sometimes explicitly prohibit automated scraping. If restricted, the fallback is a manual lookup flow where the user clicks a link to the SOS site rather than an automated enrichment.</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bl>
    <w:p>
      <w:r>
        <w:br w:type="page"/>
      </w:r>
    </w:p>
    <w:p>
      <w:pPr>
        <w:pStyle w:val="Heading1"/>
        <w:spacing w:before="360" w:after="200"/>
      </w:pPr>
      <w:r>
        <w:rPr>
          <w:rFonts w:ascii="Arial" w:cs="Arial" w:eastAsia="Arial" w:hAnsi="Arial"/>
          <w:b/>
          <w:bCs/>
          <w:color w:val="0F172A"/>
          <w:sz w:val="36"/>
          <w:szCs w:val="36"/>
        </w:rPr>
        <w:t xml:space="preserve">Workstream 4: Accounts &amp; Service Setup</w:t>
      </w:r>
    </w:p>
    <w:p>
      <w:pPr>
        <w:shd w:fill="F97316" w:val="clear"/>
        <w:spacing w:before="40" w:after="120"/>
      </w:pPr>
      <w:r>
        <w:rPr>
          <w:rFonts w:ascii="Arial" w:cs="Arial" w:eastAsia="Arial" w:hAnsi="Arial"/>
          <w:b/>
          <w:bCs/>
          <w:color w:val="FFFFFF"/>
          <w:sz w:val="18"/>
          <w:szCs w:val="18"/>
        </w:rPr>
        <w:t xml:space="preserve">  BLOCKING — Dev environment won’t function without these</w:t>
      </w:r>
    </w:p>
    <w:p>
      <w:pPr>
        <w:spacing w:after="60"/>
      </w:pPr>
    </w:p>
    <w:p>
      <w:pPr>
        <w:spacing w:after="120" w:line="300"/>
      </w:pPr>
      <w:r>
        <w:rPr>
          <w:rFonts w:ascii="Arial" w:cs="Arial" w:eastAsia="Arial" w:hAnsi="Arial"/>
          <w:color w:val="0F172A"/>
          <w:sz w:val="20"/>
          <w:szCs w:val="20"/>
        </w:rPr>
        <w:t xml:space="preserve">Set up every external service account under the LLC’s email and billing. Never use personal accounts for commercial infrastructure — it creates tax complications and IP ambiguity.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1000"/>
        <w:gridCol w:w="100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0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Action Items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Supabase project (Pro tier)</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Sign up under the LLC email. Create a new project in the us-east-1 region (closest to Atlanta). Enable PostGIS and pgvector extensions immediately. Start on Pro ($25/mo) — the free tier’s 500MB DB limit will be exceeded by a single county’s parcel data.</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Mapbox account + API token</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Sign up at mapbox.com. Generate a public token (for map rendering) and a secret token (for Geocoding API server-side calls). The free tier covers 50K map loads/month and 100K geocoding requests/month — more than enough through Phase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Vercel account + project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Sign up under LLC email. Connect to the GitHub org. Create the pocket-developer project. Configure environment variables for Supabase URL, Supabase anon key, Mapbox token, and FastAPI backend URL. Pro tier ($20/mo) for preview deployments.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Railway account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Sign up for FastAPI backend hosting. Create a project with two services: the FastAPI app and a Redis instance (for ARQ job queue). Both start on the usage-based plan — roughly $5–10/mo during development. Connect to the GitHub org for auto-deploy.</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Anthropic API account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Sign up at console.anthropic.com. Add billing under the LLC. Generate an API key. You’ll use Claude Sonnet for zoning interpretation and brief generation, Haiku for lightweight summaries. Estimated dev usage: &lt;$20 total.</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OpenAI API account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Sign up at platform.openai.com. Add billing. You need this specifically for text-embedding-3-large (3072 dimensions) — best retrieval quality for the RAG pipeline. Dev-phase cost for embeddings is negligible (&lt;$5).</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Register for Census API key</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Go to api.census.gov/data/key_signup.html. Free, instant. Required for the demographics sub-scorer in Phase 2. No cost, no rate limit issues at your scale.</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Low</w:t>
            </w:r>
          </w:p>
        </w:tc>
      </w:tr>
    </w:tbl>
    <w:p>
      <w:r>
        <w:br w:type="page"/>
      </w:r>
    </w:p>
    <w:p>
      <w:pPr>
        <w:pStyle w:val="Heading1"/>
        <w:spacing w:before="360" w:after="200"/>
      </w:pPr>
      <w:r>
        <w:rPr>
          <w:rFonts w:ascii="Arial" w:cs="Arial" w:eastAsia="Arial" w:hAnsi="Arial"/>
          <w:b/>
          <w:bCs/>
          <w:color w:val="0F172A"/>
          <w:sz w:val="36"/>
          <w:szCs w:val="36"/>
        </w:rPr>
        <w:t xml:space="preserve">Workstream 5: Technical Validation Spikes</w:t>
      </w:r>
    </w:p>
    <w:p>
      <w:pPr>
        <w:shd w:fill="F59E0B" w:val="clear"/>
        <w:spacing w:before="40" w:after="120"/>
      </w:pPr>
      <w:r>
        <w:rPr>
          <w:rFonts w:ascii="Arial" w:cs="Arial" w:eastAsia="Arial" w:hAnsi="Arial"/>
          <w:b/>
          <w:bCs/>
          <w:color w:val="0F172A"/>
          <w:sz w:val="18"/>
          <w:szCs w:val="18"/>
        </w:rPr>
        <w:t xml:space="preserve">  PARTIALLY BLOCKING — De-risks architecture before full build</w:t>
      </w:r>
    </w:p>
    <w:p>
      <w:pPr>
        <w:spacing w:after="60"/>
      </w:pPr>
    </w:p>
    <w:p>
      <w:pPr>
        <w:spacing w:after="120" w:line="300"/>
      </w:pPr>
      <w:r>
        <w:rPr>
          <w:rFonts w:ascii="Arial" w:cs="Arial" w:eastAsia="Arial" w:hAnsi="Arial"/>
          <w:color w:val="0F172A"/>
          <w:sz w:val="20"/>
          <w:szCs w:val="20"/>
        </w:rPr>
        <w:t xml:space="preserve">These are focused, time-boxed experiments (2–4 hours each) to validate that the critical technical assumptions hold before you commit to the full build. A spike that fails here saves you weeks of wasted work later.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1000"/>
        <w:gridCol w:w="100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0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Action Items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Spike: Mapbox + Regrid tile rendering</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Load the sample Regrid extract, run it through Tippecanoe to generate .mbtiles, upload to Mapbox as a tileset. Render in a bare Next.js page with mapbox-gl-js. Verify: parcels render at z13+, click events fire queryRenderedFeatures correctly, performance is acceptable on a phone browser. This is the single highest-risk technical dependency.</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Critical</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Spike: PostGIS spatial query perf</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Load parcel data into Supabase with GiST index. Run the core query patterns: ST_DWithin for comps radius search, ST_Intersects for flood zone check, ST_Distance for nearest substation. Measure query times. Target: &lt;200ms for any single spatial query. If slow, test with different index configurations.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Spike: PWA on iOS Safari</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Build a minimal Next.js PWA with service worker + manifest. Add to home screen on an iPhone. Test: geolocation API works, map renders full-screen without Safari chrome, service worker caches tiles for offline fallback, re-opening the app doesn’t force re-auth. Document any iOS-specific quirks.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Spike: Supabase Auth + RLS flow</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Set up Supabase Auth with email/password. Create a test table with org_id and RLS policy. Verify from the Next.js client that: user can authenticate, JWT propagates to API calls, RLS correctly filters rows by org_id, and a user from Org A cannot see Org B’s data under any circumstances.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Spike: pgvector embedding search</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Generate 50–100 test embeddings using OpenAI text-embedding-3-large. Store in Supabase with pgvector. Run cosine similarity searches. Verify: results are relevant, query time is &lt;100ms, IVFFlat index improves performance over brute-force scan. This validates the Phase 2 RAG retrieval path.</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4</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Spike: Field-condition network test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Take a phone to an undeveloped parcel or construction site in Gwinnett County. Open the prototype PWA. Test on real cellular signal (not WiFi). Measure: time to first map render, time to load parcel data on tap, behavior when signal drops. This is the reality check that desktop testing can’t replicate.</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4</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bl>
    <w:p>
      <w:r>
        <w:br w:type="page"/>
      </w:r>
    </w:p>
    <w:p>
      <w:pPr>
        <w:pStyle w:val="Heading1"/>
        <w:spacing w:before="360" w:after="200"/>
      </w:pPr>
      <w:r>
        <w:rPr>
          <w:rFonts w:ascii="Arial" w:cs="Arial" w:eastAsia="Arial" w:hAnsi="Arial"/>
          <w:b/>
          <w:bCs/>
          <w:color w:val="0F172A"/>
          <w:sz w:val="36"/>
          <w:szCs w:val="36"/>
        </w:rPr>
        <w:t xml:space="preserve">Workstream 6: Product &amp; Design Prep</w:t>
      </w:r>
    </w:p>
    <w:p>
      <w:pPr>
        <w:shd w:fill="0A7A73" w:val="clear"/>
        <w:spacing w:before="40" w:after="120"/>
      </w:pPr>
      <w:r>
        <w:rPr>
          <w:rFonts w:ascii="Arial" w:cs="Arial" w:eastAsia="Arial" w:hAnsi="Arial"/>
          <w:b/>
          <w:bCs/>
          <w:color w:val="FFFFFF"/>
          <w:sz w:val="18"/>
          <w:szCs w:val="18"/>
        </w:rPr>
        <w:t xml:space="preserve">  NON-BLOCKING — But significantly improves build quality</w:t>
      </w:r>
    </w:p>
    <w:p>
      <w:pPr>
        <w:spacing w:after="60"/>
      </w:pPr>
    </w:p>
    <w:p>
      <w:pPr>
        <w:spacing w:after="120" w:line="300"/>
      </w:pPr>
      <w:r>
        <w:rPr>
          <w:rFonts w:ascii="Arial" w:cs="Arial" w:eastAsia="Arial" w:hAnsi="Arial"/>
          <w:color w:val="0F172A"/>
          <w:sz w:val="20"/>
          <w:szCs w:val="20"/>
        </w:rPr>
        <w:t xml:space="preserve">You have wireframes for all four phases. This workstream turns those wireframes into implementation-ready specs and catches design gaps before they become code rework.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1000"/>
        <w:gridCol w:w="100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0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Action Items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Define the design token system</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Formalize the CSS custom properties from the wireframes into a single tokens.css file: colors, typography (Bebas Neue, IBM Plex Mono, Barlow), spacing scale, border radii, animation durations. This becomes the source of truth for both Phase 1 implementation and Phase 4 white-labeling (where org branding overrides these tokens).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Build a component inventory</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From the wireframes, list every unique component needed for Phase 1: MapContainer, ParcelLayer, ParcelPanel (desktop/mobile variants), SearchBar, LayerToggle, SaveButton, CollectionList, LLCLookupCard. Map each to a shadcn/ui primitive or flag as custom. This is your Phase 1 component checklist.</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Define API contract (OpenAPI spec)</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Write the FastAPI endpoint signatures for Phase 1 before implementing them: GET /parcels/{apn}, GET /parcels/search?q=, POST /parcels/{apn}/save, GET /collections. Use Pydantic models for request/response schemas. This lets you build frontend and backend in parallel without integration surprises.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seed data for demos</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Identify 5–10 specific parcels in DeThomas’s target markets that make for compelling demo scenarios: a parcel with an LLC owner (to show the lookup feature), one in a flood zone (to show risk flags later), one that recently sold (to show comp data), and one in an area they’re known to operate. These become your demo script.</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4</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Write the demo script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Script the exact flow you’ll walk through in the DeThomas demo. Open the app on your phone, GPS to a site, tap a parcel, show the panel, search an address, save to a collection, toggle layers, do an LLC lookup. Practice it 5 times until it’s smooth. A polished 3-minute demo sells better than a feature-complete but clumsy walkthrough.</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4</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bl>
    <w:p>
      <w:r>
        <w:br w:type="page"/>
      </w:r>
    </w:p>
    <w:p>
      <w:pPr>
        <w:pStyle w:val="Heading1"/>
        <w:spacing w:before="360" w:after="200"/>
      </w:pPr>
      <w:r>
        <w:rPr>
          <w:rFonts w:ascii="Arial" w:cs="Arial" w:eastAsia="Arial" w:hAnsi="Arial"/>
          <w:b/>
          <w:bCs/>
          <w:color w:val="0F172A"/>
          <w:sz w:val="36"/>
          <w:szCs w:val="36"/>
        </w:rPr>
        <w:t xml:space="preserve">Workstream 7: Financial &amp; Business Setup</w:t>
      </w:r>
    </w:p>
    <w:p>
      <w:pPr>
        <w:shd w:fill="F59E0B" w:val="clear"/>
        <w:spacing w:before="40" w:after="120"/>
      </w:pPr>
      <w:r>
        <w:rPr>
          <w:rFonts w:ascii="Arial" w:cs="Arial" w:eastAsia="Arial" w:hAnsi="Arial"/>
          <w:b/>
          <w:bCs/>
          <w:color w:val="0F172A"/>
          <w:sz w:val="18"/>
          <w:szCs w:val="18"/>
        </w:rPr>
        <w:t xml:space="preserve">  PARTIALLY BLOCKING — Needed before first invoice</w:t>
      </w:r>
    </w:p>
    <w:p>
      <w:pPr>
        <w:spacing w:after="60"/>
      </w:pPr>
    </w:p>
    <w:p>
      <w:pPr>
        <w:spacing w:after="120" w:line="300"/>
      </w:pPr>
      <w:r>
        <w:rPr>
          <w:rFonts w:ascii="Arial" w:cs="Arial" w:eastAsia="Arial" w:hAnsi="Arial"/>
          <w:color w:val="0F172A"/>
          <w:sz w:val="20"/>
          <w:szCs w:val="20"/>
        </w:rPr>
        <w:t xml:space="preserve">Your financial advisor meeting covered the strategic direction. This workstream is the execution: setting up the accounting infrastructure so that every dollar in and out of Pocket Developer is tracked cleanly from day one.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040"/>
        <w:gridCol w:w="1000"/>
        <w:gridCol w:w="1000"/>
      </w:tblGrid>
      <w:tr>
        <w:tc>
          <w:tcPr>
            <w:tcW w:type="dxa" w:w="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40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Action Items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Set up accounting software</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QuickBooks Self-Employed or Wave (free). Create categories for: SaaS infrastructure, data licensing, legal fees, LLM API costs, and contractor payments (if applicable later). Connect to the LLC bank account. Every Pocket Developer expense goes here, separate from consulting income.</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Create invoice template</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Build a clean invoice template with the LLC name, EIN, bank details, and payment terms (Net 15 or Net 30). The first invoice to DeThomas is the setup fee (50% on signing). Having this ready before the contract is signed avoids delay between “deal closed” and “money received.”</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Calculate Q1 estimated tax impact</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You have $9,400 in 1099 income already this year plus the new $120/hr contract. If DeThomas signs and pays the $10K setup deposit in March, that’s additional SE income for Q1. Run the numbers with your advisor to ensure your Q1 estimated payment (due April 15) accounts for all income streams.</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3</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High</w:t>
            </w:r>
          </w:p>
        </w:tc>
      </w:tr>
      <w:tr>
        <w:tc>
          <w:tcPr>
            <w:tcW w:type="dxa" w:w="52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Segoe UI Symbol" w:cs="Segoe UI Symbol" w:eastAsia="Segoe UI Symbol" w:hAnsi="Segoe UI Symbol"/>
                <w:color w:val="475569"/>
                <w:sz w:val="22"/>
                <w:szCs w:val="22"/>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Set expense tracking cadence</w:t>
            </w:r>
          </w:p>
        </w:tc>
        <w:tc>
          <w:tcPr>
            <w:tcW w:type="dxa" w:w="4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pPr>
              <w:spacing w:line="260"/>
            </w:pPr>
            <w:r>
              <w:rPr>
                <w:rFonts w:ascii="Arial" w:cs="Arial" w:eastAsia="Arial" w:hAnsi="Arial"/>
                <w:color w:val="0F172A"/>
                <w:sz w:val="17"/>
                <w:szCs w:val="17"/>
              </w:rPr>
              <w:t xml:space="preserve">Block 30 minutes on the last Friday of each month to categorize expenses, reconcile the LLC bank account, and update the P&amp;L. This takes 30 minutes when done monthly and 4+ hours when done quarterly. Start the habit before revenue hits, not after.</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b/>
                <w:bCs/>
                <w:color w:val="0A7A73"/>
                <w:sz w:val="16"/>
                <w:szCs w:val="16"/>
              </w:rPr>
              <w:t xml:space="preserve">Week 2</w:t>
            </w:r>
          </w:p>
        </w:tc>
        <w:tc>
          <w:tcPr>
            <w:tcW w:type="dxa" w:w="10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vAlign w:val="center"/>
          </w:tcPr>
          <w:p>
            <w:pPr>
              <w:jc w:val="center"/>
            </w:pPr>
            <w:r>
              <w:rPr>
                <w:rFonts w:ascii="Arial" w:cs="Arial" w:eastAsia="Arial" w:hAnsi="Arial"/>
                <w:color w:val="475569"/>
                <w:sz w:val="16"/>
                <w:szCs w:val="16"/>
              </w:rPr>
              <w:t xml:space="preserve">Medium</w:t>
            </w:r>
          </w:p>
        </w:tc>
      </w:tr>
    </w:tbl>
    <w:p>
      <w:r>
        <w:br w:type="page"/>
      </w:r>
    </w:p>
    <w:p>
      <w:pPr>
        <w:pStyle w:val="Heading1"/>
        <w:spacing w:before="360" w:after="200"/>
      </w:pPr>
      <w:r>
        <w:rPr>
          <w:rFonts w:ascii="Arial" w:cs="Arial" w:eastAsia="Arial" w:hAnsi="Arial"/>
          <w:b/>
          <w:bCs/>
          <w:color w:val="0F172A"/>
          <w:sz w:val="36"/>
          <w:szCs w:val="36"/>
        </w:rPr>
        <w:t xml:space="preserve">Execution Timeline</w:t>
      </w:r>
    </w:p>
    <w:p>
      <w:pPr>
        <w:pBdr>
          <w:bottom w:val="single" w:color="00D4C8" w:sz="8" w:space="1"/>
        </w:pBdr>
        <w:spacing w:after="0"/>
      </w:pPr>
    </w:p>
    <w:p>
      <w:pPr>
        <w:spacing w:after="100"/>
      </w:pPr>
    </w:p>
    <w:p>
      <w:pPr>
        <w:spacing w:after="120" w:line="300"/>
      </w:pPr>
      <w:r>
        <w:rPr>
          <w:rFonts w:ascii="Arial" w:cs="Arial" w:eastAsia="Arial" w:hAnsi="Arial"/>
          <w:color w:val="0F172A"/>
          <w:sz w:val="20"/>
          <w:szCs w:val="20"/>
        </w:rPr>
        <w:t xml:space="preserve">The checklist items are sequenced so that blocking dependencies clear first. Here’s the recommended week-by-week execution order, assuming you can dedicate 8–12 hours/week to pre-dev work alongside Airbus and Georgia Tech.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Week</w:t>
            </w:r>
          </w:p>
        </w:tc>
        <w:tc>
          <w:tcPr>
            <w:tcW w:type="dxa" w:w="8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Focus &amp; Key Deliverables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Week 1</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Form LLC + get EIN. Open business bank account. Set up GitHub org under LLC. Request DeThomas ride-along. Reach out to Regrid sales about licensing. Start attorney search for MSA.</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Week 2</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Create all service accounts (Supabase, Mapbox, Vercel, Railway, Anthropic, OpenAI). Set up accounting software. Define design tokens. Receive Regrid sample extract. Attorney drafts MSA + DPA. Map DeThomas’s current tool stack.</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7C3AED"/>
                <w:sz w:val="18"/>
                <w:szCs w:val="18"/>
              </w:rPr>
              <w:t xml:space="preserve">Week 3</w:t>
            </w:r>
          </w:p>
        </w:tc>
        <w:tc>
          <w:tcPr>
            <w:tcW w:type="dxa" w:w="8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Complete ride-along with DeThomas. Run all technical spikes (Mapbox tiles, PostGIS perf, PWA on iOS, Auth + RLS). Purchase county extracts after license is confirmed. Download federal datasets. Build component inventory. Draft API contract.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7C3AED"/>
                <w:sz w:val="18"/>
                <w:szCs w:val="18"/>
              </w:rPr>
              <w:t xml:space="preserve">Week 4</w:t>
            </w:r>
          </w:p>
        </w:tc>
        <w:tc>
          <w:tcPr>
            <w:tcW w:type="dxa" w:w="8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i w:val="false"/>
                <w:iCs w:val="false"/>
                <w:color w:val="0F172A"/>
                <w:sz w:val="18"/>
                <w:szCs w:val="18"/>
              </w:rPr>
              <w:t xml:space="preserve">Final technical spikes (pgvector, field network test). Create demo seed data and write demo script. Send DeThomas proposal. Get E&amp;O insurance quote. Calculate Q1 estimated tax impact.</w:t>
            </w:r>
          </w:p>
        </w:tc>
      </w:tr>
    </w:tbl>
    <w:p>
      <w:pPr>
        <w:spacing w:after="100"/>
      </w:pPr>
    </w:p>
    <w:p>
      <w:pPr>
        <w:spacing w:before="200" w:after="100"/>
      </w:pPr>
      <w:r>
        <w:rPr>
          <w:rFonts w:ascii="Arial" w:cs="Arial" w:eastAsia="Arial" w:hAnsi="Arial"/>
          <w:b/>
          <w:bCs/>
          <w:color w:val="0A7A73"/>
          <w:sz w:val="24"/>
          <w:szCs w:val="24"/>
        </w:rPr>
        <w:t xml:space="preserve">After Week 4: Development Begins</w:t>
      </w:r>
    </w:p>
    <w:p>
      <w:pPr>
        <w:spacing w:after="120" w:line="300"/>
      </w:pPr>
      <w:r>
        <w:rPr>
          <w:rFonts w:ascii="Arial" w:cs="Arial" w:eastAsia="Arial" w:hAnsi="Arial"/>
          <w:color w:val="0F172A"/>
          <w:sz w:val="20"/>
          <w:szCs w:val="20"/>
        </w:rPr>
        <w:t xml:space="preserve">With the LLC formed, data licensed, services provisioned, technical risks validated, and the DeThomas proposal sent, you’re clear to begin Phase 1 development with full confidence that you’re building on solid ground. The first commit should be the Next.js + Mapbox + Supabase foundation from the build strategy document.</w:t>
      </w:r>
    </w:p>
    <w:p>
      <w:pPr>
        <w:spacing w:after="40"/>
      </w:pPr>
    </w:p>
    <w:p>
      <w:pPr>
        <w:spacing w:after="120" w:line="300"/>
      </w:pPr>
      <w:r>
        <w:rPr>
          <w:rFonts w:ascii="Arial" w:cs="Arial" w:eastAsia="Arial" w:hAnsi="Arial"/>
          <w:b/>
          <w:bCs/>
          <w:i w:val="false"/>
          <w:iCs w:val="false"/>
          <w:color w:val="0F172A"/>
          <w:sz w:val="20"/>
          <w:szCs w:val="20"/>
        </w:rPr>
        <w:t xml:space="preserve">The goal: </w:t>
      </w:r>
      <w:r>
        <w:rPr>
          <w:rFonts w:ascii="Arial" w:cs="Arial" w:eastAsia="Arial" w:hAnsi="Arial"/>
          <w:b/>
          <w:bCs/>
          <w:i w:val="false"/>
          <w:iCs w:val="false"/>
          <w:color w:val="0A7A73"/>
          <w:sz w:val="20"/>
          <w:szCs w:val="20"/>
        </w:rPr>
        <w:t xml:space="preserve">By mid-March 2026, all 42 items are checked, the DeThomas proposal is in their hands, and you’re writing Phase 1 code with zero ambiguity about legal standing, data rights, or technical feasibility.</w:t>
      </w:r>
    </w:p>
    <w:p>
      <w:pPr>
        <w:spacing w:after="200"/>
      </w:pPr>
    </w:p>
    <w:p>
      <w:pPr>
        <w:pBdr>
          <w:bottom w:val="single" w:color="00D4C8" w:sz="8" w:space="1"/>
        </w:pBdr>
        <w:spacing w:after="0"/>
      </w:pPr>
    </w:p>
    <w:p>
      <w:pPr>
        <w:spacing w:after="80"/>
      </w:pPr>
    </w:p>
    <w:p>
      <w:pPr>
        <w:jc w:val="center"/>
      </w:pPr>
      <w:r>
        <w:rPr>
          <w:rFonts w:ascii="Arial" w:cs="Arial" w:eastAsia="Arial" w:hAnsi="Arial"/>
          <w:b/>
          <w:bCs/>
          <w:color w:val="475569"/>
          <w:sz w:val="18"/>
          <w:szCs w:val="18"/>
        </w:rPr>
        <w:t xml:space="preserve">END OF CHECKLIST</w:t>
      </w:r>
    </w:p>
    <w:p>
      <w:pPr>
        <w:spacing w:after="40"/>
      </w:pPr>
    </w:p>
    <w:p>
      <w:pPr>
        <w:jc w:val="center"/>
      </w:pPr>
      <w:r>
        <w:rPr>
          <w:rFonts w:ascii="Arial" w:cs="Arial" w:eastAsia="Arial" w:hAnsi="Arial"/>
          <w:color w:val="475569"/>
          <w:sz w:val="16"/>
          <w:szCs w:val="16"/>
        </w:rPr>
        <w:t xml:space="preserve">Pocket Developer  |  Pre-Development Checklist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right"/>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pPr>
    <w:r>
      <w:rPr>
        <w:rFonts w:ascii="Arial" w:cs="Arial" w:eastAsia="Arial" w:hAnsi="Arial"/>
        <w:color w:val="475569"/>
        <w:sz w:val="16"/>
        <w:szCs w:val="16"/>
      </w:rPr>
      <w:t xml:space="preserve">Pocket Developer  |  Pre-Development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2026-02-20T13:03:20.872Z</dcterms:created>
  <dcterms:modified xsi:type="dcterms:W3CDTF">2026-02-20T13:03:20.873Z</dcterms:modified>
</cp:coreProperties>
</file>

<file path=docProps/custom.xml><?xml version="1.0" encoding="utf-8"?>
<Properties xmlns="http://schemas.openxmlformats.org/officeDocument/2006/custom-properties" xmlns:vt="http://schemas.openxmlformats.org/officeDocument/2006/docPropsVTypes"/>
</file>