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440"/>
      </w:pPr>
    </w:p>
    <w:p>
      <w:pPr>
        <w:spacing w:before="0" w:after="80"/>
        <w:jc w:val="left"/>
      </w:pPr>
      <w:r>
        <w:rPr>
          <w:rFonts w:ascii="Arial" w:cs="Arial" w:eastAsia="Arial" w:hAnsi="Arial"/>
          <w:b/>
          <w:bCs/>
          <w:color w:val="111111"/>
          <w:sz w:val="80"/>
          <w:szCs w:val="80"/>
        </w:rPr>
        <w:t xml:space="preserve">POCKET</w:t>
      </w:r>
      <w:r>
        <w:rPr>
          <w:rFonts w:ascii="Arial" w:cs="Arial" w:eastAsia="Arial" w:hAnsi="Arial"/>
          <w:sz w:val="80"/>
          <w:szCs w:val="80"/>
        </w:rPr>
        <w:t xml:space="preserve"> </w:t>
      </w:r>
      <w:r>
        <w:rPr>
          <w:rFonts w:ascii="Arial" w:cs="Arial" w:eastAsia="Arial" w:hAnsi="Arial"/>
          <w:b/>
          <w:bCs/>
          <w:color w:val="0D9488"/>
          <w:sz w:val="80"/>
          <w:szCs w:val="80"/>
        </w:rPr>
        <w:t xml:space="preserve">DEVELOPER</w:t>
      </w:r>
    </w:p>
    <w:p>
      <w:pPr>
        <w:spacing w:before="0" w:after="480"/>
        <w:jc w:val="left"/>
      </w:pPr>
      <w:r>
        <w:rPr>
          <w:rFonts w:ascii="Arial" w:cs="Arial" w:eastAsia="Arial" w:hAnsi="Arial"/>
          <w:i/>
          <w:iCs/>
          <w:color w:val="555555"/>
          <w:sz w:val="28"/>
          <w:szCs w:val="28"/>
        </w:rPr>
        <w:t xml:space="preserve">Parcel Intelligence Platform</w:t>
      </w:r>
    </w:p>
    <w:p>
      <w:pPr>
        <w:pBdr>
          <w:bottom w:val="single" w:color="0D9488" w:sz="6" w:space="1"/>
        </w:pBdr>
        <w:spacing w:before="80" w:after="80"/>
      </w:pPr>
    </w:p>
    <w:p>
      <w:pPr>
        <w:spacing w:before="0" w:after="240"/>
      </w:pPr>
    </w:p>
    <w:p>
      <w:pPr>
        <w:spacing w:before="0" w:after="80"/>
      </w:pPr>
      <w:r>
        <w:rPr>
          <w:rFonts w:ascii="Arial" w:cs="Arial" w:eastAsia="Arial" w:hAnsi="Arial"/>
          <w:color w:val="888888"/>
          <w:sz w:val="22"/>
          <w:szCs w:val="22"/>
        </w:rPr>
        <w:t xml:space="preserve">Prepared for</w:t>
      </w:r>
    </w:p>
    <w:p>
      <w:pPr>
        <w:spacing w:before="0" w:after="480"/>
      </w:pPr>
      <w:r>
        <w:rPr>
          <w:rFonts w:ascii="Arial" w:cs="Arial" w:eastAsia="Arial" w:hAnsi="Arial"/>
          <w:b/>
          <w:bCs/>
          <w:color w:val="111111"/>
          <w:sz w:val="36"/>
          <w:szCs w:val="36"/>
        </w:rPr>
        <w:t xml:space="preserve">DeThomas Development Group</w:t>
      </w:r>
    </w:p>
    <w:p>
      <w:pPr>
        <w:spacing w:before="0" w:after="80"/>
      </w:pPr>
      <w:r>
        <w:rPr>
          <w:rFonts w:ascii="Arial" w:cs="Arial" w:eastAsia="Arial" w:hAnsi="Arial"/>
          <w:i/>
          <w:iCs/>
          <w:color w:val="555555"/>
          <w:sz w:val="22"/>
          <w:szCs w:val="22"/>
        </w:rPr>
        <w:t xml:space="preserve">Product Demo &amp; Investment Brief</w:t>
      </w:r>
    </w:p>
    <w:p>
      <w:pPr>
        <w:spacing w:before="0" w:after="960"/>
      </w:pPr>
      <w:r>
        <w:rPr>
          <w:rFonts w:ascii="Arial" w:cs="Arial" w:eastAsia="Arial" w:hAnsi="Arial"/>
          <w:color w:val="555555"/>
          <w:sz w:val="22"/>
          <w:szCs w:val="22"/>
        </w:rPr>
        <w:t xml:space="preserve">February 2026</w:t>
      </w:r>
    </w:p>
    <w:p>
      <w:pPr>
        <w:spacing w:before="0" w:after="1440"/>
      </w:pPr>
    </w:p>
    <w:p>
      <w:pPr>
        <w:spacing w:before="0" w:after="1440"/>
      </w:pPr>
    </w:p>
    <w:p>
      <w:pPr>
        <w:pBdr>
          <w:bottom w:val="single" w:color="DDDDDD" w:sz="6" w:space="1"/>
        </w:pBdr>
        <w:spacing w:before="80" w:after="80"/>
      </w:pPr>
    </w:p>
    <w:p>
      <w:pPr>
        <w:spacing w:before="120" w:after="0"/>
      </w:pPr>
      <w:r>
        <w:rPr>
          <w:rFonts w:ascii="Arial" w:cs="Arial" w:eastAsia="Arial" w:hAnsi="Arial"/>
          <w:b/>
          <w:bCs/>
          <w:color w:val="888888"/>
          <w:sz w:val="18"/>
          <w:szCs w:val="18"/>
        </w:rPr>
        <w:t xml:space="preserve">CONFIDENTIAL</w:t>
      </w:r>
      <w:r>
        <w:rPr>
          <w:rFonts w:ascii="Arial" w:cs="Arial" w:eastAsia="Arial" w:hAnsi="Arial"/>
          <w:color w:val="888888"/>
          <w:sz w:val="18"/>
          <w:szCs w:val="18"/>
        </w:rPr>
        <w:t xml:space="preserve">  |  For internal review and investment discussion only.</w:t>
      </w:r>
    </w:p>
    <w:p>
      <w:pPr>
        <w:sectPr>
          <w:pgSz w:w="12240" w:h="15840"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11111"/>
          <w:sz w:val="32"/>
          <w:szCs w:val="32"/>
        </w:rPr>
        <w:t xml:space="preserve">01. Executive Summary</w:t>
      </w:r>
    </w:p>
    <w:p>
      <w:pPr>
        <w:pBdr>
          <w:bottom w:val="single" w:color="0D9488" w:sz="6" w:space="1"/>
        </w:pBdr>
        <w:spacing w:before="80" w:after="80"/>
      </w:pP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24"/>
              <w:bottom w:val="single" w:color="0D9488" w:sz="8"/>
              <w:right w:val="single" w:color="0D9488" w:sz="4"/>
            </w:tcBorders>
            <w:shd w:fill="CCFBF1" w:val="clear"/>
            <w:tcMar>
              <w:top w:type="dxa" w:w="120"/>
              <w:left w:type="dxa" w:w="200"/>
              <w:bottom w:type="dxa" w:w="120"/>
              <w:right w:type="dxa" w:w="200"/>
            </w:tcMar>
          </w:tcPr>
          <w:p>
            <w:pPr>
              <w:spacing w:before="0" w:after="60"/>
            </w:pPr>
            <w:r>
              <w:rPr>
                <w:rFonts w:ascii="Arial" w:cs="Arial" w:eastAsia="Arial" w:hAnsi="Arial"/>
                <w:b/>
                <w:bCs/>
                <w:color w:val="0D9488"/>
                <w:sz w:val="24"/>
                <w:szCs w:val="24"/>
              </w:rPr>
              <w:t xml:space="preserve">The Opportunity</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val="false"/>
                <w:bCs w:val="false"/>
                <w:color w:val="2D2D2D"/>
                <w:sz w:val="22"/>
                <w:szCs w:val="22"/>
              </w:rPr>
              <w:t xml:space="preserve">DeThomas spends 4-8 hours per parcel on manual due diligence — pulling county records, checking zoning, researching ownership, estimating infrastructure readiness. Pocket Developer compresses that to under 90 seconds. For a firm evaluating 200+ sites per year, that is a structural competitive advantage that compounds every quarter.</w:t>
            </w:r>
          </w:p>
        </w:tc>
      </w:tr>
    </w:tbl>
    <w:p>
      <w:pPr>
        <w:spacing w:before="0" w:after="200"/>
      </w:pPr>
    </w:p>
    <w:p>
      <w:pPr>
        <w:spacing w:before="0" w:after="100"/>
        <w:ind w:left="0"/>
      </w:pPr>
      <w:r>
        <w:rPr>
          <w:rFonts w:ascii="Arial" w:cs="Arial" w:eastAsia="Arial" w:hAnsi="Arial"/>
          <w:color w:val="2D2D2D"/>
          <w:sz w:val="22"/>
          <w:szCs w:val="22"/>
        </w:rPr>
        <w:t xml:space="preserve">Pocket Developer is a purpose-built parcel intelligence platform for commercial real estate developers. It renders 307,000+ live parcel boundaries on an interactive map, surfaces property ownership, assessed values, zoning classification, and deed history in one click, and layers AI-powered scoring, zoning analysis, comparable sales, and data center infrastructure ratings on top of the raw county data.</w:t>
      </w:r>
    </w:p>
    <w:p>
      <w:pPr>
        <w:spacing w:before="0" w:after="100"/>
      </w:pPr>
    </w:p>
    <w:p>
      <w:pPr>
        <w:spacing w:before="0" w:after="100"/>
        <w:ind w:left="0"/>
      </w:pPr>
      <w:r>
        <w:rPr>
          <w:rFonts w:ascii="Arial" w:cs="Arial" w:eastAsia="Arial" w:hAnsi="Arial"/>
          <w:color w:val="2D2D2D"/>
          <w:sz w:val="22"/>
          <w:szCs w:val="22"/>
        </w:rPr>
        <w:t xml:space="preserve">The platform is live, functional, and built specifically around DeThomas's workflow. This document walks through what has been built, how each feature works under the hood, how to present it in a demo context, and what the commercial argument for continued investment looks like.</w:t>
      </w:r>
    </w:p>
    <w:p>
      <w:pPr>
        <w:spacing w:before="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4"/>
              <w:left w:val="single" w:color="DDDDDD" w:sz="4"/>
              <w:bottom w:val="single" w:color="DDDDDD" w:sz="4"/>
              <w:right w:val="single" w:color="DDDDDD" w:sz="4"/>
            </w:tcBorders>
            <w:shd w:fill="F0FDFA" w:val="clear"/>
            <w:tcMar>
              <w:top w:type="dxa" w:w="180"/>
              <w:left w:type="dxa" w:w="160"/>
              <w:bottom w:type="dxa" w:w="180"/>
              <w:right w:type="dxa" w:w="160"/>
            </w:tcMar>
          </w:tcPr>
          <w:p>
            <w:pPr>
              <w:spacing w:before="0" w:after="60"/>
              <w:jc w:val="center"/>
            </w:pPr>
            <w:r>
              <w:rPr>
                <w:rFonts w:ascii="Arial" w:cs="Arial" w:eastAsia="Arial" w:hAnsi="Arial"/>
                <w:b/>
                <w:bCs/>
                <w:color w:val="0D9488"/>
                <w:sz w:val="40"/>
                <w:szCs w:val="40"/>
              </w:rPr>
              <w:t xml:space="preserve">307K+</w:t>
            </w:r>
          </w:p>
          <w:p>
            <w:pPr>
              <w:spacing w:before="0" w:after="0"/>
              <w:jc w:val="center"/>
            </w:pPr>
            <w:r>
              <w:rPr>
                <w:rFonts w:ascii="Arial" w:cs="Arial" w:eastAsia="Arial" w:hAnsi="Arial"/>
                <w:color w:val="555555"/>
                <w:sz w:val="18"/>
                <w:szCs w:val="18"/>
              </w:rPr>
              <w:t xml:space="preserve">Live parcels
Gwinnett County</w:t>
            </w:r>
          </w:p>
        </w:tc>
        <w:tc>
          <w:tcPr>
            <w:tcW w:type="dxa" w:w="2340"/>
            <w:tcBorders>
              <w:top w:val="single" w:color="DDDDDD" w:sz="4"/>
              <w:left w:val="single" w:color="DDDDDD" w:sz="4"/>
              <w:bottom w:val="single" w:color="DDDDDD" w:sz="4"/>
              <w:right w:val="single" w:color="DDDDDD" w:sz="4"/>
            </w:tcBorders>
            <w:shd w:fill="F0FDFA" w:val="clear"/>
            <w:tcMar>
              <w:top w:type="dxa" w:w="180"/>
              <w:left w:type="dxa" w:w="160"/>
              <w:bottom w:type="dxa" w:w="180"/>
              <w:right w:type="dxa" w:w="160"/>
            </w:tcMar>
          </w:tcPr>
          <w:p>
            <w:pPr>
              <w:spacing w:before="0" w:after="60"/>
              <w:jc w:val="center"/>
            </w:pPr>
            <w:r>
              <w:rPr>
                <w:rFonts w:ascii="Arial" w:cs="Arial" w:eastAsia="Arial" w:hAnsi="Arial"/>
                <w:b/>
                <w:bCs/>
                <w:color w:val="0D9488"/>
                <w:sz w:val="40"/>
                <w:szCs w:val="40"/>
              </w:rPr>
              <w:t xml:space="preserve">&lt; 90s</w:t>
            </w:r>
          </w:p>
          <w:p>
            <w:pPr>
              <w:spacing w:before="0" w:after="0"/>
              <w:jc w:val="center"/>
            </w:pPr>
            <w:r>
              <w:rPr>
                <w:rFonts w:ascii="Arial" w:cs="Arial" w:eastAsia="Arial" w:hAnsi="Arial"/>
                <w:color w:val="555555"/>
                <w:sz w:val="18"/>
                <w:szCs w:val="18"/>
              </w:rPr>
              <w:t xml:space="preserve">Full parcel
analysis time</w:t>
            </w:r>
          </w:p>
        </w:tc>
        <w:tc>
          <w:tcPr>
            <w:tcW w:type="dxa" w:w="2340"/>
            <w:tcBorders>
              <w:top w:val="single" w:color="DDDDDD" w:sz="4"/>
              <w:left w:val="single" w:color="DDDDDD" w:sz="4"/>
              <w:bottom w:val="single" w:color="DDDDDD" w:sz="4"/>
              <w:right w:val="single" w:color="DDDDDD" w:sz="4"/>
            </w:tcBorders>
            <w:shd w:fill="F0FDFA" w:val="clear"/>
            <w:tcMar>
              <w:top w:type="dxa" w:w="180"/>
              <w:left w:type="dxa" w:w="160"/>
              <w:bottom w:type="dxa" w:w="180"/>
              <w:right w:type="dxa" w:w="160"/>
            </w:tcMar>
          </w:tcPr>
          <w:p>
            <w:pPr>
              <w:spacing w:before="0" w:after="60"/>
              <w:jc w:val="center"/>
            </w:pPr>
            <w:r>
              <w:rPr>
                <w:rFonts w:ascii="Arial" w:cs="Arial" w:eastAsia="Arial" w:hAnsi="Arial"/>
                <w:b/>
                <w:bCs/>
                <w:color w:val="0D9488"/>
                <w:sz w:val="40"/>
                <w:szCs w:val="40"/>
              </w:rPr>
              <w:t xml:space="preserve">5</w:t>
            </w:r>
          </w:p>
          <w:p>
            <w:pPr>
              <w:spacing w:before="0" w:after="0"/>
              <w:jc w:val="center"/>
            </w:pPr>
            <w:r>
              <w:rPr>
                <w:rFonts w:ascii="Arial" w:cs="Arial" w:eastAsia="Arial" w:hAnsi="Arial"/>
                <w:color w:val="555555"/>
                <w:sz w:val="18"/>
                <w:szCs w:val="18"/>
              </w:rPr>
              <w:t xml:space="preserve">AI scoring
dimensions</w:t>
            </w:r>
          </w:p>
        </w:tc>
        <w:tc>
          <w:tcPr>
            <w:tcW w:type="dxa" w:w="2340"/>
            <w:tcBorders>
              <w:top w:val="single" w:color="DDDDDD" w:sz="4"/>
              <w:left w:val="single" w:color="DDDDDD" w:sz="4"/>
              <w:bottom w:val="single" w:color="DDDDDD" w:sz="4"/>
              <w:right w:val="single" w:color="DDDDDD" w:sz="4"/>
            </w:tcBorders>
            <w:shd w:fill="F0FDFA" w:val="clear"/>
            <w:tcMar>
              <w:top w:type="dxa" w:w="180"/>
              <w:left w:type="dxa" w:w="160"/>
              <w:bottom w:type="dxa" w:w="180"/>
              <w:right w:type="dxa" w:w="160"/>
            </w:tcMar>
          </w:tcPr>
          <w:p>
            <w:pPr>
              <w:spacing w:before="0" w:after="60"/>
              <w:jc w:val="center"/>
            </w:pPr>
            <w:r>
              <w:rPr>
                <w:rFonts w:ascii="Arial" w:cs="Arial" w:eastAsia="Arial" w:hAnsi="Arial"/>
                <w:b/>
                <w:bCs/>
                <w:color w:val="0D9488"/>
                <w:sz w:val="40"/>
                <w:szCs w:val="40"/>
              </w:rPr>
              <w:t xml:space="preserve">3</w:t>
            </w:r>
          </w:p>
          <w:p>
            <w:pPr>
              <w:spacing w:before="0" w:after="0"/>
              <w:jc w:val="center"/>
            </w:pPr>
            <w:r>
              <w:rPr>
                <w:rFonts w:ascii="Arial" w:cs="Arial" w:eastAsia="Arial" w:hAnsi="Arial"/>
                <w:color w:val="555555"/>
                <w:sz w:val="18"/>
                <w:szCs w:val="18"/>
              </w:rPr>
              <w:t xml:space="preserve">Active product
phases built</w:t>
            </w:r>
          </w:p>
        </w:tc>
      </w:tr>
    </w:tbl>
    <w:p>
      <w:pPr>
        <w:spacing w:before="0" w:after="280"/>
      </w:pPr>
    </w:p>
    <w:p>
      <w:pPr>
        <w:pStyle w:val="Heading1"/>
        <w:spacing w:before="360" w:after="120"/>
      </w:pPr>
      <w:r>
        <w:rPr>
          <w:rFonts w:ascii="Arial" w:cs="Arial" w:eastAsia="Arial" w:hAnsi="Arial"/>
          <w:b/>
          <w:bCs/>
          <w:color w:val="111111"/>
          <w:sz w:val="32"/>
          <w:szCs w:val="32"/>
        </w:rPr>
        <w:t xml:space="preserve">02. How to Pitch This Product</w:t>
      </w:r>
    </w:p>
    <w:p>
      <w:pPr>
        <w:pBdr>
          <w:bottom w:val="single" w:color="0D9488" w:sz="6" w:space="1"/>
        </w:pBdr>
        <w:spacing w:before="80" w:after="80"/>
      </w:pPr>
    </w:p>
    <w:p>
      <w:pPr>
        <w:spacing w:before="0" w:after="160"/>
      </w:pPr>
    </w:p>
    <w:p>
      <w:pPr>
        <w:pStyle w:val="Heading2"/>
        <w:spacing w:before="280" w:after="80"/>
      </w:pPr>
      <w:r>
        <w:rPr>
          <w:rFonts w:ascii="Arial" w:cs="Arial" w:eastAsia="Arial" w:hAnsi="Arial"/>
          <w:b/>
          <w:bCs/>
          <w:color w:val="111111"/>
          <w:sz w:val="26"/>
          <w:szCs w:val="26"/>
        </w:rPr>
        <w:t xml:space="preserve">The Problem Frame — Start Here</w:t>
      </w:r>
    </w:p>
    <w:p>
      <w:pPr>
        <w:spacing w:before="0" w:after="100"/>
        <w:ind w:left="0"/>
      </w:pPr>
      <w:r>
        <w:rPr>
          <w:rFonts w:ascii="Arial" w:cs="Arial" w:eastAsia="Arial" w:hAnsi="Arial"/>
          <w:color w:val="2D2D2D"/>
          <w:sz w:val="22"/>
          <w:szCs w:val="22"/>
        </w:rPr>
        <w:t xml:space="preserve">Do not open with features. Open with the problem. Ask DeThomas directly: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24"/>
              <w:bottom w:val="single" w:color="7C3AED" w:sz="8"/>
              <w:right w:val="single" w:color="7C3AED" w:sz="4"/>
            </w:tcBorders>
            <w:shd w:fill="F5F3FF" w:val="clear"/>
            <w:tcMar>
              <w:top w:type="dxa" w:w="120"/>
              <w:left w:type="dxa" w:w="200"/>
              <w:bottom w:type="dxa" w:w="120"/>
              <w:right w:type="dxa" w:w="200"/>
            </w:tcMar>
          </w:tcPr>
          <w:p>
            <w:pPr>
              <w:spacing w:before="0" w:after="60"/>
            </w:pPr>
            <w:r>
              <w:rPr>
                <w:rFonts w:ascii="Arial" w:cs="Arial" w:eastAsia="Arial" w:hAnsi="Arial"/>
                <w:b/>
                <w:bCs/>
                <w:color w:val="7C3AED"/>
                <w:sz w:val="22"/>
                <w:szCs w:val="22"/>
              </w:rPr>
              <w:t xml:space="preserve">"How many parcels does your team evaluate in a typical month before committing to one deal? And what does that evaluation process actually look like day-to-day?"</w:t>
            </w:r>
          </w:p>
        </w:tc>
      </w:tr>
    </w:tbl>
    <w:p>
      <w:pPr>
        <w:spacing w:before="0" w:after="160"/>
      </w:pPr>
    </w:p>
    <w:p>
      <w:pPr>
        <w:spacing w:before="0" w:after="100"/>
        <w:ind w:left="0"/>
      </w:pPr>
      <w:r>
        <w:rPr>
          <w:rFonts w:ascii="Arial" w:cs="Arial" w:eastAsia="Arial" w:hAnsi="Arial"/>
          <w:color w:val="2D2D2D"/>
          <w:sz w:val="22"/>
          <w:szCs w:val="22"/>
        </w:rPr>
        <w:t xml:space="preserve">Let them describe the pain. They will tell you about pulling county GIS records in one tab, cross-referencing the tax assessor in another, searching Georgia SOS to figure out who actually owns the LLC, driving the site to understand power infrastructure, calling the utility. That is a half-day of friction repeated for every parcel that does not make the cut.</w:t>
      </w:r>
    </w:p>
    <w:p>
      <w:pPr>
        <w:spacing w:before="0" w:after="100"/>
        <w:ind w:left="0"/>
      </w:pPr>
      <w:r>
        <w:rPr>
          <w:rFonts w:ascii="Arial" w:cs="Arial" w:eastAsia="Arial" w:hAnsi="Arial"/>
          <w:color w:val="2D2D2D"/>
          <w:sz w:val="22"/>
          <w:szCs w:val="22"/>
        </w:rPr>
        <w:t xml:space="preserve">Then your response is simple: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24"/>
              <w:bottom w:val="single" w:color="0D9488" w:sz="8"/>
              <w:right w:val="single" w:color="0D9488" w:sz="4"/>
            </w:tcBorders>
            <w:shd w:fill="CCFBF1" w:val="clear"/>
            <w:tcMar>
              <w:top w:type="dxa" w:w="120"/>
              <w:left w:type="dxa" w:w="200"/>
              <w:bottom w:type="dxa" w:w="120"/>
              <w:right w:type="dxa" w:w="200"/>
            </w:tcMar>
          </w:tcPr>
          <w:p>
            <w:pPr>
              <w:spacing w:before="0" w:after="60"/>
            </w:pPr>
            <w:r>
              <w:rPr>
                <w:rFonts w:ascii="Arial" w:cs="Arial" w:eastAsia="Arial" w:hAnsi="Arial"/>
                <w:b/>
                <w:bCs/>
                <w:color w:val="0D9488"/>
                <w:sz w:val="22"/>
                <w:szCs w:val="22"/>
              </w:rPr>
              <w:t xml:space="preserve">"Everything you just described — we've built it as a single interface. Let me show you."</w:t>
            </w:r>
          </w:p>
        </w:tc>
      </w:tr>
    </w:tbl>
    <w:p>
      <w:pPr>
        <w:spacing w:before="0" w:after="200"/>
      </w:pPr>
    </w:p>
    <w:p>
      <w:pPr>
        <w:pStyle w:val="Heading2"/>
        <w:spacing w:before="280" w:after="80"/>
      </w:pPr>
      <w:r>
        <w:rPr>
          <w:rFonts w:ascii="Arial" w:cs="Arial" w:eastAsia="Arial" w:hAnsi="Arial"/>
          <w:b/>
          <w:bCs/>
          <w:color w:val="111111"/>
          <w:sz w:val="26"/>
          <w:szCs w:val="26"/>
        </w:rPr>
        <w:t xml:space="preserve">The Demo Sequence — Follow This Order</w:t>
      </w:r>
    </w:p>
    <w:p>
      <w:pPr>
        <w:spacing w:before="0" w:after="100"/>
        <w:ind w:left="0"/>
      </w:pPr>
      <w:r>
        <w:rPr>
          <w:rFonts w:ascii="Arial" w:cs="Arial" w:eastAsia="Arial" w:hAnsi="Arial"/>
          <w:color w:val="2D2D2D"/>
          <w:sz w:val="22"/>
          <w:szCs w:val="22"/>
        </w:rPr>
        <w:t xml:space="preserve">The demo order matters. Each feature should land on top of the previous one like a stacking argument. Here is the sequence that works: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DDDDDD" w:sz="4"/>
              <w:left w:val="single" w:color="DDDDDD" w:sz="4"/>
              <w:bottom w:val="single" w:color="DDDDDD" w:sz="4"/>
              <w:right w:val="single" w:color="DDDDDD" w:sz="4"/>
            </w:tcBorders>
            <w:shd w:fill="0D9488" w:val="clear"/>
            <w:tcMar>
              <w:top w:type="dxa" w:w="100"/>
              <w:left w:type="dxa" w:w="160"/>
              <w:bottom w:type="dxa" w:w="100"/>
              <w:right w:type="dxa" w:w="160"/>
            </w:tcMar>
          </w:tcPr>
          <w:p>
            <w:pPr>
              <w:jc w:val="center"/>
            </w:pPr>
            <w:r>
              <w:rPr>
                <w:rFonts w:ascii="Arial" w:cs="Arial" w:eastAsia="Arial" w:hAnsi="Arial"/>
                <w:b/>
                <w:bCs/>
                <w:color w:val="FFFFFF"/>
                <w:sz w:val="20"/>
                <w:szCs w:val="20"/>
              </w:rPr>
              <w:t xml:space="default"/>
            </w:r>
          </w:p>
        </w:tc>
        <w:tc>
          <w:tcPr>
            <w:tcW w:type="dxa" w:w="2600"/>
            <w:tcBorders>
              <w:top w:val="single" w:color="DDDDDD" w:sz="4"/>
              <w:left w:val="single" w:color="DDDDDD" w:sz="4"/>
              <w:bottom w:val="single" w:color="DDDDDD" w:sz="4"/>
              <w:right w:val="single" w:color="DDDDDD"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default"/>
            </w:r>
          </w:p>
        </w:tc>
        <w:tc>
          <w:tcPr>
            <w:tcW w:type="dxa" w:w="5960"/>
            <w:tcBorders>
              <w:top w:val="single" w:color="DDDDDD" w:sz="4"/>
              <w:left w:val="single" w:color="DDDDDD" w:sz="4"/>
              <w:bottom w:val="single" w:color="DDDDDD" w:sz="4"/>
              <w:right w:val="single" w:color="DDDDDD" w:sz="4"/>
            </w:tcBorders>
            <w:shd w:fill="0D9488" w:val="clear"/>
            <w:tcMar>
              <w:top w:type="dxa" w:w="100"/>
              <w:left w:type="dxa" w:w="160"/>
              <w:bottom w:type="dxa" w:w="100"/>
              <w:right w:type="dxa" w:w="160"/>
            </w:tcMar>
          </w:tcPr>
          <w:p>
            <w:r>
              <w:rPr>
                <w:rFonts w:ascii="Arial" w:cs="Arial" w:eastAsia="Arial" w:hAnsi="Arial"/>
                <w:color w:val="FFFFFF"/>
                <w:sz w:val="19"/>
                <w:szCs w:val="19"/>
              </w:rPr>
              <w:t xml:space="default"/>
            </w:r>
          </w:p>
        </w:tc>
      </w:tr>
      <w:tr>
        <w:tc>
          <w:tcPr>
            <w:tcW w:type="dxa" w:w="8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default"/>
            </w:r>
          </w:p>
        </w:tc>
      </w:tr>
      <w:tr>
        <w:tc>
          <w:tcPr>
            <w:tcW w:type="dxa" w:w="8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pPr>
              <w:jc w:val="center"/>
            </w:pPr>
            <w:r>
              <w:rPr>
                <w:rFonts w:ascii="Arial" w:cs="Arial" w:eastAsia="Arial" w:hAnsi="Arial"/>
                <w:b w:val="false"/>
                <w:bCs w:val="false"/>
                <w:color w:val="0D9488"/>
                <w:sz w:val="20"/>
                <w:szCs w:val="20"/>
              </w:rPr>
              <w:t xml:space="defaul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2D2D2D"/>
                <w:sz w:val="20"/>
                <w:szCs w:val="20"/>
              </w:rPr>
              <w:t xml:space="default"/>
            </w:r>
          </w:p>
        </w:tc>
        <w:tc>
          <w:tcPr>
            <w:tcW w:type="dxa" w:w="59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color w:val="555555"/>
                <w:sz w:val="19"/>
                <w:szCs w:val="19"/>
              </w:rPr>
              <w:t xml:space="default"/>
            </w:r>
          </w:p>
        </w:tc>
      </w:tr>
    </w:tbl>
    <w:p>
      <w:pPr>
        <w:spacing w:before="0" w:after="240"/>
      </w:pPr>
    </w:p>
    <w:p>
      <w:pPr>
        <w:pStyle w:val="Heading2"/>
        <w:spacing w:before="280" w:after="80"/>
      </w:pPr>
      <w:r>
        <w:rPr>
          <w:rFonts w:ascii="Arial" w:cs="Arial" w:eastAsia="Arial" w:hAnsi="Arial"/>
          <w:b/>
          <w:bCs/>
          <w:color w:val="111111"/>
          <w:sz w:val="26"/>
          <w:szCs w:val="26"/>
        </w:rPr>
        <w:t xml:space="preserve">Handling the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Their Objection</w:t>
            </w:r>
          </w:p>
        </w:tc>
        <w:tc>
          <w:tcPr>
            <w:tcW w:type="dxa" w:w="576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Your Response</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"This is just LandGlide with AI."</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LandGlide shows you what a parcel is. Pocket Developer tells you what to do with it. The AI scoring, zoning chat, infrastructure analysis, and Site Scout are things LandGlide has never done and cannot do without a complete re-architecture.</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"We already pay for CoStar."</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CoStar is a listings and transaction database. It has no parcel-level intelligence, no DC infrastructure scoring, no zoning AI, and no ability to be trained on your own deal history. These tools do different jobs.</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"What happens when we need data outside Gwinnett?"</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Gwinnett is Phase 1. The architecture is designed to add any county that publishes ArcGIS endpoints — which is most of Georgia and a growing number of Southeast counties. Phase 4 adds multi-state coverage and a data licensing layer.</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"Can our team actually use this?"</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Yes — it runs in any browser with no installation. The interface was designed for field use on a phone and desk review on a laptop. The saved collections system means the whole team works from the same parcel set.</w:t>
            </w:r>
          </w:p>
        </w:tc>
      </w:tr>
    </w:tbl>
    <w:p>
      <w:pPr>
        <w:spacing w:before="0" w:after="240"/>
      </w:pPr>
    </w:p>
    <w:p>
      <w:r>
        <w:br w:type="page"/>
      </w:r>
    </w:p>
    <w:p>
      <w:pPr>
        <w:pStyle w:val="Heading1"/>
        <w:spacing w:before="360" w:after="120"/>
      </w:pPr>
      <w:r>
        <w:rPr>
          <w:rFonts w:ascii="Arial" w:cs="Arial" w:eastAsia="Arial" w:hAnsi="Arial"/>
          <w:b/>
          <w:bCs/>
          <w:color w:val="111111"/>
          <w:sz w:val="32"/>
          <w:szCs w:val="32"/>
        </w:rPr>
        <w:t xml:space="preserve">03. Feature Deep Dive</w:t>
      </w:r>
    </w:p>
    <w:p>
      <w:pPr>
        <w:pBdr>
          <w:bottom w:val="single" w:color="0D9488" w:sz="6" w:space="1"/>
        </w:pBdr>
        <w:spacing w:before="80" w:after="80"/>
      </w:pP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0D9488"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1</w:t>
            </w:r>
          </w:p>
        </w:tc>
        <w:tc>
          <w:tcPr>
            <w:tcW w:type="dxa" w:w="6560"/>
            <w:tcBorders>
              <w:top w:val="single" w:color="0D9488" w:sz="4"/>
              <w:left w:val="none" w:color="FFFFFF" w:sz="0"/>
              <w:bottom w:val="single" w:color="0D9488" w:sz="4"/>
              <w:right w:val="none" w:color="FFFFFF" w:sz="0"/>
            </w:tcBorders>
            <w:shd w:fill="FFFFFF" w:val="clear"/>
            <w:tcMar>
              <w:top w:type="dxa" w:w="100"/>
              <w:left w:type="dxa" w:w="160"/>
              <w:bottom w:type="dxa" w:w="100"/>
              <w:right w:type="dxa" w:w="160"/>
            </w:tcMar>
          </w:tcPr>
          <w:p>
            <w:r>
              <w:rPr>
                <w:rFonts w:ascii="Arial" w:cs="Arial" w:eastAsia="Arial" w:hAnsi="Arial"/>
                <w:b/>
                <w:bCs/>
                <w:color w:val="2D2D2D"/>
                <w:sz w:val="22"/>
                <w:szCs w:val="22"/>
              </w:rPr>
              <w:t xml:space="preserve">CRE Parcel Research</w:t>
            </w:r>
          </w:p>
        </w:tc>
        <w:tc>
          <w:tcPr>
            <w:tcW w:type="dxa" w:w="1600"/>
            <w:tcBorders>
              <w:top w:val="single" w:color="0D9488" w:sz="4"/>
              <w:left w:val="none" w:color="FFFFFF" w:sz="0"/>
              <w:bottom w:val="single" w:color="0D9488" w:sz="4"/>
              <w:right w:val="none" w:color="FFFFFF" w:sz="0"/>
            </w:tcBorders>
            <w:shd w:fill="FFFFFF" w:val="clear"/>
            <w:tcMar>
              <w:top w:type="dxa" w:w="100"/>
              <w:left w:type="dxa" w:w="160"/>
              <w:bottom w:type="dxa" w:w="100"/>
              <w:right w:type="dxa" w:w="160"/>
            </w:tcMar>
          </w:tcPr>
          <w:p>
            <w:pPr>
              <w:jc w:val="right"/>
            </w:pPr>
            <w:r>
              <w:rPr>
                <w:rFonts w:ascii="Arial" w:cs="Arial" w:eastAsia="Arial" w:hAnsi="Arial"/>
                <w:b/>
                <w:bCs/>
                <w:color w:val="0D9488"/>
                <w:sz w:val="19"/>
                <w:szCs w:val="19"/>
              </w:rPr>
              <w:t xml:space="preserve">LIVE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7C3AED"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2</w:t>
            </w:r>
          </w:p>
        </w:tc>
        <w:tc>
          <w:tcPr>
            <w:tcW w:type="dxa" w:w="6560"/>
            <w:tcBorders>
              <w:top w:val="single" w:color="7C3AED" w:sz="4"/>
              <w:left w:val="none" w:color="FFFFFF" w:sz="0"/>
              <w:bottom w:val="single" w:color="7C3AED" w:sz="4"/>
              <w:right w:val="none" w:color="FFFFFF" w:sz="0"/>
            </w:tcBorders>
            <w:shd w:fill="FFFFFF" w:val="clear"/>
            <w:tcMar>
              <w:top w:type="dxa" w:w="100"/>
              <w:left w:type="dxa" w:w="160"/>
              <w:bottom w:type="dxa" w:w="100"/>
              <w:right w:type="dxa" w:w="160"/>
            </w:tcMar>
          </w:tcPr>
          <w:p>
            <w:r>
              <w:rPr>
                <w:rFonts w:ascii="Arial" w:cs="Arial" w:eastAsia="Arial" w:hAnsi="Arial"/>
                <w:b/>
                <w:bCs/>
                <w:color w:val="2D2D2D"/>
                <w:sz w:val="22"/>
                <w:szCs w:val="22"/>
              </w:rPr>
              <w:t xml:space="preserve">Site Intelligence &amp; AI Analysis</w:t>
            </w:r>
          </w:p>
        </w:tc>
        <w:tc>
          <w:tcPr>
            <w:tcW w:type="dxa" w:w="1600"/>
            <w:tcBorders>
              <w:top w:val="single" w:color="7C3AED" w:sz="4"/>
              <w:left w:val="none" w:color="FFFFFF" w:sz="0"/>
              <w:bottom w:val="single" w:color="7C3AED" w:sz="4"/>
              <w:right w:val="none" w:color="FFFFFF" w:sz="0"/>
            </w:tcBorders>
            <w:shd w:fill="FFFFFF" w:val="clear"/>
            <w:tcMar>
              <w:top w:type="dxa" w:w="100"/>
              <w:left w:type="dxa" w:w="160"/>
              <w:bottom w:type="dxa" w:w="100"/>
              <w:right w:type="dxa" w:w="160"/>
            </w:tcMar>
          </w:tcPr>
          <w:p>
            <w:pPr>
              <w:jc w:val="right"/>
            </w:pPr>
            <w:r>
              <w:rPr>
                <w:rFonts w:ascii="Arial" w:cs="Arial" w:eastAsia="Arial" w:hAnsi="Arial"/>
                <w:b/>
                <w:bCs/>
                <w:color w:val="7C3AED"/>
                <w:sz w:val="19"/>
                <w:szCs w:val="19"/>
              </w:rPr>
              <w:t xml:space="preserve">LIVE</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none" w:color="FFFFFF" w:sz="0"/>
              <w:left w:val="none" w:color="FFFFFF" w:sz="0"/>
              <w:bottom w:val="none" w:color="FFFFFF" w:sz="0"/>
              <w:right w:val="none" w:color="FFFFFF" w:sz="0"/>
            </w:tcBorders>
            <w:shd w:fill="EA580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3</w:t>
            </w:r>
          </w:p>
        </w:tc>
        <w:tc>
          <w:tcPr>
            <w:tcW w:type="dxa" w:w="6560"/>
            <w:tcBorders>
              <w:top w:val="single" w:color="EA580C" w:sz="4"/>
              <w:left w:val="none" w:color="FFFFFF" w:sz="0"/>
              <w:bottom w:val="single" w:color="EA580C" w:sz="4"/>
              <w:right w:val="none" w:color="FFFFFF" w:sz="0"/>
            </w:tcBorders>
            <w:shd w:fill="FFFFFF" w:val="clear"/>
            <w:tcMar>
              <w:top w:type="dxa" w:w="100"/>
              <w:left w:type="dxa" w:w="160"/>
              <w:bottom w:type="dxa" w:w="100"/>
              <w:right w:type="dxa" w:w="160"/>
            </w:tcMar>
          </w:tcPr>
          <w:p>
            <w:r>
              <w:rPr>
                <w:rFonts w:ascii="Arial" w:cs="Arial" w:eastAsia="Arial" w:hAnsi="Arial"/>
                <w:b/>
                <w:bCs/>
                <w:color w:val="2D2D2D"/>
                <w:sz w:val="22"/>
                <w:szCs w:val="22"/>
              </w:rPr>
              <w:t xml:space="preserve">Data Center Mode &amp; Site Scout</w:t>
            </w:r>
          </w:p>
        </w:tc>
        <w:tc>
          <w:tcPr>
            <w:tcW w:type="dxa" w:w="1600"/>
            <w:tcBorders>
              <w:top w:val="single" w:color="EA580C" w:sz="4"/>
              <w:left w:val="none" w:color="FFFFFF" w:sz="0"/>
              <w:bottom w:val="single" w:color="EA580C" w:sz="4"/>
              <w:right w:val="none" w:color="FFFFFF" w:sz="0"/>
            </w:tcBorders>
            <w:shd w:fill="FFFFFF" w:val="clear"/>
            <w:tcMar>
              <w:top w:type="dxa" w:w="100"/>
              <w:left w:type="dxa" w:w="160"/>
              <w:bottom w:type="dxa" w:w="100"/>
              <w:right w:type="dxa" w:w="160"/>
            </w:tcMar>
          </w:tcPr>
          <w:p>
            <w:pPr>
              <w:jc w:val="right"/>
            </w:pPr>
            <w:r>
              <w:rPr>
                <w:rFonts w:ascii="Arial" w:cs="Arial" w:eastAsia="Arial" w:hAnsi="Arial"/>
                <w:b/>
                <w:bCs/>
                <w:color w:val="EA580C"/>
                <w:sz w:val="19"/>
                <w:szCs w:val="19"/>
              </w:rPr>
              <w:t xml:space="preserve">LIVE</w:t>
            </w:r>
          </w:p>
        </w:tc>
      </w:tr>
    </w:tbl>
    <w:p>
      <w:pPr>
        <w:spacing w:before="0" w:after="280"/>
      </w:pPr>
    </w:p>
    <w:p>
      <w:pPr>
        <w:pStyle w:val="Heading2"/>
        <w:spacing w:before="280" w:after="80"/>
      </w:pPr>
      <w:r>
        <w:rPr>
          <w:rFonts w:ascii="Arial" w:cs="Arial" w:eastAsia="Arial" w:hAnsi="Arial"/>
          <w:b/>
          <w:bCs/>
          <w:color w:val="0D9488"/>
          <w:sz w:val="26"/>
          <w:szCs w:val="26"/>
        </w:rPr>
        <w:t xml:space="preserve">Phase 1 — CRE Parcel Research</w:t>
      </w:r>
    </w:p>
    <w:p>
      <w:pPr>
        <w:pStyle w:val="Heading3"/>
        <w:spacing w:before="200" w:after="60"/>
      </w:pPr>
      <w:r>
        <w:rPr>
          <w:rFonts w:ascii="Arial" w:cs="Arial" w:eastAsia="Arial" w:hAnsi="Arial"/>
          <w:b/>
          <w:bCs/>
          <w:color w:val="2D2D2D"/>
          <w:sz w:val="22"/>
          <w:szCs w:val="22"/>
        </w:rPr>
        <w:t xml:space="preserve">Interactive Parcel Map</w:t>
      </w:r>
    </w:p>
    <w:p>
      <w:pPr>
        <w:spacing w:before="0" w:after="100"/>
        <w:ind w:left="0"/>
      </w:pPr>
      <w:r>
        <w:rPr>
          <w:rFonts w:ascii="Arial" w:cs="Arial" w:eastAsia="Arial" w:hAnsi="Arial"/>
          <w:color w:val="2D2D2D"/>
          <w:sz w:val="22"/>
          <w:szCs w:val="22"/>
        </w:rPr>
        <w:t xml:space="preserve">Renders 307,811 real parcel boundaries from Gwinnett County's ArcGIS Feature Services. Parcels load dynamically as the user pans and zooms — a bounding-box query fires on every map move-end event, returning only the parcels visible in the current viewport. The map never tries to load all 307K polygons at once.</w:t>
      </w:r>
    </w:p>
    <w:p>
      <w:pPr>
        <w:spacing w:before="0" w:after="80"/>
      </w:pPr>
      <w:r>
        <w:rPr>
          <w:rFonts w:ascii="Arial" w:cs="Arial" w:eastAsia="Arial" w:hAnsi="Arial"/>
          <w:color w:val="555555"/>
          <w:sz w:val="19"/>
          <w:szCs w:val="19"/>
        </w:rPr>
        <w:t xml:space="preserve">Data source: Gwinnett County ArcGIS Parcels Layer — free, public, updated regularly.</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Viewport-aware parcel loading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src/hooks/useViewportParcels.ts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 geojson, isZoomedIn } = useViewportParcels();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On map move-end, fires: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/api/parcels/bbox?west=-84.22&amp;south=33.89&amp;east=-84.10&amp;north=33.98</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API queries Gwinnett ArcGIS FeatureServer: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https://gis.gwinnettcounty.com/server/rest/services/Planning/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Parcels/FeatureServer/0/query?geometry=&lt;bbox&gt;&amp;outFields=*&amp;f=geojson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160"/>
      </w:pPr>
    </w:p>
    <w:p>
      <w:pPr>
        <w:pStyle w:val="Heading3"/>
        <w:spacing w:before="200" w:after="60"/>
      </w:pPr>
      <w:r>
        <w:rPr>
          <w:rFonts w:ascii="Arial" w:cs="Arial" w:eastAsia="Arial" w:hAnsi="Arial"/>
          <w:b/>
          <w:bCs/>
          <w:color w:val="2D2D2D"/>
          <w:sz w:val="22"/>
          <w:szCs w:val="22"/>
        </w:rPr>
        <w:t xml:space="preserve">Two-Step Click Flow</w:t>
      </w:r>
    </w:p>
    <w:p>
      <w:pPr>
        <w:spacing w:before="0" w:after="100"/>
        <w:ind w:left="0"/>
      </w:pPr>
      <w:r>
        <w:rPr>
          <w:rFonts w:ascii="Arial" w:cs="Arial" w:eastAsia="Arial" w:hAnsi="Arial"/>
          <w:color w:val="2D2D2D"/>
          <w:sz w:val="22"/>
          <w:szCs w:val="22"/>
        </w:rPr>
        <w:t xml:space="preserve">Clicking a parcel triggers an instant preview card — a small floating overlay positioned at the parcel centroid showing address, PIN, and acreage from the already-loaded GeoJSON. No API call. Then tapping "View Details" fires the full property fetch from the county tax table. This two-step pattern keeps the interface responsive even on slow connections.</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Quick card uses data already in the GeoJSON — zero API call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pin   = feature.properties.PIN;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addr  = feature.properties.ADDRESS;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acres = feature.properties.CALCULATEDACREAGE;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Full panel fires one targeted request: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/api/parcel/R7001-026  →  joins county tax table (Layer 3)</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returns: owner_name, assessed_total, last_sale_price,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deed_ref, legal_description, land_use_code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160"/>
      </w:pPr>
    </w:p>
    <w:p>
      <w:pPr>
        <w:pStyle w:val="Heading3"/>
        <w:spacing w:before="200" w:after="60"/>
      </w:pPr>
      <w:r>
        <w:rPr>
          <w:rFonts w:ascii="Arial" w:cs="Arial" w:eastAsia="Arial" w:hAnsi="Arial"/>
          <w:b/>
          <w:bCs/>
          <w:color w:val="2D2D2D"/>
          <w:sz w:val="22"/>
          <w:szCs w:val="22"/>
        </w:rPr>
        <w:t xml:space="preserve">LLC Entity Lookup</w:t>
      </w:r>
    </w:p>
    <w:p>
      <w:pPr>
        <w:spacing w:before="0" w:after="100"/>
        <w:ind w:left="0"/>
      </w:pPr>
      <w:r>
        <w:rPr>
          <w:rFonts w:ascii="Arial" w:cs="Arial" w:eastAsia="Arial" w:hAnsi="Arial"/>
          <w:color w:val="2D2D2D"/>
          <w:sz w:val="22"/>
          <w:szCs w:val="22"/>
        </w:rPr>
        <w:t xml:space="preserve">When a parcel is owned by an LLC, the Entity Lookup feature cross-references Georgia Secretary of State corporate records to surface the registered agent, principal officer, and related entities. This pierces the common pattern where developers hold parcels through single-purpose LLCs to obscure beneficial ownership. On-demand, cached per entity name.</w:t>
      </w:r>
    </w:p>
    <w:p>
      <w:pPr>
        <w:spacing w:before="0" w:after="160"/>
      </w:pPr>
    </w:p>
    <w:p>
      <w:pPr>
        <w:pStyle w:val="Heading3"/>
        <w:spacing w:before="200" w:after="60"/>
      </w:pPr>
      <w:r>
        <w:rPr>
          <w:rFonts w:ascii="Arial" w:cs="Arial" w:eastAsia="Arial" w:hAnsi="Arial"/>
          <w:b/>
          <w:bCs/>
          <w:color w:val="2D2D2D"/>
          <w:sz w:val="22"/>
          <w:szCs w:val="22"/>
        </w:rPr>
        <w:t xml:space="preserve">Saved Parcels &amp; Collections</w:t>
      </w:r>
    </w:p>
    <w:p>
      <w:pPr>
        <w:spacing w:before="0" w:after="100"/>
        <w:ind w:left="0"/>
      </w:pPr>
      <w:r>
        <w:rPr>
          <w:rFonts w:ascii="Arial" w:cs="Arial" w:eastAsia="Arial" w:hAnsi="Arial"/>
          <w:color w:val="2D2D2D"/>
          <w:sz w:val="22"/>
          <w:szCs w:val="22"/>
        </w:rPr>
        <w:t xml:space="preserve">Any parcel can be bookmarked and organized into named project folders — "Q2 Norcross Pipeline", "Data Center Candidates SE", etc. Saved state persists via Supabase. Collections are the unit of collaboration when the team feature is added in Phase 4.</w:t>
      </w:r>
    </w:p>
    <w:p>
      <w:pPr>
        <w:spacing w:before="0" w:after="240"/>
      </w:pPr>
    </w:p>
    <w:p>
      <w:pPr>
        <w:pStyle w:val="Heading2"/>
        <w:spacing w:before="280" w:after="80"/>
      </w:pPr>
      <w:r>
        <w:rPr>
          <w:rFonts w:ascii="Arial" w:cs="Arial" w:eastAsia="Arial" w:hAnsi="Arial"/>
          <w:b/>
          <w:bCs/>
          <w:color w:val="7C3AED"/>
          <w:sz w:val="26"/>
          <w:szCs w:val="26"/>
        </w:rPr>
        <w:t xml:space="preserve">Phase 2 — Site Intelligence</w:t>
      </w:r>
    </w:p>
    <w:p>
      <w:pPr>
        <w:pStyle w:val="Heading3"/>
        <w:spacing w:before="200" w:after="60"/>
      </w:pPr>
      <w:r>
        <w:rPr>
          <w:rFonts w:ascii="Arial" w:cs="Arial" w:eastAsia="Arial" w:hAnsi="Arial"/>
          <w:b/>
          <w:bCs/>
          <w:color w:val="2D2D2D"/>
          <w:sz w:val="22"/>
          <w:szCs w:val="22"/>
        </w:rPr>
        <w:t xml:space="preserve">AI Site Score</w:t>
      </w:r>
    </w:p>
    <w:p>
      <w:pPr>
        <w:spacing w:before="0" w:after="100"/>
        <w:ind w:left="0"/>
      </w:pPr>
      <w:r>
        <w:rPr>
          <w:rFonts w:ascii="Arial" w:cs="Arial" w:eastAsia="Arial" w:hAnsi="Arial"/>
          <w:color w:val="2D2D2D"/>
          <w:sz w:val="22"/>
          <w:szCs w:val="22"/>
        </w:rPr>
        <w:t xml:space="preserve">Every parcel receives a composite 0-100 development score computed across five dimensions, each 0-20 points. The scoring engine runs server-side and the result is streamed back as it computes. The scores are calibrated around commercial development criteria — zoning fit, traffic access, proximity to utilities, market activity, and infrastructure readiness.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7C3AED" w:sz="6"/>
              <w:left w:val="single" w:color="7C3AED" w:sz="6"/>
              <w:bottom w:val="single" w:color="7C3AED" w:sz="6"/>
              <w:right w:val="single" w:color="7C3AED" w:sz="6"/>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1200"/>
            <w:tcBorders>
              <w:top w:val="single" w:color="7C3AED" w:sz="6"/>
              <w:left w:val="single" w:color="7C3AED" w:sz="6"/>
              <w:bottom w:val="single" w:color="7C3AED" w:sz="6"/>
              <w:right w:val="single" w:color="7C3AED" w:sz="6"/>
            </w:tcBorders>
            <w:shd w:fill="7C3AED"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Max</w:t>
            </w:r>
          </w:p>
        </w:tc>
        <w:tc>
          <w:tcPr>
            <w:tcW w:type="dxa" w:w="5360"/>
            <w:tcBorders>
              <w:top w:val="single" w:color="7C3AED" w:sz="6"/>
              <w:left w:val="single" w:color="7C3AED" w:sz="6"/>
              <w:bottom w:val="single" w:color="7C3AED" w:sz="6"/>
              <w:right w:val="single" w:color="7C3AED" w:sz="6"/>
            </w:tcBorders>
            <w:shd w:fill="7C3AED" w:val="clear"/>
            <w:tcMar>
              <w:top w:type="dxa" w:w="100"/>
              <w:left w:type="dxa" w:w="160"/>
              <w:bottom w:type="dxa" w:w="100"/>
              <w:right w:type="dxa" w:w="160"/>
            </w:tcMar>
          </w:tcPr>
          <w:p>
            <w:r>
              <w:rPr>
                <w:rFonts w:ascii="Arial" w:cs="Arial" w:eastAsia="Arial" w:hAnsi="Arial"/>
                <w:b/>
                <w:bCs/>
                <w:color w:val="FFFFFF"/>
                <w:sz w:val="20"/>
                <w:szCs w:val="20"/>
              </w:rPr>
              <w:t xml:space="preserve">Data Sources</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preserve">Zoning Fit</w:t>
            </w:r>
          </w:p>
        </w:tc>
        <w:tc>
          <w:tcPr>
            <w:tcW w:type="dxa" w:w="1200"/>
            <w:tcBorders>
              <w:top w:val="single" w:color="DDDDDD" w:sz="4"/>
              <w:left w:val="single" w:color="DDDDDD" w:sz="4"/>
              <w:bottom w:val="single" w:color="DDDDDD" w:sz="4"/>
              <w:right w:val="single" w:color="DDDDDD" w:sz="4"/>
            </w:tcBorders>
            <w:shd w:fill="0D9488"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preserve">Compatibility with commercial/mixed-use development targets</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preserve">Access &amp; Visibility</w:t>
            </w:r>
          </w:p>
        </w:tc>
        <w:tc>
          <w:tcPr>
            <w:tcW w:type="dxa" w:w="1200"/>
            <w:tcBorders>
              <w:top w:val="single" w:color="DDDDDD" w:sz="4"/>
              <w:left w:val="single" w:color="DDDDDD" w:sz="4"/>
              <w:bottom w:val="single" w:color="DDDDDD" w:sz="4"/>
              <w:right w:val="single" w:color="DDDDDD" w:sz="4"/>
            </w:tcBorders>
            <w:shd w:fill="1D4ED8"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preserve">Drive-time isochrones, arterial frontage, interchange proximity</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preserve">Market Activity</w:t>
            </w:r>
          </w:p>
        </w:tc>
        <w:tc>
          <w:tcPr>
            <w:tcW w:type="dxa" w:w="1200"/>
            <w:tcBorders>
              <w:top w:val="single" w:color="DDDDDD" w:sz="4"/>
              <w:left w:val="single" w:color="DDDDDD" w:sz="4"/>
              <w:bottom w:val="single" w:color="DDDDDD" w:sz="4"/>
              <w:right w:val="single" w:color="DDDDDD" w:sz="4"/>
            </w:tcBorders>
            <w:shd w:fill="7C3AE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preserve">Comp sale velocity within 1-mile radius, 24-month window</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preserve">Demographics</w:t>
            </w:r>
          </w:p>
        </w:tc>
        <w:tc>
          <w:tcPr>
            <w:tcW w:type="dxa" w:w="1200"/>
            <w:tcBorders>
              <w:top w:val="single" w:color="DDDDDD" w:sz="4"/>
              <w:left w:val="single" w:color="DDDDDD" w:sz="4"/>
              <w:bottom w:val="single" w:color="DDDDDD" w:sz="4"/>
              <w:right w:val="single" w:color="DDDDDD" w:sz="4"/>
            </w:tcBorders>
            <w:shd w:fill="D97706"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preserve">Census ACS — income, density, daytime population, retail index</w:t>
            </w:r>
          </w:p>
        </w:tc>
      </w:tr>
      <w:tr>
        <w:tc>
          <w:tcPr>
            <w:tcW w:type="dxa" w:w="2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2D2D2D"/>
                <w:sz w:val="20"/>
                <w:szCs w:val="20"/>
              </w:rPr>
              <w:t xml:space="preserve">Infrastructure</w:t>
            </w:r>
          </w:p>
        </w:tc>
        <w:tc>
          <w:tcPr>
            <w:tcW w:type="dxa" w:w="1200"/>
            <w:tcBorders>
              <w:top w:val="single" w:color="DDDDDD" w:sz="4"/>
              <w:left w:val="single" w:color="DDDDDD" w:sz="4"/>
              <w:bottom w:val="single" w:color="DDDDDD" w:sz="4"/>
              <w:right w:val="single" w:color="DDDDDD" w:sz="4"/>
            </w:tcBorders>
            <w:shd w:fill="15803D" w:val="clear"/>
            <w:tcMar>
              <w:top w:type="dxa" w:w="100"/>
              <w:left w:type="dxa" w:w="160"/>
              <w:bottom w:type="dxa" w:w="100"/>
              <w:right w:type="dxa" w:w="160"/>
            </w:tcMar>
          </w:tcPr>
          <w:p>
            <w:pPr>
              <w:jc w:val="center"/>
            </w:pPr>
            <w:r>
              <w:rPr>
                <w:rFonts w:ascii="Arial" w:cs="Arial" w:eastAsia="Arial" w:hAnsi="Arial"/>
                <w:b/>
                <w:bCs/>
                <w:color w:val="FFFFFF"/>
                <w:sz w:val="24"/>
                <w:szCs w:val="24"/>
              </w:rPr>
              <w:t xml:space="preserve">20</w:t>
            </w:r>
          </w:p>
        </w:tc>
        <w:tc>
          <w:tcPr>
            <w:tcW w:type="dxa" w:w="53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555555"/>
                <w:sz w:val="19"/>
                <w:szCs w:val="19"/>
              </w:rPr>
              <w:t xml:space="preserve">FEMA flood zone, utility proximity, wetlands (NWI), fiber</w:t>
            </w:r>
          </w:p>
        </w:tc>
      </w:tr>
    </w:tbl>
    <w:p>
      <w:pPr>
        <w:spacing w:before="0" w:after="160"/>
      </w:pPr>
    </w:p>
    <w:p>
      <w:pPr>
        <w:pStyle w:val="Heading3"/>
        <w:spacing w:before="200" w:after="60"/>
      </w:pPr>
      <w:r>
        <w:rPr>
          <w:rFonts w:ascii="Arial" w:cs="Arial" w:eastAsia="Arial" w:hAnsi="Arial"/>
          <w:b/>
          <w:bCs/>
          <w:color w:val="2D2D2D"/>
          <w:sz w:val="22"/>
          <w:szCs w:val="22"/>
        </w:rPr>
        <w:t xml:space="preserve">Zoning Intelligence &amp; AI Chat</w:t>
      </w:r>
    </w:p>
    <w:p>
      <w:pPr>
        <w:spacing w:before="0" w:after="100"/>
        <w:ind w:left="0"/>
      </w:pPr>
      <w:r>
        <w:rPr>
          <w:rFonts w:ascii="Arial" w:cs="Arial" w:eastAsia="Arial" w:hAnsi="Arial"/>
          <w:color w:val="2D2D2D"/>
          <w:sz w:val="22"/>
          <w:szCs w:val="22"/>
        </w:rPr>
        <w:t xml:space="preserve">Rather than displaying a raw zoning code, the platform interprets it in plain English — what can be built, what requires a variance or conditional use permit, setback and height limits, permitted and prohibited uses. A persistent chat interface allows free-form follow-up questions about any parcel's zoning. Responses are grounded in the actual county ordinance rules loaded into the system, not hallucinated.</w:t>
      </w:r>
    </w:p>
    <w:p>
      <w:pPr>
        <w:spacing w:before="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Zoning chat prompt structure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src/app/api/parcel/[apn]/zoning-chat/route.ts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systemPrompt = `You are a zoning expert for a commercial developer.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Zone: ${parcel.zoning} (${rules.zone_name}) — ${parcel.county} County, GA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Permitted: ${rules.permitted_uses.join(",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Conditional: ${rules.conditional_uses.join(",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Height limit: ${rules.max_height_ft}ft | Coverage: ${rules.max_lot_coverage}%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Setbacks — Front: ${rules.setback_front_ft}ft, Side: ${rules.setback_side_ft}ft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Answer concisely. Flag variance requirements explicitly.`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Response streams token-by-token via Claude claude-sonnet-4-5</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160"/>
      </w:pPr>
    </w:p>
    <w:p>
      <w:pPr>
        <w:pStyle w:val="Heading3"/>
        <w:spacing w:before="200" w:after="60"/>
      </w:pPr>
      <w:r>
        <w:rPr>
          <w:rFonts w:ascii="Arial" w:cs="Arial" w:eastAsia="Arial" w:hAnsi="Arial"/>
          <w:b/>
          <w:bCs/>
          <w:color w:val="2D2D2D"/>
          <w:sz w:val="22"/>
          <w:szCs w:val="22"/>
        </w:rPr>
        <w:t xml:space="preserve">Comparable Sales &amp; Investment Brief</w:t>
      </w:r>
    </w:p>
    <w:p>
      <w:pPr>
        <w:spacing w:before="0" w:after="100"/>
        <w:ind w:left="0"/>
      </w:pPr>
      <w:r>
        <w:rPr>
          <w:rFonts w:ascii="Arial" w:cs="Arial" w:eastAsia="Arial" w:hAnsi="Arial"/>
          <w:color w:val="2D2D2D"/>
          <w:sz w:val="22"/>
          <w:szCs w:val="22"/>
        </w:rPr>
        <w:t xml:space="preserve">The comps engine runs a spatial query for similar-sized parcels that sold within a configurable radius and time window. It derives an implied value range and surfaces the five most relevant transactions. A one-click "Generate Brief" button then aggregates scoring, zoning analysis, comps, and context into a structured 1-2 page investment memo that can be distributed to the investment committee — the first output that leaves the platform.</w:t>
      </w:r>
    </w:p>
    <w:p>
      <w:pPr>
        <w:spacing w:before="0" w:after="240"/>
      </w:pPr>
    </w:p>
    <w:p>
      <w:r>
        <w:br w:type="page"/>
      </w:r>
    </w:p>
    <w:p>
      <w:pPr>
        <w:pStyle w:val="Heading1"/>
        <w:spacing w:before="360" w:after="120"/>
      </w:pPr>
      <w:r>
        <w:rPr>
          <w:rFonts w:ascii="Arial" w:cs="Arial" w:eastAsia="Arial" w:hAnsi="Arial"/>
          <w:b/>
          <w:bCs/>
          <w:color w:val="111111"/>
          <w:sz w:val="32"/>
          <w:szCs w:val="32"/>
        </w:rPr>
        <w:t xml:space="preserve">04. Phase 3 — Data Center Mode</w:t>
      </w:r>
    </w:p>
    <w:p>
      <w:pPr>
        <w:pBdr>
          <w:bottom w:val="single" w:color="EA580C" w:sz="6" w:space="1"/>
        </w:pBdr>
        <w:spacing w:before="80" w:after="80"/>
      </w:pPr>
    </w:p>
    <w:p>
      <w:pPr>
        <w:spacing w:before="0" w:after="160"/>
      </w:pPr>
    </w:p>
    <w:p>
      <w:pPr>
        <w:spacing w:before="0" w:after="100"/>
        <w:ind w:left="0"/>
      </w:pPr>
      <w:r>
        <w:rPr>
          <w:rFonts w:ascii="Arial" w:cs="Arial" w:eastAsia="Arial" w:hAnsi="Arial"/>
          <w:color w:val="2D2D2D"/>
          <w:sz w:val="22"/>
          <w:szCs w:val="22"/>
        </w:rPr>
        <w:t xml:space="preserve">Phase 3 adds a specialized scoring mode for data center site selection — activated from the TopBar with a single toggle. It reframes every parcel through the lens of power infrastructure, fiber connectivity, water/cooling capacity, and environmental risk. This is a separate product segment that opens the door to hyperscale developers, colocation REITs, and data center brokers as clients beyond DeThomas.</w:t>
      </w:r>
    </w:p>
    <w:p>
      <w:pPr>
        <w:spacing w:before="0" w:after="200"/>
      </w:pPr>
    </w:p>
    <w:p>
      <w:pPr>
        <w:pStyle w:val="Heading2"/>
        <w:spacing w:before="280" w:after="80"/>
      </w:pPr>
      <w:r>
        <w:rPr>
          <w:rFonts w:ascii="Arial" w:cs="Arial" w:eastAsia="Arial" w:hAnsi="Arial"/>
          <w:b/>
          <w:bCs/>
          <w:color w:val="EA580C"/>
          <w:sz w:val="26"/>
          <w:szCs w:val="26"/>
        </w:rPr>
        <w:t xml:space="preserve">DC Infrastructure Scoring</w:t>
      </w:r>
    </w:p>
    <w:p>
      <w:pPr>
        <w:spacing w:before="0" w:after="100"/>
        <w:ind w:left="0"/>
      </w:pPr>
      <w:r>
        <w:rPr>
          <w:rFonts w:ascii="Arial" w:cs="Arial" w:eastAsia="Arial" w:hAnsi="Arial"/>
          <w:color w:val="2D2D2D"/>
          <w:sz w:val="22"/>
          <w:szCs w:val="22"/>
        </w:rPr>
        <w:t xml:space="preserve">When a parcel is selected in DC mode, the platform fires a parallel fetch against HIFLD federal infrastructure datasets and computes a composite data center suitability score in real time. The score has five sub-dimensions with hard disqualification rules for deal-killers.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800"/>
        <w:gridCol w:w="4560"/>
      </w:tblGrid>
      <w:tr>
        <w:tc>
          <w:tcPr>
            <w:tcW w:type="dxa" w:w="2000"/>
            <w:tcBorders>
              <w:top w:val="single" w:color="EA580C" w:sz="6"/>
              <w:left w:val="single" w:color="EA580C" w:sz="6"/>
              <w:bottom w:val="single" w:color="EA580C" w:sz="6"/>
              <w:right w:val="single" w:color="EA580C" w:sz="6"/>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Dimension</w:t>
            </w:r>
          </w:p>
        </w:tc>
        <w:tc>
          <w:tcPr>
            <w:tcW w:type="dxa" w:w="1000"/>
            <w:tcBorders>
              <w:top w:val="single" w:color="EA580C" w:sz="6"/>
              <w:left w:val="single" w:color="EA580C" w:sz="6"/>
              <w:bottom w:val="single" w:color="EA580C" w:sz="6"/>
              <w:right w:val="single" w:color="EA580C" w:sz="6"/>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Weight</w:t>
            </w:r>
          </w:p>
        </w:tc>
        <w:tc>
          <w:tcPr>
            <w:tcW w:type="dxa" w:w="1800"/>
            <w:tcBorders>
              <w:top w:val="single" w:color="EA580C" w:sz="6"/>
              <w:left w:val="single" w:color="EA580C" w:sz="6"/>
              <w:bottom w:val="single" w:color="EA580C" w:sz="6"/>
              <w:right w:val="single" w:color="EA580C" w:sz="6"/>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Data Source</w:t>
            </w:r>
          </w:p>
        </w:tc>
        <w:tc>
          <w:tcPr>
            <w:tcW w:type="dxa" w:w="4560"/>
            <w:tcBorders>
              <w:top w:val="single" w:color="EA580C" w:sz="6"/>
              <w:left w:val="single" w:color="EA580C" w:sz="6"/>
              <w:bottom w:val="single" w:color="EA580C" w:sz="6"/>
              <w:right w:val="single" w:color="EA580C" w:sz="6"/>
            </w:tcBorders>
            <w:shd w:fill="EA580C" w:val="clear"/>
            <w:tcMar>
              <w:top w:type="dxa" w:w="100"/>
              <w:left w:type="dxa" w:w="160"/>
              <w:bottom w:type="dxa" w:w="100"/>
              <w:right w:type="dxa" w:w="160"/>
            </w:tcMar>
          </w:tcPr>
          <w:p>
            <w:r>
              <w:rPr>
                <w:rFonts w:ascii="Arial" w:cs="Arial" w:eastAsia="Arial" w:hAnsi="Arial"/>
                <w:b/>
                <w:bCs/>
                <w:color w:val="FFFFFF"/>
                <w:sz w:val="20"/>
                <w:szCs w:val="20"/>
              </w:rPr>
              <w:t xml:space="preserve">Disqualifier Threshold</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555555"/>
                <w:sz w:val="19"/>
                <w:szCs w:val="19"/>
              </w:rPr>
              <w:t xml:space="preserve">Power</w:t>
            </w:r>
          </w:p>
        </w:tc>
        <w:tc>
          <w:tcPr>
            <w:tcW w:type="dxa" w:w="1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30%</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HIFLD Substations &amp; TX Lines</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991B1B"/>
                <w:sz w:val="19"/>
                <w:szCs w:val="19"/>
              </w:rPr>
              <w:t xml:space="preserve">No substation within 20 miles</w:t>
            </w:r>
          </w:p>
        </w:tc>
      </w:tr>
      <w:tr>
        <w:tc>
          <w:tcPr>
            <w:tcW w:type="dxa" w:w="20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bCs/>
                <w:color w:val="555555"/>
                <w:sz w:val="19"/>
                <w:szCs w:val="19"/>
              </w:rPr>
              <w:t xml:space="preserve">Fiber</w:t>
            </w:r>
          </w:p>
        </w:tc>
        <w:tc>
          <w:tcPr>
            <w:tcW w:type="dxa" w:w="10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555555"/>
                <w:sz w:val="19"/>
                <w:szCs w:val="19"/>
              </w:rPr>
              <w:t xml:space="preserve">25%</w:t>
            </w:r>
          </w:p>
        </w:tc>
        <w:tc>
          <w:tcPr>
            <w:tcW w:type="dxa" w:w="18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555555"/>
                <w:sz w:val="19"/>
                <w:szCs w:val="19"/>
              </w:rPr>
              <w:t xml:space="preserve">FCC BDC + OSM Telecom</w:t>
            </w:r>
          </w:p>
        </w:tc>
        <w:tc>
          <w:tcPr>
            <w:tcW w:type="dxa" w:w="456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991B1B"/>
                <w:sz w:val="19"/>
                <w:szCs w:val="19"/>
              </w:rPr>
              <w:t xml:space="preserve">Zero Tier-1 carriers in census block</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555555"/>
                <w:sz w:val="19"/>
                <w:szCs w:val="19"/>
              </w:rPr>
              <w:t xml:space="preserve">Water</w:t>
            </w:r>
          </w:p>
        </w:tc>
        <w:tc>
          <w:tcPr>
            <w:tcW w:type="dxa" w:w="1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20%</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Municipal service areas + USGS</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991B1B"/>
                <w:sz w:val="19"/>
                <w:szCs w:val="19"/>
              </w:rPr>
              <w:t xml:space="preserve">No municipal water within 5 miles</w:t>
            </w:r>
          </w:p>
        </w:tc>
      </w:tr>
      <w:tr>
        <w:tc>
          <w:tcPr>
            <w:tcW w:type="dxa" w:w="20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bCs/>
                <w:color w:val="555555"/>
                <w:sz w:val="19"/>
                <w:szCs w:val="19"/>
              </w:rPr>
              <w:t xml:space="preserve">Environmental</w:t>
            </w:r>
          </w:p>
        </w:tc>
        <w:tc>
          <w:tcPr>
            <w:tcW w:type="dxa" w:w="10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555555"/>
                <w:sz w:val="19"/>
                <w:szCs w:val="19"/>
              </w:rPr>
              <w:t xml:space="preserve">15%</w:t>
            </w:r>
          </w:p>
        </w:tc>
        <w:tc>
          <w:tcPr>
            <w:tcW w:type="dxa" w:w="180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555555"/>
                <w:sz w:val="19"/>
                <w:szCs w:val="19"/>
              </w:rPr>
              <w:t xml:space="preserve">FEMA NFHL + USGS Seismic</w:t>
            </w:r>
          </w:p>
        </w:tc>
        <w:tc>
          <w:tcPr>
            <w:tcW w:type="dxa" w:w="4560"/>
            <w:tcBorders>
              <w:top w:val="single" w:color="DDDDDD" w:sz="4"/>
              <w:left w:val="single" w:color="DDDDDD" w:sz="4"/>
              <w:bottom w:val="single" w:color="DDDDDD" w:sz="4"/>
              <w:right w:val="single" w:color="DDDDDD" w:sz="4"/>
            </w:tcBorders>
            <w:shd w:fill="FFF7ED" w:val="clear"/>
            <w:tcMar>
              <w:top w:type="dxa" w:w="100"/>
              <w:left w:type="dxa" w:w="160"/>
              <w:bottom w:type="dxa" w:w="100"/>
              <w:right w:type="dxa" w:w="160"/>
            </w:tcMar>
          </w:tcPr>
          <w:p>
            <w:r>
              <w:rPr>
                <w:rFonts w:ascii="Arial" w:cs="Arial" w:eastAsia="Arial" w:hAnsi="Arial"/>
                <w:b w:val="false"/>
                <w:bCs w:val="false"/>
                <w:color w:val="991B1B"/>
                <w:sz w:val="19"/>
                <w:szCs w:val="19"/>
              </w:rPr>
              <w:t xml:space="preserve">FEMA Zone AE or VE flood designation</w:t>
            </w:r>
          </w:p>
        </w:tc>
      </w:tr>
      <w:tr>
        <w:tc>
          <w:tcPr>
            <w:tcW w:type="dxa" w:w="2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555555"/>
                <w:sz w:val="19"/>
                <w:szCs w:val="19"/>
              </w:rPr>
              <w:t xml:space="preserve">Composite</w:t>
            </w:r>
          </w:p>
        </w:tc>
        <w:tc>
          <w:tcPr>
            <w:tcW w:type="dxa" w:w="10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10%</w:t>
            </w:r>
          </w:p>
        </w:tc>
        <w:tc>
          <w:tcPr>
            <w:tcW w:type="dxa" w:w="18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Weighted aggregate</w:t>
            </w:r>
          </w:p>
        </w:tc>
        <w:tc>
          <w:tcPr>
            <w:tcW w:type="dxa" w:w="45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991B1B"/>
                <w:sz w:val="19"/>
                <w:szCs w:val="19"/>
              </w:rPr>
              <w:t xml:space="preserve">Score &lt; 40 or any disqualifier hit</w:t>
            </w:r>
          </w:p>
        </w:tc>
      </w:tr>
    </w:tbl>
    <w:p>
      <w:pPr>
        <w:spacing w:before="0" w:after="200"/>
      </w:pPr>
    </w:p>
    <w:p>
      <w:pPr>
        <w:pStyle w:val="Heading3"/>
        <w:spacing w:before="200" w:after="60"/>
      </w:pPr>
      <w:r>
        <w:rPr>
          <w:rFonts w:ascii="Arial" w:cs="Arial" w:eastAsia="Arial" w:hAnsi="Arial"/>
          <w:b/>
          <w:bCs/>
          <w:color w:val="2D2D2D"/>
          <w:sz w:val="22"/>
          <w:szCs w:val="22"/>
        </w:rPr>
        <w:t xml:space="preserve">Power Tab — How Scoring Works</w:t>
      </w:r>
    </w:p>
    <w:p>
      <w:pPr>
        <w:spacing w:before="0" w:after="100"/>
        <w:ind w:left="0"/>
      </w:pPr>
      <w:r>
        <w:rPr>
          <w:rFonts w:ascii="Arial" w:cs="Arial" w:eastAsia="Arial" w:hAnsi="Arial"/>
          <w:color w:val="2D2D2D"/>
          <w:sz w:val="22"/>
          <w:szCs w:val="22"/>
        </w:rPr>
        <w:t xml:space="preserve">The power score is the most critical dimension. The algorithm finds all HIFLD substations within 20 miles of the parcel centroid, scores on distance, voltage tier, and redundancy potential, and checks for transmission line proximity within 2 miles.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src/lib/dc-scoring.ts — Power scoring algorithm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async function scorePower(lat, lng): Promise&lt;PowerScore&gt;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 Fetch substations from HIFLD ArcGIS FeatureServer</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substations = await fetchSubstationsNear(lat, lng, 32186); // 20mi in meters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if (substations.length === 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return { score: 0, disqualified: true, reason: "No substation within 20 miles"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nearest     = substations[0];  // sorted by distance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maxVoltage  = Math.max(...substations.slice(0,3).map(s =&gt; s.MAX_VOLT));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dualFeedKm  = substations.filter(s =&gt; s.distKm &lt; 8).length &gt;= 2;</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let score = 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score += nearest.distKm &lt;  3 ? 30 : nearest.distKm &lt; 8 ? 20 : 10; // proximity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score += maxVoltage &gt;= 345 ? 30 : maxVoltage &gt;= 230 ? 20 : 10;    // voltage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score += dualFeedKm ? 20 : 0;                                      // redundancy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score += await hasTxLineWithin2Miles(lat, lng) ? 20 : 0;          // TX access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return { score, maxVoltage, nearestSub: nearest, redundancy: dualFeedKm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200"/>
      </w:pPr>
    </w:p>
    <w:p>
      <w:pPr>
        <w:pStyle w:val="Heading2"/>
        <w:spacing w:before="280" w:after="80"/>
      </w:pPr>
      <w:r>
        <w:rPr>
          <w:rFonts w:ascii="Arial" w:cs="Arial" w:eastAsia="Arial" w:hAnsi="Arial"/>
          <w:b/>
          <w:bCs/>
          <w:color w:val="EA580C"/>
          <w:sz w:val="26"/>
          <w:szCs w:val="26"/>
        </w:rPr>
        <w:t xml:space="preserve">Site Scout — AI Discovery Engine</w:t>
      </w:r>
    </w:p>
    <w:p>
      <w:pPr>
        <w:spacing w:before="0" w:after="100"/>
        <w:ind w:left="0"/>
      </w:pPr>
      <w:r>
        <w:rPr>
          <w:rFonts w:ascii="Arial" w:cs="Arial" w:eastAsia="Arial" w:hAnsi="Arial"/>
          <w:color w:val="2D2D2D"/>
          <w:sz w:val="22"/>
          <w:szCs w:val="22"/>
        </w:rPr>
        <w:t xml:space="preserve">Site Scout is the most strategically distinct feature in Phase 3. Instead of evaluating a parcel the user has already found, it works in reverse — the user describes what they need in natural language and the system finds candidate locations. This is the difference between a research tool and an intelligence tool.</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8"/>
              <w:left w:val="single" w:color="EA580C" w:sz="24"/>
              <w:bottom w:val="single" w:color="EA580C" w:sz="8"/>
              <w:right w:val="single" w:color="EA580C" w:sz="4"/>
            </w:tcBorders>
            <w:shd w:fill="FFF7ED" w:val="clear"/>
            <w:tcMar>
              <w:top w:type="dxa" w:w="120"/>
              <w:left w:type="dxa" w:w="200"/>
              <w:bottom w:type="dxa" w:w="120"/>
              <w:right w:type="dxa" w:w="200"/>
            </w:tcMar>
          </w:tcPr>
          <w:p>
            <w:pPr>
              <w:spacing w:before="0" w:after="60"/>
            </w:pPr>
            <w:r>
              <w:rPr>
                <w:rFonts w:ascii="Arial" w:cs="Arial" w:eastAsia="Arial" w:hAnsi="Arial"/>
                <w:b/>
                <w:bCs/>
                <w:color w:val="EA580C"/>
                <w:sz w:val="24"/>
                <w:szCs w:val="24"/>
              </w:rPr>
              <w:t xml:space="preserve">How It Works</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val="false"/>
                <w:bCs w:val="false"/>
                <w:color w:val="2D2D2D"/>
                <w:sz w:val="21"/>
                <w:szCs w:val="21"/>
              </w:rPr>
              <w:t xml:space="preserve">Tier 1 (Open Discovery): User types a project description. Claude Haiku parses it into a structured intent object (MW target, minimum voltage, flood risk tolerance, region). Claude Sonnet then applies geographic reasoning to generate candidate sub-markets with bounding boxes, validated against live HIFLD substation data. Ranked results stream back with rationale, bounding box overlays on the map, and quick scores.</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val="false"/>
                <w:bCs w:val="false"/>
                <w:color w:val="2D2D2D"/>
                <w:sz w:val="21"/>
                <w:szCs w:val="21"/>
              </w:rPr>
              <w:t xml:space="preserve">Tier 2 (Area Search): User selects a sub-market or uses their current map view. The system fetches all viable parcels in the bounding box, batch-scores them using haversine distance math against the area's substations (one API call for all), then fires full DC scoring on the top 5. Numbered pins appear on the map with color-coded scores.</w:t>
            </w:r>
          </w:p>
        </w:tc>
      </w:tr>
    </w:tbl>
    <w:p>
      <w:pPr>
        <w:spacing w:before="0" w:after="160"/>
      </w:pPr>
    </w:p>
    <w:p>
      <w:pPr>
        <w:pStyle w:val="Heading3"/>
        <w:spacing w:before="200" w:after="60"/>
      </w:pPr>
      <w:r>
        <w:rPr>
          <w:rFonts w:ascii="Arial" w:cs="Arial" w:eastAsia="Arial" w:hAnsi="Arial"/>
          <w:b/>
          <w:bCs/>
          <w:color w:val="2D2D2D"/>
          <w:sz w:val="22"/>
          <w:szCs w:val="22"/>
        </w:rPr>
        <w:t xml:space="preserve">Tier 1: Geographic Reasoning Prompt Architecture</w:t>
      </w:r>
    </w:p>
    <w:p>
      <w:pPr>
        <w:spacing w:before="0" w:after="100"/>
        <w:ind w:left="0"/>
      </w:pPr>
      <w:r>
        <w:rPr>
          <w:rFonts w:ascii="Arial" w:cs="Arial" w:eastAsia="Arial" w:hAnsi="Arial"/>
          <w:color w:val="2D2D2D"/>
          <w:sz w:val="22"/>
          <w:szCs w:val="22"/>
        </w:rPr>
        <w:t xml:space="preserve">The key technical decision in Site Scout is using Claude as a geographic pre-filter before touching any infrastructure API. This avoids firing HIFLD queries across the entire Southeast and instead focuses validation only on the specific sub-markets that match the project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src/app/api/dc-scout/discover/route.ts — Tier 1 prompt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Step 1: Haiku extracts structured intent from NL query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intent: ScoutIntent =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mw: 100,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minVoltage: 230,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avoidFloodZones: true,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fiberPriority: false,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region: "Georgia",</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locationHint: "near I-85",</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rawQuery: "100MW hyperscale near I-85 in Georgia, 230kV minimum"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Step 2: Sonnet generates candidate bboxes from geographic knowledge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Prompt includes: intent + instruction to reason about power corridors,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existing data center clusters, utility territories, and zoning patterns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Returns: array of { name, rationale, bbox: [W, S, E, N], center: [lng, lat]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Step 3: Parallel HIFLD validation for each candidate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const validated = await Promise.all(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candidates.map(async (c) =&gt;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subs    = await fetchSubstationsNear(c.center[1], c.center[0], 16000);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const voltage = await fetchNearestTxVoltage(c.center[1], c.center[0]);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return { ...c, substationCount: subs.length, maxVoltage: voltage, ...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Step 4: Sonnet streams ranked synthesis narrative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Events: status → intent → markets → summary_chunk → done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160"/>
      </w:pPr>
    </w:p>
    <w:p>
      <w:pPr>
        <w:pStyle w:val="Heading3"/>
        <w:spacing w:before="200" w:after="60"/>
      </w:pPr>
      <w:r>
        <w:rPr>
          <w:rFonts w:ascii="Arial" w:cs="Arial" w:eastAsia="Arial" w:hAnsi="Arial"/>
          <w:b/>
          <w:bCs/>
          <w:color w:val="2D2D2D"/>
          <w:sz w:val="22"/>
          <w:szCs w:val="22"/>
        </w:rPr>
        <w:t xml:space="preserve">Multi-Site Comparison</w:t>
      </w:r>
    </w:p>
    <w:p>
      <w:pPr>
        <w:spacing w:before="0" w:after="100"/>
        <w:ind w:left="0"/>
      </w:pPr>
      <w:r>
        <w:rPr>
          <w:rFonts w:ascii="Arial" w:cs="Arial" w:eastAsia="Arial" w:hAnsi="Arial"/>
          <w:color w:val="2D2D2D"/>
          <w:sz w:val="22"/>
          <w:szCs w:val="22"/>
        </w:rPr>
        <w:t xml:space="preserve">Up to four candidate parcels can be queued in the Comparison Tray — a bottom-docked strip that persists while browsing. Opening the comparison fires a side-by-side table of all five score dimensions with best-value cells highlighted green and worst highlighted amber. An AI consultant narrative then streams below the table, structured as: winner declaration, key differentiators, and risk flags. This is the output that goes directly into an investment memo or site selection 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src/app/api/dc-brief/compare/route.ts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Builds structured consultant prompt from ComparisonSite[]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Output schema enforced via prompt: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WINNER: [site address] — [1-sentence rationale]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KEY DIFFERENTIATORS: [3 bullet points comparing sites]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RISK FLAGS: [site-specific risks per candidate]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Streams plain text via ReadableStream</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Model: claude-sonnet-4-5, max_tokens: 600</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Client renders as streaming markdown in the comparison overlay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240"/>
      </w:pPr>
    </w:p>
    <w:p>
      <w:r>
        <w:br w:type="page"/>
      </w:r>
    </w:p>
    <w:p>
      <w:pPr>
        <w:pStyle w:val="Heading1"/>
        <w:spacing w:before="360" w:after="120"/>
      </w:pPr>
      <w:r>
        <w:rPr>
          <w:rFonts w:ascii="Arial" w:cs="Arial" w:eastAsia="Arial" w:hAnsi="Arial"/>
          <w:b/>
          <w:bCs/>
          <w:color w:val="111111"/>
          <w:sz w:val="32"/>
          <w:szCs w:val="32"/>
        </w:rPr>
        <w:t xml:space="preserve">05. The Investment Argument</w:t>
      </w:r>
    </w:p>
    <w:p>
      <w:pPr>
        <w:pBdr>
          <w:bottom w:val="single" w:color="0D9488" w:sz="6" w:space="1"/>
        </w:pBdr>
        <w:spacing w:before="80" w:after="80"/>
      </w:pPr>
    </w:p>
    <w:p>
      <w:pPr>
        <w:spacing w:before="0" w:after="160"/>
      </w:pPr>
    </w:p>
    <w:p>
      <w:pPr>
        <w:pStyle w:val="Heading2"/>
        <w:spacing w:before="280" w:after="80"/>
      </w:pPr>
      <w:r>
        <w:rPr>
          <w:rFonts w:ascii="Arial" w:cs="Arial" w:eastAsia="Arial" w:hAnsi="Arial"/>
          <w:b/>
          <w:bCs/>
          <w:color w:val="111111"/>
          <w:sz w:val="26"/>
          <w:szCs w:val="26"/>
        </w:rPr>
        <w:t xml:space="preserve">What You Are Buying</w:t>
      </w:r>
    </w:p>
    <w:p>
      <w:pPr>
        <w:spacing w:before="0" w:after="100"/>
        <w:ind w:left="0"/>
      </w:pPr>
      <w:r>
        <w:rPr>
          <w:rFonts w:ascii="Arial" w:cs="Arial" w:eastAsia="Arial" w:hAnsi="Arial"/>
          <w:color w:val="2D2D2D"/>
          <w:sz w:val="22"/>
          <w:szCs w:val="22"/>
        </w:rPr>
        <w:t xml:space="preserve">Investment in continued Pocket Developer development is not software spend — it is competitive infrastructure. Every hour your team saves on manual due diligence compounds forward. Every deal insight the platform surfaces that a competitor misses is a direct return.</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6"/>
              <w:left w:val="single" w:color="0D9488" w:sz="6"/>
              <w:bottom w:val="single" w:color="0D9488" w:sz="6"/>
              <w:right w:val="single" w:color="0D9488" w:sz="6"/>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Without Pocket Developer</w:t>
            </w:r>
          </w:p>
        </w:tc>
        <w:tc>
          <w:tcPr>
            <w:tcW w:type="dxa" w:w="4680"/>
            <w:tcBorders>
              <w:top w:val="single" w:color="0D9488" w:sz="6"/>
              <w:left w:val="single" w:color="0D9488" w:sz="6"/>
              <w:bottom w:val="single" w:color="0D9488" w:sz="6"/>
              <w:right w:val="single" w:color="0D9488" w:sz="6"/>
            </w:tcBorders>
            <w:shd w:fill="0D9488" w:val="clear"/>
            <w:tcMar>
              <w:top w:type="dxa" w:w="100"/>
              <w:left w:type="dxa" w:w="160"/>
              <w:bottom w:type="dxa" w:w="100"/>
              <w:right w:type="dxa" w:w="160"/>
            </w:tcMar>
          </w:tcPr>
          <w:p>
            <w:r>
              <w:rPr>
                <w:rFonts w:ascii="Arial" w:cs="Arial" w:eastAsia="Arial" w:hAnsi="Arial"/>
                <w:b/>
                <w:bCs/>
                <w:color w:val="FFFFFF"/>
                <w:sz w:val="22"/>
                <w:szCs w:val="22"/>
              </w:rPr>
              <w:t xml:space="preserve">With Pocket Developer</w:t>
            </w:r>
          </w:p>
        </w:tc>
      </w:tr>
      <w:tr>
        <w:tc>
          <w:tcPr>
            <w:tcW w:type="dxa" w:w="4680"/>
            <w:tcBorders>
              <w:top w:val="single" w:color="DDDDDD" w:sz="4"/>
              <w:left w:val="single" w:color="DDDDDD" w:sz="4"/>
              <w:bottom w:val="single" w:color="DDDDDD" w:sz="4"/>
              <w:right w:val="single" w:color="DDDDDD" w:sz="4"/>
            </w:tcBorders>
            <w:shd w:fill="FFF1F2" w:val="clear"/>
            <w:tcMar>
              <w:top w:type="dxa" w:w="100"/>
              <w:left w:type="dxa" w:w="160"/>
              <w:bottom w:type="dxa" w:w="100"/>
              <w:right w:type="dxa" w:w="160"/>
            </w:tcMar>
          </w:tcPr>
          <w:p>
            <w:r>
              <w:rPr>
                <w:rFonts w:ascii="Arial" w:cs="Arial" w:eastAsia="Arial" w:hAnsi="Arial"/>
                <w:color w:val="991B1B"/>
                <w:sz w:val="20"/>
                <w:szCs w:val="20"/>
              </w:rPr>
              <w:t xml:space="preserve">4-8 hours per parcel due diligence</w:t>
            </w:r>
          </w:p>
        </w:tc>
        <w:tc>
          <w:tcPr>
            <w:tcW w:type="dxa" w:w="4680"/>
            <w:tcBorders>
              <w:top w:val="single" w:color="DDDDDD" w:sz="4"/>
              <w:left w:val="single" w:color="DDDDDD" w:sz="4"/>
              <w:bottom w:val="single" w:color="DDDDDD" w:sz="4"/>
              <w:right w:val="single" w:color="DDDDDD" w:sz="4"/>
            </w:tcBorders>
            <w:shd w:fill="F0FDF4" w:val="clear"/>
            <w:tcMar>
              <w:top w:type="dxa" w:w="100"/>
              <w:left w:type="dxa" w:w="160"/>
              <w:bottom w:type="dxa" w:w="100"/>
              <w:right w:type="dxa" w:w="160"/>
            </w:tcMar>
          </w:tcPr>
          <w:p>
            <w:r>
              <w:rPr>
                <w:rFonts w:ascii="Arial" w:cs="Arial" w:eastAsia="Arial" w:hAnsi="Arial"/>
                <w:color w:val="15803D"/>
                <w:sz w:val="20"/>
                <w:szCs w:val="20"/>
              </w:rPr>
              <w:t xml:space="preserve">Under 90 seconds from click to full analysis</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991B1B"/>
                <w:sz w:val="20"/>
                <w:szCs w:val="20"/>
              </w:rPr>
              <w:t xml:space="preserve">Separate tools: GIS portal, tax assessor, SOS lookup</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15803D"/>
                <w:sz w:val="20"/>
                <w:szCs w:val="20"/>
              </w:rPr>
              <w:t xml:space="preserve">Single interface: all data sources unified</w:t>
            </w:r>
          </w:p>
        </w:tc>
      </w:tr>
      <w:tr>
        <w:tc>
          <w:tcPr>
            <w:tcW w:type="dxa" w:w="4680"/>
            <w:tcBorders>
              <w:top w:val="single" w:color="DDDDDD" w:sz="4"/>
              <w:left w:val="single" w:color="DDDDDD" w:sz="4"/>
              <w:bottom w:val="single" w:color="DDDDDD" w:sz="4"/>
              <w:right w:val="single" w:color="DDDDDD" w:sz="4"/>
            </w:tcBorders>
            <w:shd w:fill="FFF1F2" w:val="clear"/>
            <w:tcMar>
              <w:top w:type="dxa" w:w="100"/>
              <w:left w:type="dxa" w:w="160"/>
              <w:bottom w:type="dxa" w:w="100"/>
              <w:right w:type="dxa" w:w="160"/>
            </w:tcMar>
          </w:tcPr>
          <w:p>
            <w:r>
              <w:rPr>
                <w:rFonts w:ascii="Arial" w:cs="Arial" w:eastAsia="Arial" w:hAnsi="Arial"/>
                <w:color w:val="991B1B"/>
                <w:sz w:val="20"/>
                <w:szCs w:val="20"/>
              </w:rPr>
              <w:t xml:space="preserve">LLC ownership opacity</w:t>
            </w:r>
          </w:p>
        </w:tc>
        <w:tc>
          <w:tcPr>
            <w:tcW w:type="dxa" w:w="4680"/>
            <w:tcBorders>
              <w:top w:val="single" w:color="DDDDDD" w:sz="4"/>
              <w:left w:val="single" w:color="DDDDDD" w:sz="4"/>
              <w:bottom w:val="single" w:color="DDDDDD" w:sz="4"/>
              <w:right w:val="single" w:color="DDDDDD" w:sz="4"/>
            </w:tcBorders>
            <w:shd w:fill="F0FDF4" w:val="clear"/>
            <w:tcMar>
              <w:top w:type="dxa" w:w="100"/>
              <w:left w:type="dxa" w:w="160"/>
              <w:bottom w:type="dxa" w:w="100"/>
              <w:right w:type="dxa" w:w="160"/>
            </w:tcMar>
          </w:tcPr>
          <w:p>
            <w:r>
              <w:rPr>
                <w:rFonts w:ascii="Arial" w:cs="Arial" w:eastAsia="Arial" w:hAnsi="Arial"/>
                <w:color w:val="15803D"/>
                <w:sz w:val="20"/>
                <w:szCs w:val="20"/>
              </w:rPr>
              <w:t xml:space="preserve">Entity lookup resolves beneficial ownership on demand</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991B1B"/>
                <w:sz w:val="20"/>
                <w:szCs w:val="20"/>
              </w:rPr>
              <w:t xml:space="preserve">Zoning requires attorney or planner consultation</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15803D"/>
                <w:sz w:val="20"/>
                <w:szCs w:val="20"/>
              </w:rPr>
              <w:t xml:space="preserve">AI zoning chat available in the field, instantly</w:t>
            </w:r>
          </w:p>
        </w:tc>
      </w:tr>
      <w:tr>
        <w:tc>
          <w:tcPr>
            <w:tcW w:type="dxa" w:w="4680"/>
            <w:tcBorders>
              <w:top w:val="single" w:color="DDDDDD" w:sz="4"/>
              <w:left w:val="single" w:color="DDDDDD" w:sz="4"/>
              <w:bottom w:val="single" w:color="DDDDDD" w:sz="4"/>
              <w:right w:val="single" w:color="DDDDDD" w:sz="4"/>
            </w:tcBorders>
            <w:shd w:fill="FFF1F2" w:val="clear"/>
            <w:tcMar>
              <w:top w:type="dxa" w:w="100"/>
              <w:left w:type="dxa" w:w="160"/>
              <w:bottom w:type="dxa" w:w="100"/>
              <w:right w:type="dxa" w:w="160"/>
            </w:tcMar>
          </w:tcPr>
          <w:p>
            <w:r>
              <w:rPr>
                <w:rFonts w:ascii="Arial" w:cs="Arial" w:eastAsia="Arial" w:hAnsi="Arial"/>
                <w:color w:val="991B1B"/>
                <w:sz w:val="20"/>
                <w:szCs w:val="20"/>
              </w:rPr>
              <w:t xml:space="preserve">Data center sites evaluated manually against utility maps</w:t>
            </w:r>
          </w:p>
        </w:tc>
        <w:tc>
          <w:tcPr>
            <w:tcW w:type="dxa" w:w="4680"/>
            <w:tcBorders>
              <w:top w:val="single" w:color="DDDDDD" w:sz="4"/>
              <w:left w:val="single" w:color="DDDDDD" w:sz="4"/>
              <w:bottom w:val="single" w:color="DDDDDD" w:sz="4"/>
              <w:right w:val="single" w:color="DDDDDD" w:sz="4"/>
            </w:tcBorders>
            <w:shd w:fill="F0FDF4" w:val="clear"/>
            <w:tcMar>
              <w:top w:type="dxa" w:w="100"/>
              <w:left w:type="dxa" w:w="160"/>
              <w:bottom w:type="dxa" w:w="100"/>
              <w:right w:type="dxa" w:w="160"/>
            </w:tcMar>
          </w:tcPr>
          <w:p>
            <w:r>
              <w:rPr>
                <w:rFonts w:ascii="Arial" w:cs="Arial" w:eastAsia="Arial" w:hAnsi="Arial"/>
                <w:color w:val="15803D"/>
                <w:sz w:val="20"/>
                <w:szCs w:val="20"/>
              </w:rPr>
              <w:t xml:space="preserve">Automated HIFLD-validated DC scoring in real time</w:t>
            </w:r>
          </w:p>
        </w:tc>
      </w:tr>
      <w:tr>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991B1B"/>
                <w:sz w:val="20"/>
                <w:szCs w:val="20"/>
              </w:rPr>
              <w:t xml:space="preserve">Site candidates found by driving and local knowledge</w:t>
            </w:r>
          </w:p>
        </w:tc>
        <w:tc>
          <w:tcPr>
            <w:tcW w:type="dxa" w:w="468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color w:val="15803D"/>
                <w:sz w:val="20"/>
                <w:szCs w:val="20"/>
              </w:rPr>
              <w:t xml:space="preserve">Site Scout finds SE corridor candidates from one query</w:t>
            </w:r>
          </w:p>
        </w:tc>
      </w:tr>
      <w:tr>
        <w:tc>
          <w:tcPr>
            <w:tcW w:type="dxa" w:w="4680"/>
            <w:tcBorders>
              <w:top w:val="single" w:color="DDDDDD" w:sz="4"/>
              <w:left w:val="single" w:color="DDDDDD" w:sz="4"/>
              <w:bottom w:val="single" w:color="DDDDDD" w:sz="4"/>
              <w:right w:val="single" w:color="DDDDDD" w:sz="4"/>
            </w:tcBorders>
            <w:shd w:fill="FFF1F2" w:val="clear"/>
            <w:tcMar>
              <w:top w:type="dxa" w:w="100"/>
              <w:left w:type="dxa" w:w="160"/>
              <w:bottom w:type="dxa" w:w="100"/>
              <w:right w:type="dxa" w:w="160"/>
            </w:tcMar>
          </w:tcPr>
          <w:p>
            <w:r>
              <w:rPr>
                <w:rFonts w:ascii="Arial" w:cs="Arial" w:eastAsia="Arial" w:hAnsi="Arial"/>
                <w:color w:val="991B1B"/>
                <w:sz w:val="20"/>
                <w:szCs w:val="20"/>
              </w:rPr>
              <w:t xml:space="preserve">Investment committee memo written manually</w:t>
            </w:r>
          </w:p>
        </w:tc>
        <w:tc>
          <w:tcPr>
            <w:tcW w:type="dxa" w:w="4680"/>
            <w:tcBorders>
              <w:top w:val="single" w:color="DDDDDD" w:sz="4"/>
              <w:left w:val="single" w:color="DDDDDD" w:sz="4"/>
              <w:bottom w:val="single" w:color="DDDDDD" w:sz="4"/>
              <w:right w:val="single" w:color="DDDDDD" w:sz="4"/>
            </w:tcBorders>
            <w:shd w:fill="F0FDF4" w:val="clear"/>
            <w:tcMar>
              <w:top w:type="dxa" w:w="100"/>
              <w:left w:type="dxa" w:w="160"/>
              <w:bottom w:type="dxa" w:w="100"/>
              <w:right w:type="dxa" w:w="160"/>
            </w:tcMar>
          </w:tcPr>
          <w:p>
            <w:r>
              <w:rPr>
                <w:rFonts w:ascii="Arial" w:cs="Arial" w:eastAsia="Arial" w:hAnsi="Arial"/>
                <w:color w:val="15803D"/>
                <w:sz w:val="20"/>
                <w:szCs w:val="20"/>
              </w:rPr>
              <w:t xml:space="preserve">AI brief generated in one click with comps and scoring</w:t>
            </w:r>
          </w:p>
        </w:tc>
      </w:tr>
    </w:tbl>
    <w:p>
      <w:pPr>
        <w:spacing w:before="0" w:after="240"/>
      </w:pPr>
    </w:p>
    <w:p>
      <w:pPr>
        <w:pStyle w:val="Heading2"/>
        <w:spacing w:before="280" w:after="80"/>
      </w:pPr>
      <w:r>
        <w:rPr>
          <w:rFonts w:ascii="Arial" w:cs="Arial" w:eastAsia="Arial" w:hAnsi="Arial"/>
          <w:b/>
          <w:bCs/>
          <w:color w:val="111111"/>
          <w:sz w:val="26"/>
          <w:szCs w:val="26"/>
        </w:rPr>
        <w:t xml:space="preserve">The Moat — Why This Is Hard to Copy</w:t>
      </w:r>
    </w:p>
    <w:p>
      <w:pPr>
        <w:spacing w:before="0" w:after="100"/>
        <w:ind w:left="0"/>
      </w:pPr>
      <w:r>
        <w:rPr>
          <w:rFonts w:ascii="Arial" w:cs="Arial" w:eastAsia="Arial" w:hAnsi="Arial"/>
          <w:color w:val="2D2D2D"/>
          <w:sz w:val="22"/>
          <w:szCs w:val="22"/>
        </w:rPr>
        <w:t xml:space="preserve">The features built in Phases 1-3 are compelling but not permanently defensible on their own — a well-funded competitor could replicate the map, the scoring, even the AI chat given enough time. The moat is built in Phase 4, and it requires Phase 1-3 to be in active use first.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8"/>
              <w:left w:val="single" w:color="7C3AED" w:sz="24"/>
              <w:bottom w:val="single" w:color="7C3AED" w:sz="8"/>
              <w:right w:val="single" w:color="7C3AED" w:sz="4"/>
            </w:tcBorders>
            <w:shd w:fill="F5F3FF" w:val="clear"/>
            <w:tcMar>
              <w:top w:type="dxa" w:w="120"/>
              <w:left w:type="dxa" w:w="200"/>
              <w:bottom w:type="dxa" w:w="120"/>
              <w:right w:type="dxa" w:w="200"/>
            </w:tcMar>
          </w:tcPr>
          <w:p>
            <w:pPr>
              <w:spacing w:before="0" w:after="60"/>
            </w:pPr>
            <w:r>
              <w:rPr>
                <w:rFonts w:ascii="Arial" w:cs="Arial" w:eastAsia="Arial" w:hAnsi="Arial"/>
                <w:b/>
                <w:bCs/>
                <w:color w:val="7C3AED"/>
                <w:sz w:val="24"/>
                <w:szCs w:val="24"/>
              </w:rPr>
              <w:t xml:space="preserve">The Proprietary Intelligence Layer</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val="false"/>
                <w:bCs w:val="false"/>
                <w:color w:val="2D2D2D"/>
                <w:sz w:val="22"/>
                <w:szCs w:val="22"/>
              </w:rPr>
              <w:t xml:space="preserve">Phase 4 ingests DeThomas's 20+ years of deal history — proformas, LOIs, site selection memos, due diligence reports — and embeds it into a queryable knowledge base using vector search. When a parcel is evaluated, the system asks: "Have we looked at anything like this before? What did we learn?"</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bCs/>
                <w:color w:val="7C3AED"/>
                <w:sz w:val="21"/>
                <w:szCs w:val="21"/>
              </w:rPr>
              <w:t xml:space="preserve">"In 2019, DeThomas evaluated a 2.3-acre C-2 site on Buford Highway with similar conditions. The deal passed due to traffic count issues — ADT was under 28K. This site shows 41K ADT, which addresses that concern. The 2019 proforma used a $1.8M land cost assumption for comparable acreage."</w:t>
            </w:r>
          </w:p>
          <w:p>
            <w:pPr>
              <w:spacing w:before="0" w:after="60"/>
            </w:pPr>
            <w:r>
              <w:rPr>
                <w:rFonts w:ascii="Arial" w:cs="Arial" w:eastAsia="Arial" w:hAnsi="Arial"/>
                <w:b w:val="false"/>
                <w:bCs w:val="false"/>
                <w:color w:val="2D2D2D"/>
                <w:sz w:val="10"/>
                <w:szCs w:val="10"/>
              </w:rPr>
              <w:t xml:space="preserve"/>
            </w:r>
          </w:p>
          <w:p>
            <w:pPr>
              <w:spacing w:before="0" w:after="60"/>
            </w:pPr>
            <w:r>
              <w:rPr>
                <w:rFonts w:ascii="Arial" w:cs="Arial" w:eastAsia="Arial" w:hAnsi="Arial"/>
                <w:b w:val="false"/>
                <w:bCs w:val="false"/>
                <w:color w:val="2D2D2D"/>
                <w:sz w:val="22"/>
                <w:szCs w:val="22"/>
              </w:rPr>
              <w:t xml:space="preserve">No competitor can replicate this. The institutional knowledge is yours. The switching cost becomes enormous, and the value of the platform compounds with every deal added.</w:t>
            </w:r>
          </w:p>
        </w:tc>
      </w:tr>
    </w:tbl>
    <w:p>
      <w:pPr>
        <w:spacing w:before="0" w:after="240"/>
      </w:pPr>
    </w:p>
    <w:p>
      <w:pPr>
        <w:pStyle w:val="Heading2"/>
        <w:spacing w:before="280" w:after="80"/>
      </w:pPr>
      <w:r>
        <w:rPr>
          <w:rFonts w:ascii="Arial" w:cs="Arial" w:eastAsia="Arial" w:hAnsi="Arial"/>
          <w:b/>
          <w:bCs/>
          <w:color w:val="111111"/>
          <w:sz w:val="26"/>
          <w:szCs w:val="26"/>
        </w:rPr>
        <w:t xml:space="preserve">Phase Roadmap &amp; Investment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160"/>
        <w:gridCol w:w="3200"/>
      </w:tblGrid>
      <w:tr>
        <w:tc>
          <w:tcPr>
            <w:tcW w:type="dxa" w:w="1400"/>
            <w:tcBorders>
              <w:top w:val="single" w:color="2D2D2D" w:sz="6"/>
              <w:left w:val="single" w:color="2D2D2D" w:sz="6"/>
              <w:bottom w:val="single" w:color="2D2D2D" w:sz="6"/>
              <w:right w:val="single" w:color="2D2D2D" w:sz="6"/>
            </w:tcBorders>
            <w:shd w:fill="2D2D2D"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2600"/>
            <w:tcBorders>
              <w:top w:val="single" w:color="2D2D2D" w:sz="6"/>
              <w:left w:val="single" w:color="2D2D2D" w:sz="6"/>
              <w:bottom w:val="single" w:color="2D2D2D" w:sz="6"/>
              <w:right w:val="single" w:color="2D2D2D" w:sz="6"/>
            </w:tcBorders>
            <w:shd w:fill="2D2D2D" w:val="clear"/>
            <w:tcMar>
              <w:top w:type="dxa" w:w="100"/>
              <w:left w:type="dxa" w:w="160"/>
              <w:bottom w:type="dxa" w:w="100"/>
              <w:right w:type="dxa" w:w="160"/>
            </w:tcMar>
          </w:tcPr>
          <w:p>
            <w:r>
              <w:rPr>
                <w:rFonts w:ascii="Arial" w:cs="Arial" w:eastAsia="Arial" w:hAnsi="Arial"/>
                <w:b/>
                <w:bCs/>
                <w:color w:val="FFFFFF"/>
                <w:sz w:val="20"/>
                <w:szCs w:val="20"/>
              </w:rPr>
              <w:t xml:space="preserve">Milestone</w:t>
            </w:r>
          </w:p>
        </w:tc>
        <w:tc>
          <w:tcPr>
            <w:tcW w:type="dxa" w:w="2160"/>
            <w:tcBorders>
              <w:top w:val="single" w:color="2D2D2D" w:sz="6"/>
              <w:left w:val="single" w:color="2D2D2D" w:sz="6"/>
              <w:bottom w:val="single" w:color="2D2D2D" w:sz="6"/>
              <w:right w:val="single" w:color="2D2D2D" w:sz="6"/>
            </w:tcBorders>
            <w:shd w:fill="2D2D2D" w:val="clear"/>
            <w:tcMar>
              <w:top w:type="dxa" w:w="100"/>
              <w:left w:type="dxa" w:w="160"/>
              <w:bottom w:type="dxa" w:w="100"/>
              <w:right w:type="dxa" w:w="160"/>
            </w:tcMar>
          </w:tcPr>
          <w:p>
            <w:r>
              <w:rPr>
                <w:rFonts w:ascii="Arial" w:cs="Arial" w:eastAsia="Arial" w:hAnsi="Arial"/>
                <w:b/>
                <w:bCs/>
                <w:color w:val="FFFFFF"/>
                <w:sz w:val="20"/>
                <w:szCs w:val="20"/>
              </w:rPr>
              <w:t xml:space="preserve">Timeline</w:t>
            </w:r>
          </w:p>
        </w:tc>
        <w:tc>
          <w:tcPr>
            <w:tcW w:type="dxa" w:w="3200"/>
            <w:tcBorders>
              <w:top w:val="single" w:color="2D2D2D" w:sz="6"/>
              <w:left w:val="single" w:color="2D2D2D" w:sz="6"/>
              <w:bottom w:val="single" w:color="2D2D2D" w:sz="6"/>
              <w:right w:val="single" w:color="2D2D2D" w:sz="6"/>
            </w:tcBorders>
            <w:shd w:fill="2D2D2D" w:val="clear"/>
            <w:tcMar>
              <w:top w:type="dxa" w:w="100"/>
              <w:left w:type="dxa" w:w="160"/>
              <w:bottom w:type="dxa" w:w="100"/>
              <w:right w:type="dxa" w:w="160"/>
            </w:tcMar>
          </w:tcPr>
          <w:p>
            <w:r>
              <w:rPr>
                <w:rFonts w:ascii="Arial" w:cs="Arial" w:eastAsia="Arial" w:hAnsi="Arial"/>
                <w:b/>
                <w:bCs/>
                <w:color w:val="FFFFFF"/>
                <w:sz w:val="20"/>
                <w:szCs w:val="20"/>
              </w:rPr>
              <w:t xml:space="preserve">Investment Trigger</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555555"/>
                <w:sz w:val="19"/>
                <w:szCs w:val="19"/>
              </w:rPr>
              <w:t xml:space="preserve">Phase 1-3</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Platform live — map, AI, DC mode, Site Scout</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Complete</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0D9488"/>
                <w:sz w:val="19"/>
                <w:szCs w:val="19"/>
              </w:rPr>
              <w:t xml:space="preserve">Demo this document</w:t>
            </w:r>
          </w:p>
        </w:tc>
      </w:tr>
      <w:tr>
        <w:tc>
          <w:tcPr>
            <w:tcW w:type="dxa" w:w="14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555555"/>
                <w:sz w:val="19"/>
                <w:szCs w:val="19"/>
              </w:rPr>
              <w:t xml:space="preserve">Deploy</w: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555555"/>
                <w:sz w:val="19"/>
                <w:szCs w:val="19"/>
              </w:rPr>
              <w:t xml:space="preserve">Supabase auth + production deployment to Vercel</w:t>
            </w:r>
          </w:p>
        </w:tc>
        <w:tc>
          <w:tcPr>
            <w:tcW w:type="dxa" w:w="21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555555"/>
                <w:sz w:val="19"/>
                <w:szCs w:val="19"/>
              </w:rPr>
              <w:t xml:space="preserve">2-3 weeks</w:t>
            </w:r>
          </w:p>
        </w:tc>
        <w:tc>
          <w:tcPr>
            <w:tcW w:type="dxa" w:w="32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0D9488"/>
                <w:sz w:val="19"/>
                <w:szCs w:val="19"/>
              </w:rPr>
              <w:t xml:space="preserve">Team access begins</w:t>
            </w:r>
          </w:p>
        </w:tc>
      </w:tr>
      <w:tr>
        <w:tc>
          <w:tcPr>
            <w:tcW w:type="dxa" w:w="14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bCs/>
                <w:color w:val="555555"/>
                <w:sz w:val="19"/>
                <w:szCs w:val="19"/>
              </w:rPr>
              <w:t xml:space="preserve">Expand</w:t>
            </w:r>
          </w:p>
        </w:tc>
        <w:tc>
          <w:tcPr>
            <w:tcW w:type="dxa" w:w="2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Add Hall, Cherokee, Forsyth counties + export PDF</w:t>
            </w:r>
          </w:p>
        </w:tc>
        <w:tc>
          <w:tcPr>
            <w:tcW w:type="dxa" w:w="21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555555"/>
                <w:sz w:val="19"/>
                <w:szCs w:val="19"/>
              </w:rPr>
              <w:t xml:space="preserve">4-6 weeks</w:t>
            </w:r>
          </w:p>
        </w:tc>
        <w:tc>
          <w:tcPr>
            <w:tcW w:type="dxa" w:w="32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tcPr>
          <w:p>
            <w:r>
              <w:rPr>
                <w:rFonts w:ascii="Arial" w:cs="Arial" w:eastAsia="Arial" w:hAnsi="Arial"/>
                <w:b w:val="false"/>
                <w:bCs w:val="false"/>
                <w:color w:val="0D9488"/>
                <w:sz w:val="19"/>
                <w:szCs w:val="19"/>
              </w:rPr>
              <w:t xml:space="preserve">Active daily usage</w:t>
            </w:r>
          </w:p>
        </w:tc>
      </w:tr>
      <w:tr>
        <w:tc>
          <w:tcPr>
            <w:tcW w:type="dxa" w:w="14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bCs/>
                <w:color w:val="555555"/>
                <w:sz w:val="19"/>
                <w:szCs w:val="19"/>
              </w:rPr>
              <w:t xml:space="preserve">Phase 4</w:t>
            </w:r>
          </w:p>
        </w:tc>
        <w:tc>
          <w:tcPr>
            <w:tcW w:type="dxa" w:w="2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555555"/>
                <w:sz w:val="19"/>
                <w:szCs w:val="19"/>
              </w:rPr>
              <w:t xml:space="preserve">Deal history ingestion + proprietary ML model</w:t>
            </w:r>
          </w:p>
        </w:tc>
        <w:tc>
          <w:tcPr>
            <w:tcW w:type="dxa" w:w="21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555555"/>
                <w:sz w:val="19"/>
                <w:szCs w:val="19"/>
              </w:rPr>
              <w:t xml:space="preserve">12-16 weeks</w:t>
            </w:r>
          </w:p>
        </w:tc>
        <w:tc>
          <w:tcPr>
            <w:tcW w:type="dxa" w:w="32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tcPr>
          <w:p>
            <w:r>
              <w:rPr>
                <w:rFonts w:ascii="Arial" w:cs="Arial" w:eastAsia="Arial" w:hAnsi="Arial"/>
                <w:b w:val="false"/>
                <w:bCs w:val="false"/>
                <w:color w:val="0D9488"/>
                <w:sz w:val="19"/>
                <w:szCs w:val="19"/>
              </w:rPr>
              <w:t xml:space="preserve">After 6mo of active use</w:t>
            </w:r>
          </w:p>
        </w:tc>
      </w:tr>
    </w:tbl>
    <w:p>
      <w:pPr>
        <w:spacing w:before="0" w:after="240"/>
      </w:pPr>
    </w:p>
    <w:p>
      <w:r>
        <w:br w:type="page"/>
      </w:r>
    </w:p>
    <w:p>
      <w:pPr>
        <w:pStyle w:val="Heading1"/>
        <w:spacing w:before="360" w:after="120"/>
      </w:pPr>
      <w:r>
        <w:rPr>
          <w:rFonts w:ascii="Arial" w:cs="Arial" w:eastAsia="Arial" w:hAnsi="Arial"/>
          <w:b/>
          <w:bCs/>
          <w:color w:val="111111"/>
          <w:sz w:val="32"/>
          <w:szCs w:val="32"/>
        </w:rPr>
        <w:t xml:space="preserve">06. Technical Architecture</w:t>
      </w:r>
    </w:p>
    <w:p>
      <w:pPr>
        <w:pBdr>
          <w:bottom w:val="single" w:color="0D9488" w:sz="6" w:space="1"/>
        </w:pBdr>
        <w:spacing w:before="80" w:after="80"/>
      </w:pPr>
    </w:p>
    <w:p>
      <w:pPr>
        <w:spacing w:before="0" w:after="160"/>
      </w:pPr>
    </w:p>
    <w:p>
      <w:pPr>
        <w:spacing w:before="0" w:after="100"/>
        <w:ind w:left="0"/>
      </w:pPr>
      <w:r>
        <w:rPr>
          <w:rFonts w:ascii="Arial" w:cs="Arial" w:eastAsia="Arial" w:hAnsi="Arial"/>
          <w:color w:val="2D2D2D"/>
          <w:sz w:val="22"/>
          <w:szCs w:val="22"/>
        </w:rPr>
        <w:t xml:space="preserve">This section is intended for technical stakeholders or for due diligence review. It documents the stack, data sources, AI model usage, and deployment configuration.</w:t>
      </w:r>
    </w:p>
    <w:p>
      <w:pPr>
        <w:spacing w:before="0" w:after="200"/>
      </w:pPr>
    </w:p>
    <w:p>
      <w:pPr>
        <w:pStyle w:val="Heading2"/>
        <w:spacing w:before="280" w:after="80"/>
      </w:pPr>
      <w:r>
        <w:rPr>
          <w:rFonts w:ascii="Arial" w:cs="Arial" w:eastAsia="Arial" w:hAnsi="Arial"/>
          <w:b/>
          <w:bCs/>
          <w:color w:val="111111"/>
          <w:sz w:val="26"/>
          <w:szCs w:val="26"/>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576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Implementation</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Frontend</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Next.js 16 (App Router, Turbopack). React 19. TypeScript throughout. Tailwind CSS 4 — dark-mode-only design system with custom CSS variables.</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Map</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Mapbox GL JS via react-map-gl/mapbox. Parcel polygons, zoning overlays, infrastructure layers, Scout bbox overlays, and ranked result pins all rendered as native Mapbox layers inside a single Map context.</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State</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Zustand with persist middleware. Single store for all UI state — parcel selection, layer toggles, viewport, DC scoring state, Scout session, comparison tray. Individual selectors prevent re-render cascades.</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Backend</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Next.js API routes (serverless). All data fetching, AI calls, and HIFLD proxy requests run server-side to keep API keys off the client.</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Database</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Supabase (PostgreSQL + PostGIS). Tables: parcels, saved_parcels, collections. Schema ready with RLS policies. Currently using in-memory stores in dev — production migration is the next deployment step.</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AI</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Anthropic Claude API. claude-haiku-4-5 for intent parsing and quick scoring tasks. claude-sonnet-4-5 for geographic reasoning, zoning analysis, brief generation, and comparison narratives. All responses stream via SSE or ReadableStream.</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Infrastructure Data</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HIFLD (Homeland Infrastructure Foundation-Level Data) — free federal ArcGIS FeatureServers for substations and transmission lines. Gwinnett County ArcGIS for parcels, zoning, and tax records.</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Deployment Target</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Vercel (frontend + API routes). Supabase cloud (database). No custom server infrastructure required.</w:t>
            </w:r>
          </w:p>
        </w:tc>
      </w:tr>
    </w:tbl>
    <w:p>
      <w:pPr>
        <w:spacing w:before="0" w:after="200"/>
      </w:pPr>
    </w:p>
    <w:p>
      <w:pPr>
        <w:pStyle w:val="Heading2"/>
        <w:spacing w:before="280" w:after="80"/>
      </w:pPr>
      <w:r>
        <w:rPr>
          <w:rFonts w:ascii="Arial" w:cs="Arial" w:eastAsia="Arial" w:hAnsi="Arial"/>
          <w:b/>
          <w:bCs/>
          <w:color w:val="111111"/>
          <w:sz w:val="26"/>
          <w:szCs w:val="26"/>
        </w:rPr>
        <w:t xml:space="preserve">API Route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/api/parcels/bbox          → Gwinnett County parcel GeoJSON by viewport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/api/zoning/bbox           → Gwinnett County zoning GeoJSON by viewport</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          → Full property detail from county tax table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/api/parcel/[apn]/score    → Phase 2 AI site score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/api/parcel/[apn]/zoning   → AI zoning summary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POST /api/parcel/[apn]/zoning-chat  → Zoning AI chat turn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/api/parcel/[apn]/comps    → Spatial comparable sales query</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/api/parcel/[apn]/brief    → Investment brief generation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/api/parcel/[apn]/dc-score → DC infrastructure scoring via HIFLD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POST /api/dc-brief/compare      → Multi-site comparison narrative (streams)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POST /api/dc-scout/discover     → Site Scout Tier 1: NL → sub-markets (SSE)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POST /api/dc-scout/area         → Site Scout Tier 2: bbox → parcel scoring (SSE)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/api/search                → County property search (PIN, owner, address)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GET  /api/entity/lookup         → LLC entity resolution</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CRUD /api/saved                 → Saved parcels (Supabase)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CRUD /api/collections           → Collections (Supabase)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200"/>
      </w:pPr>
    </w:p>
    <w:p>
      <w:pPr>
        <w:pStyle w:val="Heading2"/>
        <w:spacing w:before="280" w:after="80"/>
      </w:pPr>
      <w:r>
        <w:rPr>
          <w:rFonts w:ascii="Arial" w:cs="Arial" w:eastAsia="Arial" w:hAnsi="Arial"/>
          <w:b/>
          <w:bCs/>
          <w:color w:val="111111"/>
          <w:sz w:val="26"/>
          <w:szCs w:val="26"/>
        </w:rPr>
        <w:t xml:space="preserve">Environment Variables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0"/>
      </w:tblGrid>
      <w:tr>
        <w:tc>
          <w:tcPr>
            <w:tcW w:type="dxa" w:w="9000"/>
            <w:tcBorders>
              <w:top w:val="none" w:color="FFFFFF" w:sz="0"/>
              <w:left w:val="none" w:color="FFFFFF" w:sz="0"/>
              <w:bottom w:val="none" w:color="FFFFFF" w:sz="0"/>
              <w:right w:val="none" w:color="FFFFFF" w:sz="0"/>
            </w:tcBorders>
            <w:shd w:fill="1E1E2E" w:val="clear"/>
            <w:tcMar>
              <w:top w:type="dxa" w:w="100"/>
              <w:left w:type="dxa" w:w="200"/>
              <w:bottom w:type="dxa" w:w="0"/>
              <w:right w:type="dxa" w:w="200"/>
            </w:tcMar>
          </w:tcP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.env.local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NEXT_PUBLIC_MAPBOX_TOKEN=pk.eyJ...     # Mapbox — map rendering + geocoding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NEXT_PUBLIC_SUPABASE_URL=https://...   # Supabase project URL</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NEXT_PUBLIC_SUPABASE_ANON_KEY=eyJ...  # Supabase anon key (client-safe)</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ANTHROPIC_API_KEY=sk-ant-...           # Claude API — all AI features</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0"/>
              <w:right w:type="dxa" w:w="200"/>
            </w:tcMar>
          </w:tcPr>
          <w:p>
            <w:pPr>
              <w:spacing w:before="0" w:after="0" w:line="240"/>
            </w:pPr>
            <w:r>
              <w:rPr>
                <w:rFonts w:ascii="Courier New" w:cs="Courier New" w:eastAsia="Courier New" w:hAnsi="Courier New"/>
                <w:color w:val="A8D8A8"/>
                <w:sz w:val="17"/>
                <w:szCs w:val="17"/>
              </w:rPr>
              <w:t xml:space="preserve">NEXTAUTH_URL=https://your-domain.com  # Self-call base URL for batch scoring</w:t>
            </w:r>
          </w:p>
        </w:tc>
      </w:tr>
      <w:tr>
        <w:tc>
          <w:tcPr>
            <w:tcW w:type="dxa" w:w="9000"/>
            <w:tcBorders>
              <w:top w:val="none" w:color="FFFFFF" w:sz="0"/>
              <w:left w:val="none" w:color="FFFFFF" w:sz="0"/>
              <w:bottom w:val="none" w:color="FFFFFF" w:sz="0"/>
              <w:right w:val="none" w:color="FFFFFF" w:sz="0"/>
            </w:tcBorders>
            <w:shd w:fill="1E1E2E" w:val="clear"/>
            <w:tcMar>
              <w:top w:type="dxa" w:w="0"/>
              <w:left w:type="dxa" w:w="200"/>
              <w:bottom w:type="dxa" w:w="100"/>
              <w:right w:type="dxa" w:w="200"/>
            </w:tcMar>
          </w:tcPr>
          <w:p/>
        </w:tc>
      </w:tr>
    </w:tbl>
    <w:p>
      <w:pPr>
        <w:spacing w:before="0" w:after="240"/>
      </w:pPr>
    </w:p>
    <w:p>
      <w:pPr>
        <w:pStyle w:val="Heading2"/>
        <w:spacing w:before="280" w:after="80"/>
      </w:pPr>
      <w:r>
        <w:rPr>
          <w:rFonts w:ascii="Arial" w:cs="Arial" w:eastAsia="Arial" w:hAnsi="Arial"/>
          <w:b/>
          <w:bCs/>
          <w:color w:val="111111"/>
          <w:sz w:val="26"/>
          <w:szCs w:val="26"/>
        </w:rPr>
        <w:t xml:space="preserve">AI Model Usage &amp; Estimated API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5760"/>
            <w:tcBorders>
              <w:top w:val="single" w:color="0D9488" w:sz="4"/>
              <w:left w:val="single" w:color="0D9488" w:sz="4"/>
              <w:bottom w:val="single" w:color="0D9488" w:sz="4"/>
              <w:right w:val="single" w:color="0D9488" w:sz="4"/>
            </w:tcBorders>
            <w:shd w:fill="0D9488" w:val="clear"/>
            <w:tcMar>
              <w:top w:type="dxa" w:w="100"/>
              <w:left w:type="dxa" w:w="160"/>
              <w:bottom w:type="dxa" w:w="100"/>
              <w:right w:type="dxa" w:w="160"/>
            </w:tcMar>
          </w:tcPr>
          <w:p>
            <w:r>
              <w:rPr>
                <w:rFonts w:ascii="Arial" w:cs="Arial" w:eastAsia="Arial" w:hAnsi="Arial"/>
                <w:b/>
                <w:bCs/>
                <w:color w:val="FFFFFF"/>
                <w:sz w:val="20"/>
                <w:szCs w:val="20"/>
              </w:rPr>
              <w:t xml:space="preserve">Cost Estimate</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Parcel score (Phase 2)</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Haiku — ~$0.001 per parcel scored</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Zoning analysis</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Sonnet — ~$0.005 per summary</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Zoning chat turn</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Sonnet — ~$0.003 per message</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Investment brief</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Sonnet — ~$0.015 per brief</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DC score narrative</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Sonnet — ~$0.004 per parcel</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Comparison narrative</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Sonnet — ~$0.008 per comparison (up to 4 sites)</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Scout Tier 1 (discovery)</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Haiku + Sonnet — ~$0.02 per query (includes HIFLD validation)</w:t>
            </w:r>
          </w:p>
        </w:tc>
      </w:tr>
      <w:tr>
        <w:tc>
          <w:tcPr>
            <w:tcW w:type="dxa" w:w="360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b/>
                <w:bCs/>
                <w:color w:val="2D2D2D"/>
                <w:sz w:val="20"/>
                <w:szCs w:val="20"/>
              </w:rPr>
              <w:t xml:space="preserve">Scout Tier 2 (area search)</w:t>
            </w:r>
          </w:p>
        </w:tc>
        <w:tc>
          <w:tcPr>
            <w:tcW w:type="dxa" w:w="5760"/>
            <w:tcBorders>
              <w:top w:val="single" w:color="DDDDDD" w:sz="4"/>
              <w:left w:val="single" w:color="DDDDDD" w:sz="4"/>
              <w:bottom w:val="single" w:color="DDDDDD" w:sz="4"/>
              <w:right w:val="single" w:color="DDDDDD" w:sz="4"/>
            </w:tcBorders>
            <w:shd w:fill="F9FAFB" w:val="clear"/>
            <w:tcMar>
              <w:top w:type="dxa" w:w="100"/>
              <w:left w:type="dxa" w:w="160"/>
              <w:bottom w:type="dxa" w:w="100"/>
              <w:right w:type="dxa" w:w="160"/>
            </w:tcMar>
            <w:vAlign w:val="top"/>
          </w:tcPr>
          <w:p>
            <w:r>
              <w:rPr>
                <w:rFonts w:ascii="Arial" w:cs="Arial" w:eastAsia="Arial" w:hAnsi="Arial"/>
                <w:color w:val="555555"/>
                <w:sz w:val="20"/>
                <w:szCs w:val="20"/>
              </w:rPr>
              <w:t xml:space="preserve">Haiku — ~$0.003 per area summary; Sonnet dc-score on top 5</w:t>
            </w:r>
          </w:p>
        </w:tc>
      </w:tr>
      <w:tr>
        <w:tc>
          <w:tcPr>
            <w:tcW w:type="dxa" w:w="360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b/>
                <w:bCs/>
                <w:color w:val="2D2D2D"/>
                <w:sz w:val="20"/>
                <w:szCs w:val="20"/>
              </w:rPr>
              <w:t xml:space="preserve">Estimated monthly (100 active searches)</w:t>
            </w:r>
          </w:p>
        </w:tc>
        <w:tc>
          <w:tcPr>
            <w:tcW w:type="dxa" w:w="5760"/>
            <w:tcBorders>
              <w:top w:val="single" w:color="DDDDDD" w:sz="4"/>
              <w:left w:val="single" w:color="DDDDDD" w:sz="4"/>
              <w:bottom w:val="single" w:color="DDDDDD" w:sz="4"/>
              <w:right w:val="single" w:color="DDDDDD" w:sz="4"/>
            </w:tcBorders>
            <w:shd w:fill="FFFFFF" w:val="clear"/>
            <w:tcMar>
              <w:top w:type="dxa" w:w="100"/>
              <w:left w:type="dxa" w:w="160"/>
              <w:bottom w:type="dxa" w:w="100"/>
              <w:right w:type="dxa" w:w="160"/>
            </w:tcMar>
            <w:vAlign w:val="top"/>
          </w:tcPr>
          <w:p>
            <w:r>
              <w:rPr>
                <w:rFonts w:ascii="Arial" w:cs="Arial" w:eastAsia="Arial" w:hAnsi="Arial"/>
                <w:color w:val="555555"/>
                <w:sz w:val="20"/>
                <w:szCs w:val="20"/>
              </w:rPr>
              <w:t xml:space="preserve">~$15-40 depending on brief and Scout usage volume</w:t>
            </w:r>
          </w:p>
        </w:tc>
      </w:tr>
    </w:tbl>
    <w:p>
      <w:pPr>
        <w:spacing w:before="0" w:after="240"/>
      </w:pPr>
    </w:p>
    <w:p>
      <w:r>
        <w:br w:type="page"/>
      </w:r>
    </w:p>
    <w:p>
      <w:pPr>
        <w:pStyle w:val="Heading1"/>
        <w:spacing w:before="360" w:after="120"/>
      </w:pPr>
      <w:r>
        <w:rPr>
          <w:rFonts w:ascii="Arial" w:cs="Arial" w:eastAsia="Arial" w:hAnsi="Arial"/>
          <w:b/>
          <w:bCs/>
          <w:color w:val="111111"/>
          <w:sz w:val="32"/>
          <w:szCs w:val="32"/>
        </w:rPr>
        <w:t xml:space="preserve">07. Immediate Next Steps</w:t>
      </w:r>
    </w:p>
    <w:p>
      <w:pPr>
        <w:pBdr>
          <w:bottom w:val="single" w:color="0D9488" w:sz="6" w:space="1"/>
        </w:pBdr>
        <w:spacing w:before="80" w:after="80"/>
      </w:pPr>
    </w:p>
    <w:p>
      <w:pPr>
        <w:spacing w:before="0" w:after="160"/>
      </w:pPr>
    </w:p>
    <w:p>
      <w:pPr>
        <w:spacing w:before="0" w:after="100"/>
        <w:ind w:left="0"/>
      </w:pPr>
      <w:r>
        <w:rPr>
          <w:rFonts w:ascii="Arial" w:cs="Arial" w:eastAsia="Arial" w:hAnsi="Arial"/>
          <w:color w:val="2D2D2D"/>
          <w:sz w:val="22"/>
          <w:szCs w:val="22"/>
        </w:rPr>
        <w:t xml:space="preserve">The following steps turn Pocket Developer from a demo into a production tool your team uses every day. They are sequenced by dependency — each one unlocks the next.</w:t>
      </w:r>
    </w:p>
    <w:p>
      <w:pPr>
        <w:spacing w:before="0" w:after="200"/>
      </w:pPr>
    </w:p>
    <w:p>
      <w:pPr>
        <w:pStyle w:val="Heading2"/>
        <w:spacing w:before="280" w:after="80"/>
      </w:pPr>
      <w:r>
        <w:rPr>
          <w:rFonts w:ascii="Arial" w:cs="Arial" w:eastAsia="Arial" w:hAnsi="Arial"/>
          <w:b/>
          <w:bCs/>
          <w:color w:val="111111"/>
          <w:sz w:val="26"/>
          <w:szCs w:val="26"/>
        </w:rPr>
        <w:t xml:space="preserve">Step 1 — Production Deployment (2-3 weeks)</w:t>
      </w:r>
    </w:p>
    <w:p>
      <w:pPr>
        <w:pStyle w:val="ListParagraph"/>
        <w:numPr>
          <w:ilvl w:val="0"/>
          <w:numId w:val="2"/>
        </w:numPr>
        <w:spacing w:before="0" w:after="60"/>
      </w:pPr>
      <w:r>
        <w:rPr>
          <w:rFonts w:ascii="Arial" w:cs="Arial" w:eastAsia="Arial" w:hAnsi="Arial"/>
          <w:b w:val="false"/>
          <w:bCs w:val="false"/>
          <w:color w:val="2D2D2D"/>
          <w:sz w:val="22"/>
          <w:szCs w:val="22"/>
        </w:rPr>
        <w:t xml:space="preserve">Connect Supabase Auth — email magic link or Google OAuth. This creates real user accounts and separates your saved parcels from the dev placeholder.</w:t>
      </w:r>
    </w:p>
    <w:p>
      <w:pPr>
        <w:pStyle w:val="ListParagraph"/>
        <w:numPr>
          <w:ilvl w:val="0"/>
          <w:numId w:val="2"/>
        </w:numPr>
        <w:spacing w:before="0" w:after="60"/>
      </w:pPr>
      <w:r>
        <w:rPr>
          <w:rFonts w:ascii="Arial" w:cs="Arial" w:eastAsia="Arial" w:hAnsi="Arial"/>
          <w:b w:val="false"/>
          <w:bCs w:val="false"/>
          <w:color w:val="2D2D2D"/>
          <w:sz w:val="22"/>
          <w:szCs w:val="22"/>
        </w:rPr>
        <w:t xml:space="preserve">Wire live Supabase queries into the saved parcels and collections API routes (currently using in-memory stores that reset on server restart).</w:t>
      </w:r>
    </w:p>
    <w:p>
      <w:pPr>
        <w:pStyle w:val="ListParagraph"/>
        <w:numPr>
          <w:ilvl w:val="0"/>
          <w:numId w:val="2"/>
        </w:numPr>
        <w:spacing w:before="0" w:after="60"/>
      </w:pPr>
      <w:r>
        <w:rPr>
          <w:rFonts w:ascii="Arial" w:cs="Arial" w:eastAsia="Arial" w:hAnsi="Arial"/>
          <w:b w:val="false"/>
          <w:bCs w:val="false"/>
          <w:color w:val="2D2D2D"/>
          <w:sz w:val="22"/>
          <w:szCs w:val="22"/>
        </w:rPr>
        <w:t xml:space="preserve">Deploy to Vercel. Set environment variables. Configure Supabase RLS policies for the production org.</w:t>
      </w:r>
    </w:p>
    <w:p>
      <w:pPr>
        <w:pStyle w:val="ListParagraph"/>
        <w:numPr>
          <w:ilvl w:val="0"/>
          <w:numId w:val="2"/>
        </w:numPr>
        <w:spacing w:before="0" w:after="60"/>
      </w:pPr>
      <w:r>
        <w:rPr>
          <w:rFonts w:ascii="Arial" w:cs="Arial" w:eastAsia="Arial" w:hAnsi="Arial"/>
          <w:b w:val="false"/>
          <w:bCs w:val="false"/>
          <w:color w:val="2D2D2D"/>
          <w:sz w:val="22"/>
          <w:szCs w:val="22"/>
        </w:rPr>
        <w:t xml:space="preserve">Set a custom domain and distribute access credentials to the DeThomas team.</w:t>
      </w:r>
    </w:p>
    <w:p>
      <w:pPr>
        <w:spacing w:before="0" w:after="160"/>
      </w:pPr>
    </w:p>
    <w:p>
      <w:pPr>
        <w:pStyle w:val="Heading2"/>
        <w:spacing w:before="280" w:after="80"/>
      </w:pPr>
      <w:r>
        <w:rPr>
          <w:rFonts w:ascii="Arial" w:cs="Arial" w:eastAsia="Arial" w:hAnsi="Arial"/>
          <w:b/>
          <w:bCs/>
          <w:color w:val="111111"/>
          <w:sz w:val="26"/>
          <w:szCs w:val="26"/>
        </w:rPr>
        <w:t xml:space="preserve">Step 2 — Geographic Expansion (4-6 weeks)</w:t>
      </w:r>
    </w:p>
    <w:p>
      <w:pPr>
        <w:pStyle w:val="ListParagraph"/>
        <w:numPr>
          <w:ilvl w:val="0"/>
          <w:numId w:val="2"/>
        </w:numPr>
        <w:spacing w:before="0" w:after="60"/>
      </w:pPr>
      <w:r>
        <w:rPr>
          <w:rFonts w:ascii="Arial" w:cs="Arial" w:eastAsia="Arial" w:hAnsi="Arial"/>
          <w:b w:val="false"/>
          <w:bCs w:val="false"/>
          <w:color w:val="2D2D2D"/>
          <w:sz w:val="22"/>
          <w:szCs w:val="22"/>
        </w:rPr>
        <w:t xml:space="preserve">Add Hall, Cherokee, Forsyth, and Barrow counties — all use the same Georgia ArcGIS endpoint pattern as Gwinnett. Primarily a data configuration and testing effort.</w:t>
      </w:r>
    </w:p>
    <w:p>
      <w:pPr>
        <w:pStyle w:val="ListParagraph"/>
        <w:numPr>
          <w:ilvl w:val="0"/>
          <w:numId w:val="2"/>
        </w:numPr>
        <w:spacing w:before="0" w:after="60"/>
      </w:pPr>
      <w:r>
        <w:rPr>
          <w:rFonts w:ascii="Arial" w:cs="Arial" w:eastAsia="Arial" w:hAnsi="Arial"/>
          <w:b w:val="false"/>
          <w:bCs w:val="false"/>
          <w:color w:val="2D2D2D"/>
          <w:sz w:val="22"/>
          <w:szCs w:val="22"/>
        </w:rPr>
        <w:t xml:space="preserve">Add Fulton County (Atlanta proper) — different ArcGIS schema requires a field mapping update but opens the core Atlanta market.</w:t>
      </w:r>
    </w:p>
    <w:p>
      <w:pPr>
        <w:pStyle w:val="ListParagraph"/>
        <w:numPr>
          <w:ilvl w:val="0"/>
          <w:numId w:val="2"/>
        </w:numPr>
        <w:spacing w:before="0" w:after="60"/>
      </w:pPr>
      <w:r>
        <w:rPr>
          <w:rFonts w:ascii="Arial" w:cs="Arial" w:eastAsia="Arial" w:hAnsi="Arial"/>
          <w:b w:val="false"/>
          <w:bCs w:val="false"/>
          <w:color w:val="2D2D2D"/>
          <w:sz w:val="22"/>
          <w:szCs w:val="22"/>
        </w:rPr>
        <w:t xml:space="preserve">Site Scout Tier 2 currently targets Gwinnett ArcGIS for parcel fetches. Update to query the correct county endpoint based on the bounding box.</w:t>
      </w:r>
    </w:p>
    <w:p>
      <w:pPr>
        <w:spacing w:before="0" w:after="160"/>
      </w:pPr>
    </w:p>
    <w:p>
      <w:pPr>
        <w:pStyle w:val="Heading2"/>
        <w:spacing w:before="280" w:after="80"/>
      </w:pPr>
      <w:r>
        <w:rPr>
          <w:rFonts w:ascii="Arial" w:cs="Arial" w:eastAsia="Arial" w:hAnsi="Arial"/>
          <w:b/>
          <w:bCs/>
          <w:color w:val="111111"/>
          <w:sz w:val="26"/>
          <w:szCs w:val="26"/>
        </w:rPr>
        <w:t xml:space="preserve">Step 3 — Export &amp; Sharing (2-3 weeks)</w:t>
      </w:r>
    </w:p>
    <w:p>
      <w:pPr>
        <w:pStyle w:val="ListParagraph"/>
        <w:numPr>
          <w:ilvl w:val="0"/>
          <w:numId w:val="2"/>
        </w:numPr>
        <w:spacing w:before="0" w:after="60"/>
      </w:pPr>
      <w:r>
        <w:rPr>
          <w:rFonts w:ascii="Arial" w:cs="Arial" w:eastAsia="Arial" w:hAnsi="Arial"/>
          <w:b w:val="false"/>
          <w:bCs w:val="false"/>
          <w:color w:val="2D2D2D"/>
          <w:sz w:val="22"/>
          <w:szCs w:val="22"/>
        </w:rPr>
        <w:t xml:space="preserve">PDF export for the investment brief and DC comparison report — the two AI outputs that circulate outside the platform.</w:t>
      </w:r>
    </w:p>
    <w:p>
      <w:pPr>
        <w:pStyle w:val="ListParagraph"/>
        <w:numPr>
          <w:ilvl w:val="0"/>
          <w:numId w:val="2"/>
        </w:numPr>
        <w:spacing w:before="0" w:after="60"/>
      </w:pPr>
      <w:r>
        <w:rPr>
          <w:rFonts w:ascii="Arial" w:cs="Arial" w:eastAsia="Arial" w:hAnsi="Arial"/>
          <w:b w:val="false"/>
          <w:bCs w:val="false"/>
          <w:color w:val="2D2D2D"/>
          <w:sz w:val="22"/>
          <w:szCs w:val="22"/>
        </w:rPr>
        <w:t xml:space="preserve">Shareable brief links hosted at /brief/:id with org-gated access — lets DeThomas send a link to their investment committee without platform login.</w:t>
      </w:r>
    </w:p>
    <w:p>
      <w:pPr>
        <w:spacing w:before="0" w:after="160"/>
      </w:pPr>
    </w:p>
    <w:p>
      <w:pPr>
        <w:pStyle w:val="Heading2"/>
        <w:spacing w:before="280" w:after="80"/>
      </w:pPr>
      <w:r>
        <w:rPr>
          <w:rFonts w:ascii="Arial" w:cs="Arial" w:eastAsia="Arial" w:hAnsi="Arial"/>
          <w:b/>
          <w:bCs/>
          <w:color w:val="111111"/>
          <w:sz w:val="26"/>
          <w:szCs w:val="26"/>
        </w:rPr>
        <w:t xml:space="preserve">Step 4 — Phase 4 Scoping (after 6 months of active use)</w:t>
      </w:r>
    </w:p>
    <w:p>
      <w:pPr>
        <w:pStyle w:val="ListParagraph"/>
        <w:numPr>
          <w:ilvl w:val="0"/>
          <w:numId w:val="2"/>
        </w:numPr>
        <w:spacing w:before="0" w:after="60"/>
      </w:pPr>
      <w:r>
        <w:rPr>
          <w:rFonts w:ascii="Arial" w:cs="Arial" w:eastAsia="Arial" w:hAnsi="Arial"/>
          <w:b w:val="false"/>
          <w:bCs w:val="false"/>
          <w:color w:val="2D2D2D"/>
          <w:sz w:val="22"/>
          <w:szCs w:val="22"/>
        </w:rPr>
        <w:t xml:space="preserve">Deal history ingestion pipeline: ingest DeThomas PDF deal docs → chunk → embed → pgvector store.</w:t>
      </w:r>
    </w:p>
    <w:p>
      <w:pPr>
        <w:pStyle w:val="ListParagraph"/>
        <w:numPr>
          <w:ilvl w:val="0"/>
          <w:numId w:val="2"/>
        </w:numPr>
        <w:spacing w:before="0" w:after="60"/>
      </w:pPr>
      <w:r>
        <w:rPr>
          <w:rFonts w:ascii="Arial" w:cs="Arial" w:eastAsia="Arial" w:hAnsi="Arial"/>
          <w:b w:val="false"/>
          <w:bCs w:val="false"/>
          <w:color w:val="2D2D2D"/>
          <w:sz w:val="22"/>
          <w:szCs w:val="22"/>
        </w:rPr>
        <w:t xml:space="preserve">RAG retrieval: when a parcel is viewed, surface the most relevant historical deal context from DeThomas's own archive.</w:t>
      </w:r>
    </w:p>
    <w:p>
      <w:pPr>
        <w:pStyle w:val="ListParagraph"/>
        <w:numPr>
          <w:ilvl w:val="0"/>
          <w:numId w:val="2"/>
        </w:numPr>
        <w:spacing w:before="0" w:after="60"/>
      </w:pPr>
      <w:r>
        <w:rPr>
          <w:rFonts w:ascii="Arial" w:cs="Arial" w:eastAsia="Arial" w:hAnsi="Arial"/>
          <w:b w:val="false"/>
          <w:bCs w:val="false"/>
          <w:color w:val="2D2D2D"/>
          <w:sz w:val="22"/>
          <w:szCs w:val="22"/>
        </w:rPr>
        <w:t xml:space="preserve">Proprietary ML scoring: train a deal-outcome prediction model on DeThomas's labeled history.</w:t>
      </w:r>
    </w:p>
    <w:p>
      <w:pPr>
        <w:pStyle w:val="ListParagraph"/>
        <w:numPr>
          <w:ilvl w:val="0"/>
          <w:numId w:val="2"/>
        </w:numPr>
        <w:spacing w:before="0" w:after="60"/>
      </w:pPr>
      <w:r>
        <w:rPr>
          <w:rFonts w:ascii="Arial" w:cs="Arial" w:eastAsia="Arial" w:hAnsi="Arial"/>
          <w:b w:val="false"/>
          <w:bCs w:val="false"/>
          <w:color w:val="2D2D2D"/>
          <w:sz w:val="22"/>
          <w:szCs w:val="22"/>
        </w:rPr>
        <w:t xml:space="preserve">White-label deployment and multi-tenant architecture for expanding to additional CRE clients.</w:t>
      </w:r>
    </w:p>
    <w:p>
      <w:pPr>
        <w:spacing w:before="0" w:after="320"/>
      </w:pPr>
    </w:p>
    <w:p>
      <w:pPr>
        <w:pBdr>
          <w:bottom w:val="single" w:color="DDDDDD" w:sz="6" w:space="1"/>
        </w:pBdr>
        <w:spacing w:before="80" w:after="80"/>
      </w:pPr>
    </w:p>
    <w:p>
      <w:pPr>
        <w:spacing w:before="0" w:after="160"/>
      </w:pPr>
    </w:p>
    <w:p>
      <w:pPr>
        <w:spacing w:before="0" w:after="80"/>
        <w:jc w:val="center"/>
      </w:pPr>
      <w:r>
        <w:rPr>
          <w:rFonts w:ascii="Arial" w:cs="Arial" w:eastAsia="Arial" w:hAnsi="Arial"/>
          <w:b/>
          <w:bCs/>
          <w:color w:val="111111"/>
          <w:sz w:val="26"/>
          <w:szCs w:val="26"/>
        </w:rPr>
        <w:t xml:space="preserve">Pocket Developer is live and ready for your team.</w:t>
      </w:r>
    </w:p>
    <w:p>
      <w:pPr>
        <w:spacing w:before="0" w:after="240"/>
        <w:jc w:val="center"/>
      </w:pPr>
      <w:r>
        <w:rPr>
          <w:rFonts w:ascii="Arial" w:cs="Arial" w:eastAsia="Arial" w:hAnsi="Arial"/>
          <w:color w:val="555555"/>
          <w:sz w:val="22"/>
          <w:szCs w:val="22"/>
        </w:rPr>
        <w:t xml:space="preserve">The next step is scheduling the live demo and beginning the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9488" w:sz="8"/>
              <w:left w:val="single" w:color="0D9488" w:sz="8"/>
              <w:bottom w:val="single" w:color="0D9488" w:sz="8"/>
              <w:right w:val="single" w:color="0D9488" w:sz="8"/>
            </w:tcBorders>
            <w:shd w:fill="0D9488" w:val="clear"/>
            <w:tcMar>
              <w:top w:type="dxa" w:w="200"/>
              <w:left w:type="dxa" w:w="240"/>
              <w:bottom w:type="dxa" w:w="200"/>
              <w:right w:type="dxa" w:w="240"/>
            </w:tcMar>
          </w:tcPr>
          <w:p>
            <w:pPr>
              <w:spacing w:before="0" w:after="60"/>
              <w:jc w:val="center"/>
            </w:pPr>
            <w:r>
              <w:rPr>
                <w:rFonts w:ascii="Arial" w:cs="Arial" w:eastAsia="Arial" w:hAnsi="Arial"/>
                <w:b/>
                <w:bCs/>
                <w:color w:val="FFFFFF"/>
                <w:sz w:val="24"/>
                <w:szCs w:val="24"/>
              </w:rPr>
              <w:t xml:space="preserve">Schedule Demo</w:t>
            </w:r>
          </w:p>
          <w:p>
            <w:pPr>
              <w:spacing w:before="0" w:after="0"/>
              <w:jc w:val="center"/>
            </w:pPr>
            <w:r>
              <w:rPr>
                <w:rFonts w:ascii="Arial" w:cs="Arial" w:eastAsia="Arial" w:hAnsi="Arial"/>
                <w:color w:val="CCFBF1"/>
                <w:sz w:val="19"/>
                <w:szCs w:val="19"/>
              </w:rPr>
              <w:t xml:space="preserve">Live walkthrough of all three phases</w:t>
            </w:r>
          </w:p>
        </w:tc>
        <w:tc>
          <w:tcPr>
            <w:tcW w:type="dxa" w:w="4680"/>
            <w:tcBorders>
              <w:top w:val="single" w:color="EA580C" w:sz="8"/>
              <w:left w:val="single" w:color="EA580C" w:sz="8"/>
              <w:bottom w:val="single" w:color="EA580C" w:sz="8"/>
              <w:right w:val="single" w:color="EA580C" w:sz="8"/>
            </w:tcBorders>
            <w:shd w:fill="EA580C" w:val="clear"/>
            <w:tcMar>
              <w:top w:type="dxa" w:w="200"/>
              <w:left w:type="dxa" w:w="240"/>
              <w:bottom w:type="dxa" w:w="200"/>
              <w:right w:type="dxa" w:w="240"/>
            </w:tcMar>
          </w:tcPr>
          <w:p>
            <w:pPr>
              <w:spacing w:before="0" w:after="60"/>
              <w:jc w:val="center"/>
            </w:pPr>
            <w:r>
              <w:rPr>
                <w:rFonts w:ascii="Arial" w:cs="Arial" w:eastAsia="Arial" w:hAnsi="Arial"/>
                <w:b/>
                <w:bCs/>
                <w:color w:val="FFFFFF"/>
                <w:sz w:val="24"/>
                <w:szCs w:val="24"/>
              </w:rPr>
              <w:t xml:space="preserve">Begin Deployment</w:t>
            </w:r>
          </w:p>
          <w:p>
            <w:pPr>
              <w:spacing w:before="0" w:after="0"/>
              <w:jc w:val="center"/>
            </w:pPr>
            <w:r>
              <w:rPr>
                <w:rFonts w:ascii="Arial" w:cs="Arial" w:eastAsia="Arial" w:hAnsi="Arial"/>
                <w:color w:val="FFEDD5"/>
                <w:sz w:val="19"/>
                <w:szCs w:val="19"/>
              </w:rPr>
              <w:t xml:space="preserve">Auth setup + Vercel in 2-3 weeks</w:t>
            </w:r>
          </w:p>
        </w:tc>
      </w:tr>
    </w:tbl>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20" w:after="0"/>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spacing w:before="0" w:after="120"/>
    </w:pPr>
    <w:r>
      <w:rPr>
        <w:rFonts w:ascii="Arial" w:cs="Arial" w:eastAsia="Arial" w:hAnsi="Arial"/>
        <w:b/>
        <w:bCs/>
        <w:color w:val="0D9488"/>
        <w:sz w:val="18"/>
        <w:szCs w:val="18"/>
      </w:rPr>
      <w:t xml:space="preserve">POCKET DEVELOPER</w:t>
    </w:r>
    <w:r>
      <w:rPr>
        <w:rFonts w:ascii="Arial" w:cs="Arial" w:eastAsia="Arial" w:hAnsi="Arial"/>
        <w:color w:val="888888"/>
        <w:sz w:val="18"/>
        <w:szCs w:val="18"/>
      </w:rPr>
      <w:t xml:space="preserve">  |  DeThomas Investment Brief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11111"/>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1111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D2D2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2026-02-22T17:39:01.311Z</dcterms:created>
  <dcterms:modified xsi:type="dcterms:W3CDTF">2026-02-22T17:39:01.311Z</dcterms:modified>
</cp:coreProperties>
</file>

<file path=docProps/custom.xml><?xml version="1.0" encoding="utf-8"?>
<Properties xmlns="http://schemas.openxmlformats.org/officeDocument/2006/custom-properties" xmlns:vt="http://schemas.openxmlformats.org/officeDocument/2006/docPropsVTypes"/>
</file>