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POCKET DEVELOPER</w:t>
      </w:r>
    </w:p>
    <w:p>
      <w:pPr>
        <w:spacing w:before="0" w:after="240"/>
      </w:pPr>
      <w:r>
        <w:rPr>
          <w:rFonts w:ascii="Arial" w:cs="Arial" w:eastAsia="Arial" w:hAnsi="Arial"/>
          <w:color w:val="8B95A8"/>
          <w:sz w:val="26"/>
          <w:szCs w:val="26"/>
        </w:rPr>
        <w:t xml:space="preserve">Implementation Checklist — All Phases</w:t>
      </w:r>
    </w:p>
    <w:p>
      <w:pPr>
        <w:pBdr>
          <w:bottom w:val="single" w:color="374151" w:sz="4"/>
        </w:pBdr>
        <w:spacing w:before="120" w:after="12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color w:val="8B95A8"/>
          <w:sz w:val="18"/>
          <w:szCs w:val="18"/>
        </w:rPr>
        <w:t xml:space="preserve">Generated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February 22, 2026</w:t>
      </w:r>
      <w:r>
        <w:rPr>
          <w:rFonts w:ascii="Arial" w:cs="Arial" w:eastAsia="Arial" w:hAnsi="Arial"/>
          <w:color w:val="8B95A8"/>
          <w:sz w:val="18"/>
          <w:szCs w:val="18"/>
        </w:rPr>
        <w:t xml:space="preserve">     ·     Stack: </w:t>
      </w: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Next.js 16  ·  Mapbox GL  ·  Supabase  ·  Anthropic Claude  ·  PostGIS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Roadmap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400"/>
        <w:gridCol w:w="1000"/>
        <w:gridCol w:w="45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18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Theme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Timeline</w:t>
            </w:r>
          </w:p>
        </w:tc>
        <w:tc>
          <w:tcPr>
            <w:tcW w:type="dxa" w:w="10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Complete</w:t>
            </w:r>
          </w:p>
        </w:tc>
        <w:tc>
          <w:tcPr>
            <w:tcW w:type="dxa" w:w="45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Remaining Work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The Foundation</w:t>
            </w:r>
          </w:p>
        </w:tc>
        <w:tc>
          <w:tcPr>
            <w:tcW w:type="dxa" w:w="1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6–8 weeks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95%</w:t>
            </w:r>
          </w:p>
        </w:tc>
        <w:tc>
          <w:tcPr>
            <w:tcW w:type="dxa" w:w="4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Supabase migration, Auth, Aerial year selector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AI Site Analysis</w:t>
            </w:r>
          </w:p>
        </w:tc>
        <w:tc>
          <w:tcPr>
            <w:tcW w:type="dxa" w:w="1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8–10 weeks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65%</w:t>
            </w:r>
          </w:p>
        </w:tc>
        <w:tc>
          <w:tcPr>
            <w:tcW w:type="dxa" w:w="4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Access score (Isochrone), Demographics (Census), Deal History RAG, Brief PDF export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A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8"/>
                <w:szCs w:val="28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Data Center Selector</w:t>
            </w:r>
          </w:p>
        </w:tc>
        <w:tc>
          <w:tcPr>
            <w:tcW w:type="dxa" w:w="1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8–10 weeks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D7A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97316"/>
                <w:sz w:val="20"/>
                <w:szCs w:val="20"/>
              </w:rPr>
              <w:t xml:space="preserve">0%</w:t>
            </w:r>
          </w:p>
        </w:tc>
        <w:tc>
          <w:tcPr>
            <w:tcW w:type="dxa" w:w="4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Power, Fiber, Water, Environmental, Comparison Mode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8"/>
                <w:szCs w:val="28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Firm Intelligence Platform</w:t>
            </w:r>
          </w:p>
        </w:tc>
        <w:tc>
          <w:tcPr>
            <w:tcW w:type="dxa" w:w="1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10–14 weeks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0%</w:t>
            </w:r>
          </w:p>
        </w:tc>
        <w:tc>
          <w:tcPr>
            <w:tcW w:type="dxa" w:w="45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ML model, Pipeline CRM, Multi-tenant, Alerts, API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8B95A8"/>
          <w:sz w:val="18"/>
          <w:szCs w:val="18"/>
        </w:rPr>
        <w:t xml:space="preserve">Total build: ~36–42 weeks solo / ~18–22 weeks with a second engineer.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Status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✓ COMPLETE — Feature is live and functional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6"/>
                <w:szCs w:val="16"/>
              </w:rPr>
              <w:t xml:space="preserve">⚠ PARTIAL — Scaffolded or placeholder; needs real implementation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✕ NOT STARTED — Feature is planned but not yet built</w:t>
            </w:r>
          </w:p>
        </w:tc>
      </w:tr>
    </w:tbl>
    <w:p>
      <w:r>
        <w:br w:type="page"/>
      </w:r>
    </w:p>
    <w:p>
      <w:pPr>
        <w:spacing w:before="200" w:after="0"/>
      </w:pPr>
      <w:r>
        <w:t xml:space="preserve"/>
      </w:r>
    </w:p>
    <w:p>
      <w:pPr>
        <w:pBdr>
          <w:left w:val="single" w:color="3B82F6" w:sz="24"/>
        </w:pBdr>
        <w:shd w:fill="EFF6FF" w:val="clear"/>
        <w:spacing w:before="80" w:after="80"/>
      </w:pPr>
      <w:r>
        <w:rPr>
          <w:rFonts w:ascii="Arial" w:cs="Arial" w:eastAsia="Arial" w:hAnsi="Arial"/>
          <w:b/>
          <w:bCs/>
          <w:color w:val="8B95A8"/>
          <w:sz w:val="14"/>
          <w:szCs w:val="14"/>
        </w:rPr>
        <w:t xml:space="preserve">  PHASE 1 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The Foundation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B95A8"/>
                <w:sz w:val="16"/>
                <w:szCs w:val="16"/>
              </w:rPr>
              <w:t xml:space="preserve">Goal</w:t>
            </w:r>
          </w:p>
        </w:tc>
        <w:tc>
          <w:tcPr>
            <w:tcW w:type="dxa" w:w="7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Build a fully functional CRE parcel intelligence layer on Mapbox. Match and exceed LandGlide for the DeThomas demo. First paying client milestone.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B95A8"/>
                <w:sz w:val="16"/>
                <w:szCs w:val="16"/>
              </w:rPr>
              <w:t xml:space="preserve">Timeline</w:t>
            </w:r>
          </w:p>
        </w:tc>
        <w:tc>
          <w:tcPr>
            <w:tcW w:type="dxa" w:w="7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6–8 weeks solo · Status: ~95% complete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1.1 — Interactive Parcel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Mapbox GL JS map rendering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Fully live at /phase-1 and /phase-2 with Turbopack HMR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GeoJSON parcel polygons layer (fill + line)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ArcGIS FeatureServer/0 via fetchParcelsByBBox — real Gwinnett data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Click detection on parcel fill layer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Non-zero opacity (rgba 0.01) ensures pointer events fire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Viewport bbox parcel query + caching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1-hour revalidate; switched to no-store to silence &gt;2MB cache warning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Parcel selection state (Zustand)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selectedAPN, selectedParcel, panelOpen, parcelLoading in store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Quick-card tap preview (mobile)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QuickCardData, showQuickCard, openFullPanel flow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Zoning overlay layer (color-coded)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fetchZoningByBBox from FeatureServer/1; ZONING_COLORS in constants.ts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Road labels toggle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showRoadLabels in store, toggled from MapControls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Saved parcel pins layer (amber)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SavedPins component with ArcGIS centroid fetching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Map padding shift when panel opens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ParcelMap accepts easeTo padding via onPanelChange prop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Aerial photography year selector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Planned: Mapbox Historical Imagery — not yet implemented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County boundary multi-county support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⚠ PARTIAL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Currently Gwinnett only. Fulton/Cherokee expansion requires data strategy decision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1.2 — Property Detail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Desktop 380px slide-in right panel (ParcelPanel)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Animated translate-x with panel padding map shift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Mobile bottom drawer via Vaul (ParcelDrawer)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Responsive breakpoint at 1024px via useResponsive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Shared PanelContent / PanelTabs component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Both panel and drawer render identical PanelContent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Data tab — owner, address, acres, zoning, assessed value, deed refs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ParcelDataTab with ArcGIS tax table fields (TOTVAL1, LEGALAC, ZONING…)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Score tab (Phase 2 — unlocked on /phase-2)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Rule-based score + Claude Haiku narrative — see Phase 2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Zoning tab (Phase 2 — unlocked on /phase-2)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UDO standards + streaming AI chat — see Phase 2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Comps tab (Phase 2 — unlocked on /phase-2)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ArcGIS bbox proximity comps — see Phase 2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Panel tab locking (lock icon on Phase 1)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PanelTabs checks pathname === '/phase-1' to lock phase2 tabs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Loading skeleton while APN is fetching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parcelLoading state drives shimmer placeholders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1.3 — Search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Address search (Mapbox Geocoding v2)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useMapboxSearch hook with debounce; dropdown results with flyTo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GPS / current location button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useGeolocation hook; flyTo on success, toast on error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Search result flyTo + parcel selection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Coordinates trigger flyTo; parcel highlight on arrival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Keyboard shortcut (Cmd+K / Ctrl+K)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TopBar search trigger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1.4 — Owner Lookup &amp; LLC Piercing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Entity lookup modal (EntityLookupOverlay)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Triggers from LLC button in PanelActionBar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Owner name → entity results display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Mock entity map in /api/entity route; shows LLC details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Georgia SOS scraper (real data)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⚠ PARTIAL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API route exists but calls mock entity map — real SOS scraper not yet built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Cross-reference portfolio clustering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Planned: show related parcels owned by same LLC across county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Entity results caching in Supabase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Planned: cache SOS lookups to avoid repeat scraping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1.5 — Saved Properties &amp;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Save parcel button (PanelActionBar)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Toggle save/unsave with amber heart icon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Saved parcels API (/api/saved)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In-memory Map store; full CRUD (GET, POST, DELETE)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Collections API (/api/collections)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In-memory store; create/delete collections, assign parcels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Collection popup (save-to-collection UI)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Shows existing collections + create new inline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Saved collections sidebar (/saved route)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Lists collections, grouped saved parcels with parcel details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Notes on saved parcels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⚠ PARTIAL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API accepts notes field, but UI to edit notes not yet built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Supabase migration (replace in-memory stores)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In-memory Map resets on every server restart — must migrate to Supabase before any production use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Supabase Auth (real user management)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All routes currently have no auth — any user can read/write any parcel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Row-Level Security (RLS) policies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Supabase schema has migrations ready in supabase/migrations/ — needs activation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Real-time team sync (Supabase Realtime)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Planned for collaborative pipeline use — requires Auth first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1.6 — Map Controls &amp; UI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MapControls (layer toggles + base map switcher)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Floating panel, top-right; switches Streets/Satellite/Hybrid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MapHUD (compass, zoom, locate buttons)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Bottom-right cluster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AppShell (orchestrates map + panel + mobile)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Desktop panel / mobile drawer routing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TopBar (logo, nav, search, user menu)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Phase-aware nav links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MobileTabBar (bottom nav, mobile only)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Map / Saved / Settings tabs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Dark-mode only design system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CSS custom properties: --ink, --teal, --amber, --violet defined in globals.css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Fonts loaded (Bebas Neue, IBM Plex Mono, Barlow)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Next.js font optimization in layout.tsx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Phase 1 —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Source</w:t>
            </w:r>
          </w:p>
        </w:tc>
        <w:tc>
          <w:tcPr>
            <w:tcW w:type="dxa" w:w="2400"/>
            <w:gridSpan w:val="1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Used For</w:t>
            </w:r>
          </w:p>
        </w:tc>
        <w:tc>
          <w:tcPr>
            <w:tcW w:type="dxa" w:w="2400"/>
            <w:gridSpan w:val="1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Access Method</w:t>
            </w:r>
          </w:p>
        </w:tc>
        <w:tc>
          <w:tcPr>
            <w:tcW w:type="dxa" w:w="1960"/>
            <w:gridSpan w:val="1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Gwinnett ArcGIS FeatureServer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Parcel polygons, tax data, zoning polygons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 public REST API — no key required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Mapbox GL JS + Geocoding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Map rendering, address search, flyTo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NEXT_PUBLIC_MAPBOX_TOKEN in .env.local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 tier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Supabase (Postgres + PostGIS)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Saved parcels, collections, auth, RLS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NEXT_PUBLIC_SUPABASE_URL + ANON_KEY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$0–$25/mo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Georgia SOS (ecorp.sos.ga.gov)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LLC beneficial owner lookup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Web scraper — not yet built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</w:t>
            </w:r>
          </w:p>
        </w:tc>
      </w:tr>
    </w:tbl>
    <w:p>
      <w:r>
        <w:br w:type="page"/>
      </w:r>
    </w:p>
    <w:p>
      <w:pPr>
        <w:spacing w:before="200" w:after="0"/>
      </w:pPr>
      <w:r>
        <w:t xml:space="preserve"/>
      </w:r>
    </w:p>
    <w:p>
      <w:pPr>
        <w:pBdr>
          <w:left w:val="single" w:color="7C3AED" w:sz="24"/>
        </w:pBdr>
        <w:shd w:fill="F5F3FF" w:val="clear"/>
        <w:spacing w:before="80" w:after="80"/>
      </w:pPr>
      <w:r>
        <w:rPr>
          <w:rFonts w:ascii="Arial" w:cs="Arial" w:eastAsia="Arial" w:hAnsi="Arial"/>
          <w:b/>
          <w:bCs/>
          <w:color w:val="8B95A8"/>
          <w:sz w:val="14"/>
          <w:szCs w:val="14"/>
        </w:rPr>
        <w:t xml:space="preserve">  PHASE 2 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AI Site Analysis Layer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B95A8"/>
                <w:sz w:val="16"/>
                <w:szCs w:val="16"/>
              </w:rPr>
              <w:t xml:space="preserve">Goal</w:t>
            </w:r>
          </w:p>
        </w:tc>
        <w:tc>
          <w:tcPr>
            <w:tcW w:type="dxa" w:w="7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Transform raw parcel data into actionable 'Should we build here?' intelligence using Claude AI. Close the DeThomas contract.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B95A8"/>
                <w:sz w:val="16"/>
                <w:szCs w:val="16"/>
              </w:rPr>
              <w:t xml:space="preserve">Timeline</w:t>
            </w:r>
          </w:p>
        </w:tc>
        <w:tc>
          <w:tcPr>
            <w:tcW w:type="dxa" w:w="7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8–10 weeks · Status: ~65% complete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2.1 — Site Intelligence Score (ScoreTab)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Rule-based scoring engine (src/lib/scoring.ts)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5-dimension composite (0–100) using county tax fields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Zoning dimension (0–20)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ZONING_SCORES map for C1/C2/OI/MU/M1/RTH/RM/R-zones — prefix fallback for unknown codes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Market dimension (0–20)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Assessed value ÷ acres → sliding scale ($75K–$1.5M+/ac)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Infrastructure dimension (0–20)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Improvement value / assessed total ratio (built environment quality)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Access dimension (0–20)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⚠ PARTIAL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Hardcoded at 12/20 — real score requires Mapbox Isochrone API + AADT traffic data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Demographics dimension (0–20)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⚠ PARTIAL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Hardcoded at 12/20 — real score requires Census Bureau ACS API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Tier classification (Prime/Strong/Moderate/Speculative/Weak)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tierLabel() function in scoring.ts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Claude Haiku narrative (2-sentence site summary)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/api/parcel/[apn]/score calls Haiku with parcel context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ScoreTab loading skeleton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Animated pulse placeholder while score fetches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Score breakdown bar chart (5 rows)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ScoreRow component with animated fill transitions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Firm History section (RAG)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⚠ PARTIAL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UI scaffold present — shows 'Deal history coming soon' until RAG is wired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2.2 — Zoning Intelligence Engine (ZoningTab)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Gwinnett UDO standards lookup (src/lib/zoning-standards.ts)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C1, C2, C3, OI, MU, MUD, M1, M2, TND, A, RTH, RM — with flags + setbacks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Permitted / Conditional / Prohibited use flags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Color-coded badges (green/amber/red) per ZoningFlag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Key standards list (setbacks, height, parking)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ZoningStandard[] rendered as bullet list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/api/parcel/[apn]/zoning route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Fetches zoning code from ArcGIS, maps through getZoningStandards()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Zoning AI Chat — streaming (Claude Haiku)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SSE stream from /api/parcel/[apn]/zoning-chat; UDO context injected into system prompt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Chat loading indicator (Loader2 spinner)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isSending state while stream is active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Chat history auto-scroll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chatEndRef.current.scrollIntoView()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Additional Gwinnett zone codes (RA200, RSL, PD, etc.)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⚠ PARTIAL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Common commercial/industrial zones mapped; ~15 additional Gwinnett-specific codes not yet in lookup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Multi-county zoning lookup (Fulton, Cherokee, etc.)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Standards table is Gwinnett-specific. Other counties require separate ordinance research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Structured Gwinnett UDO section number citations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⚠ PARTIAL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Haiku instructed to cite §sections but not consistently enforced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2.3 — Comparable Properties (CompsTab)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/api/parcel/[apn]/comps route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ArcGIS bbox query for same-zone parcels within 1-mile radius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Subject parcel centroid resolution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Fetches polygon from parcels layer, computes ring centroid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Haversine distance calculation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distanceMiles() function for accurate ordering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Assessed value as proxy metric (no sale price)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Clear disclaimer banner: county data does not include transaction history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$/SF calculation (assessed ÷ acres × 43,560)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psf field in Comp object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Market context summary box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Shows min/max $/SF range + avg assessed total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Same-zoning-class filter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zoningClass() normalizes C1/C2/C3 → 'C' for matching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Radius/time filter bar UI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Filter chips (1mi, 24 months, etc.) — currently display only, not functional filters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Functional radius filter (dynamic requery)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Filter buttons are visual — changing radius does not re-fetch; requires apn+radius param on API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Real sale transaction data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County ArcGIS does not expose sale history. Future: ATTOM Data, CoStar, or Regrid premium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Comp map pin overlay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Planned: show comp locations as secondary markers on the map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2.4 — Deal History RAG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Firm History UI section in ScoreTab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Shows FirmHistoryMatch[] with outcome badges — renders if firmHistory.length &gt; 0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firmHistory state in Zustand store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setFirmHistory action; cleared on clearSelection()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Document ingestion pipeline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Planned: PDF/DOCX → LlamaParse → chunks → text-embedding-3-large → pgvector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deal_documents table with pgvector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Schema defined in strategy doc — not yet created in Supabase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Semantic similarity search on parcel select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Cosine similarity query against deal embeddings on APN selection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RAG context injection into brief prompt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Brief prompt should include retrieved deal excerpts for historical context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2.5 — AI Development Feasibility Brief (BriefOverlay)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Brief button in PanelActionBar (active on /phase-2)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Enabled when siteScore is loaded; shows violet styling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BriefOverlay component (generating + generated states)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Full-screen overlay with progress tracker and nav sidebar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5-section progress tracker animation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setInterval-driven section status advancement (1.6s cadence)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Streaming brief generation (/api/parcel/[apn]/brief)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Claude Sonnet streaming SSE; 5-section prompt with parcel + score + zoning context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Markdown-to-sections parser (parseBriefSections)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Splits raw text on ## headings, maps to section IDs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Inline markdown renderer (line-by-line)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Handles ##, ###, -, • patterns without external library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Quick stats KV cards in summary view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Score, Lot Size, Zoning, Assessed, Tier, Owner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Export button (text file download)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4"/>
                <w:szCs w:val="14"/>
              </w:rPr>
              <w:t xml:space="preserve">✓ COMPLETE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Blob download of raw markdown text as .txt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PDF export (Puppeteer or react-pdf)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Current export is plain text — formatted PDF with branding not yet built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Share / copy link for brief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Planned — requires brief storage (DB or S3) to generate shareable URL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Watermark with firm name and generation date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Planned for PDF export — not applicable to text export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Phase 2 —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Source</w:t>
            </w:r>
          </w:p>
        </w:tc>
        <w:tc>
          <w:tcPr>
            <w:tcW w:type="dxa" w:w="2400"/>
            <w:gridSpan w:val="1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Used For</w:t>
            </w:r>
          </w:p>
        </w:tc>
        <w:tc>
          <w:tcPr>
            <w:tcW w:type="dxa" w:w="2400"/>
            <w:gridSpan w:val="1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Access Method</w:t>
            </w:r>
          </w:p>
        </w:tc>
        <w:tc>
          <w:tcPr>
            <w:tcW w:type="dxa" w:w="1960"/>
            <w:gridSpan w:val="1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Anthropic Claude API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Score narrative, Zoning chat, Brief generation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ANTHROPIC_API_KEY in .env.local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~$0.05–0.15/parcel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Gwinnett ArcGIS (inherited P1)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Parcel data for scoring + comps proximity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Same free public API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Mapbox Isochrone API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Access score — drive-time polygon analysis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Not yet implemented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 tier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US Census Bureau ACS API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Demographics score — median HHI, population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Not yet implemented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OpenAI text-embedding-3-large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Deal doc embeddings for RAG pipeline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Not yet implemented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$0.10/1K docs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LlamaParse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High-fidelity PDF/DOCX extraction for RAG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Not yet implemented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$3/1K pages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pgvector (Supabase extension)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Vector similarity search for deal history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Not yet enabled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 (Supabase)</w:t>
            </w:r>
          </w:p>
        </w:tc>
      </w:tr>
    </w:tbl>
    <w:p>
      <w:r>
        <w:br w:type="page"/>
      </w:r>
    </w:p>
    <w:p>
      <w:pPr>
        <w:spacing w:before="200" w:after="0"/>
      </w:pPr>
      <w:r>
        <w:t xml:space="preserve"/>
      </w:r>
    </w:p>
    <w:p>
      <w:pPr>
        <w:pBdr>
          <w:left w:val="single" w:color="F97316" w:sz="24"/>
        </w:pBdr>
        <w:shd w:fill="FFF7ED" w:val="clear"/>
        <w:spacing w:before="80" w:after="80"/>
      </w:pPr>
      <w:r>
        <w:rPr>
          <w:rFonts w:ascii="Arial" w:cs="Arial" w:eastAsia="Arial" w:hAnsi="Arial"/>
          <w:b/>
          <w:bCs/>
          <w:color w:val="8B95A8"/>
          <w:sz w:val="14"/>
          <w:szCs w:val="14"/>
        </w:rPr>
        <w:t xml:space="preserve">  PHASE 3 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Data Center Site Selector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B95A8"/>
                <w:sz w:val="16"/>
                <w:szCs w:val="16"/>
              </w:rPr>
              <w:t xml:space="preserve">Goal</w:t>
            </w:r>
          </w:p>
        </w:tc>
        <w:tc>
          <w:tcPr>
            <w:tcW w:type="dxa" w:w="7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Specialized evaluation framework for data center siting. Opens a new vertical: hyperscalers, colocation REITs, boutique DC developers.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B95A8"/>
                <w:sz w:val="16"/>
                <w:szCs w:val="16"/>
              </w:rPr>
              <w:t xml:space="preserve">Timeline</w:t>
            </w:r>
          </w:p>
        </w:tc>
        <w:tc>
          <w:tcPr>
            <w:tcW w:type="dxa" w:w="7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8–10 weeks · Status: 0% — Not started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3.1 — Power Infrastructure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EIA HIFLD substations PostGIS table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power_substations (id, name, owner, voltage_kv[], max_capacity_mw, geom POINT)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EIA HIFLD transmission lines PostGIS table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transmission_lines (id, owner, voltage_kv, geom LINESTRING)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Substation proximity scoring (0–8 pts)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Nearest substation distance calculation via ST_Distance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Voltage capacity scoring (0–6 pts)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kV tier: 500kV=6, 230kV=5, 115kV=3, 69kV=1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Redundancy scoring (0–4 pts)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Count of substations within 10mi with independent feed paths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Transmission line proximity (0–2 pts)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ST_DWithin query against transmission_lines layer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Map layer: substations as scaled icon markers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Voltage color system: Red(500kV) → Yellow(230kV) → Green(115kV) → Blue(69kV)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Map layer: transmission lines as colored polylines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Follows same voltage color convention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Utility territory overlay (GA Power, Sawnee EMC, Cobb EMC)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FERC HIFLD territory boundaries; determines provider for given site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MW Slider UI (1MW edge → 500MW hyperscale)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Local recalculation — no API round-trip; adjusts water/power sub-scores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3.2 — Fiber &amp; Connectivity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FCC Broadband Data Collection integration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Carrier presence by census block — free federal dataset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NTIA BroadbandUSA state fiber routes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State-level fiber route polygons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OSM telecom layer (Overpass API)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Real-time telecom infrastructure from OpenStreetMap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Carrier count scoring (0–8 pts)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Number of distinct carriers present at census block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Tier 1 carrier presence scoring (0–4 pts)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AT&amp;T, Zayo, Lumen, Crown Castle, Cogent, GTT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Latency to IXP scoring (0–8 pts)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Distance to TIE Atlanta (55 Marietta St) — primary Southeast IXP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Fiber heatmap layer on map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Choropleth by census block showing carrier density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3.3 — Water &amp; Cooling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EPA SDWIS water systems PostGIS table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water_systems (pwsid, name, design_capacity_mgd, source_type, geom)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Capacity adequacy scoring (0–10 pts)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design_capacity_mgd vs. estimated DC cooling requirement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Source reliability scoring (0–6 pts)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Surface water vs. groundwater vs. purchased — reliability tiers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Treatment plant proximity scoring (0–4 pts)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ST_Distance to nearest treatment plant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NO_MUNICIPAL_WATER critical flag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Binary disqualifier — suppresses composite if no municipal connection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Cooling suggestion logic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Low water → air-side economizer recommendation; High water → evaporative cooling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3.4 — Environmental &amp; Risk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FEMA National Flood Hazard Layer (100-yr floodplain)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AE/AO/VE zones = critical disqualifier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USFWS National Wetlands Inventory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&gt;15% wetland coverage = HIGH risk flag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EPA ACRES/FRS brownfield registry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Flags contaminated / remediation sites within 500ft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USGS Seismic Hazard Model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PGA acceleration band lookup for site coordinates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FAA Digital Obstacle File (flight paths)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Flags sites within approach/departure corridors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DISQUALIFIED state (overrides score)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Named state — not a 0 score. Critical flags suppress composite entirely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'Clean Site' badge logic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All environmental flags must be NONE/LOW to display badge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3.5 — DC Composite Score &amp; Tier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DC Readiness Score (0–100) calculation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Weights: Power 40%, Fiber 30%, Water 20%, Environment 10%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Uptime Institute Tier I–IV classification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Tier IV: ≥85 composite + minimums; Tier III: ≥70; Tier II: ≥50; Tier I: ≥30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Critical flag override logic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Any CRITICAL flag → DISQUALIFIED state regardless of score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/api/datacenter/score/{apn} route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FastAPI or Next.js route; returns DCScore object with sub-scores + flags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DC score UI panel tab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New tab alongside Data/Score/Zoning/Comps — orange accent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3.6 — Site Comparison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Comparison tray (persistent bottom dock)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Up to 4 parcels selected; strip UI — always visible, low friction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Numbered orange circles on map for compared sites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Map layer for selected comparison parcels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Full-screen comparison table overlay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Color-coded cells: green (best), red (worst), neutral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'Generate Comparison Brief' AI button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/api/datacenter/compare — Claude produces multi-site recommendation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DISQUALIFIED site rendering in comparison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Shows '—' across row with red highlight; does not suppress others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Mobile horizontal-scroll comparison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Responsive: 2-col comparison on mobile; full table on desktop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Phase 3 — Data Sources (All Free Federal)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Source</w:t>
            </w:r>
          </w:p>
        </w:tc>
        <w:tc>
          <w:tcPr>
            <w:tcW w:type="dxa" w:w="2400"/>
            <w:gridSpan w:val="1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Used For</w:t>
            </w:r>
          </w:p>
        </w:tc>
        <w:tc>
          <w:tcPr>
            <w:tcW w:type="dxa" w:w="2400"/>
            <w:gridSpan w:val="1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Access Method</w:t>
            </w:r>
          </w:p>
        </w:tc>
        <w:tc>
          <w:tcPr>
            <w:tcW w:type="dxa" w:w="1960"/>
            <w:gridSpan w:val="1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EIA HIFLD datasets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Substations, transmission lines, power plants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One-time ingest → PostGIS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FCC Broadband Data Collection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Carrier presence by census block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 API / bulk download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NTIA BroadbandUSA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State fiber routes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Bulk GeoJSON download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EPA SDWIS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Water system capacity + source type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 REST API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FEMA NFHL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Flood zone classification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 WMS/WFS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USFWS NWI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Wetlands inventory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 REST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USGS Seismic Hazard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Peak ground acceleration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 Grid API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FAA DOF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Digital obstacle file, airspace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 FTP download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EPA ACRES/FRS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Brownfield registry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 API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OpenStreetMap Overpass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Telecom infrastructure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 API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Free</w:t>
            </w:r>
          </w:p>
        </w:tc>
      </w:tr>
    </w:tbl>
    <w:p>
      <w:r>
        <w:br w:type="page"/>
      </w:r>
    </w:p>
    <w:p>
      <w:pPr>
        <w:spacing w:before="200" w:after="0"/>
      </w:pPr>
      <w:r>
        <w:t xml:space="preserve"/>
      </w:r>
    </w:p>
    <w:p>
      <w:pPr>
        <w:pBdr>
          <w:left w:val="single" w:color="16A34A" w:sz="24"/>
        </w:pBdr>
        <w:shd w:fill="F0FDF4" w:val="clear"/>
        <w:spacing w:before="80" w:after="80"/>
      </w:pPr>
      <w:r>
        <w:rPr>
          <w:rFonts w:ascii="Arial" w:cs="Arial" w:eastAsia="Arial" w:hAnsi="Arial"/>
          <w:b/>
          <w:bCs/>
          <w:color w:val="8B95A8"/>
          <w:sz w:val="14"/>
          <w:szCs w:val="14"/>
        </w:rPr>
        <w:t xml:space="preserve">  PHASE 4  </w:t>
      </w:r>
      <w:r>
        <w:rPr>
          <w:rFonts w:ascii="Arial" w:cs="Arial" w:eastAsia="Arial" w:hAnsi="Arial"/>
          <w:sz w:val="20"/>
          <w:szCs w:val="20"/>
        </w:rPr>
        <w:t xml:space="preserve"> 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Firm Intelligence Platform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B95A8"/>
                <w:sz w:val="16"/>
                <w:szCs w:val="16"/>
              </w:rPr>
              <w:t xml:space="preserve">Goal</w:t>
            </w:r>
          </w:p>
        </w:tc>
        <w:tc>
          <w:tcPr>
            <w:tcW w:type="dxa" w:w="7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Transform Pocket Developer into a white-labeled, proprietary intelligence platform. The product becomes infrastructure — switching cost creates real lock-in and enterprise pricing leverage.</w:t>
            </w:r>
          </w:p>
        </w:tc>
      </w:tr>
      <w:tr>
        <w:tc>
          <w:tcPr>
            <w:tcW w:type="dxa" w:w="1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8B95A8"/>
                <w:sz w:val="16"/>
                <w:szCs w:val="16"/>
              </w:rPr>
              <w:t xml:space="preserve">Timeline</w:t>
            </w:r>
          </w:p>
        </w:tc>
        <w:tc>
          <w:tcPr>
            <w:tcW w:type="dxa" w:w="7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10–14 weeks · Status: 0% — Not started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4.1 — Proprietary ML Scoring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Deal outcome table (training data source)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deals table with outcome labels: executed(1.0), loi(0.8), passed(0.0), lost(-0.1)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Feature extraction pipeline (deals → ML features)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SQL join: acres, zoning, county, scores, price_per_sqft, miles_to_ixp, traffic_adt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XGBoost/LightGBM training pipeline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n_estimators=200, max_depth=4, learning_rate=0.05, subsample=0.8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SHAP interpretability layer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Per-prediction feature attribution: '+12 pts traffic, -8 pts price above range'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Automatic overnight retraining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Triggers when new deal outcome is recorded; ARQ scheduled job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ML model artifact storage (S3/R2)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Versioned .pkl files; fallback to previous model on training failure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Drift detection alert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R² monitoring — alert if model accuracy drops &gt;10% from baseline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Firm ML score display in UI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Separate score card: 'DeThomas Model Score' vs generic PocketDev score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4.2 — Pipeline &amp; Deal Lifecycle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deals table (Supabase)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Stages: identified → evaluating → loi → due_diligence → under_contract → closed/passed/lost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deal_activities table (notes, stage changes, tasks)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Append-only activity log per deal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deal_tasks table (assigned to-dos with due dates)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Task assignment + completion tracking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Structured outcome tag taxonomy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Tags: price_too_high, zoning_incompatible, environmental_issue, traffic_insufficient, etc.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Kanban pipeline board UI (/pipeline route)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Draggable deal cards by stage; links back to parcel on map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Deal detail panel (scores + SHAP + activities)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Right panel: ML score, SHAP breakdown, activity feed, tasks, outcome form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Map annotation pins (team notes on parcels)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Org-scoped pin-style notes on map: 'Spoke to owner 2/14, 18mo not selling'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4.3 — White-Label Multi-Tenant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organizations table with branding JSONB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Stores logo_url, primary_color, secondary_color, feature_flags per org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org_id on all user-owned tables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deals, saved_parcels, collections, deal_documents, map_annotations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RLS policies for org isolation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Every table policy: org_id = (SELECT org_id FROM users WHERE id = auth.uid())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CSS custom property injection from org branding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--brand-primary, --brand-secondary, --brand-logo injected at layout level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Feature flag tiers (Starter / Pro / Enterprise)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Starter: parcel map. Pro: + AI. Enterprise: + ML model, white-label, API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Subdomain routing (firm.pocketdev.com)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Next.js middleware + org slug → branding context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4.4 — Team Collaboration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RBAC roles (owner / admin / member / viewer)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org_memberships table with org_role ENUM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Team invite flow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Email invite → magic link → auto-join org with default member role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Supabase Realtime notifications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Stage changes, new annotations, model retraining — broadcast to org channel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Resend transactional email (digests, alerts)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Weekly pipeline summary + triggered alerts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Parcel annotation feed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Searchable, org-scoped — also feeds RAG context for brief generation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4.5 — Executive Intelligence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Dashboard route (/dashboard)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Separate from map — left sidebar nav with all Phase 4 routes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KPI cards (Active Pipeline, Pipeline Value, Avg Days, Model R²)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Aggregated from deals table by org_id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Pipeline funnel visualization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Deals by stage, conversion %, avg deal value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Market heat map (choropleth by county/zip)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Deal activity density — shows where firm is focusing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ML model performance panel (R², SHAP importance, drift)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Live model metrics + last training timestamp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Competitive intelligence feed (LLM-powered)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Weekly digest: county deed transfers + permit apps matching firm profile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4.6 — Site Watch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Watch area configuration (polygon / county / radius)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User draws or selects watch zone with filter criteria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Nightly alert job (ARQ cron, 6:00 AM)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Queries fresh transfers matching watch criteria; scores hits via DC scorer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Alert channels (email, in-app, webhook)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Per-watch channel configuration; pre-rendered scorecard in notification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Alert feed UI (/alerts route)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Severity-colored feed; action buttons (save, dismiss, view on map)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4.7 — External API &amp; Webhook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Component</w:t>
            </w:r>
          </w:p>
        </w:tc>
        <w:tc>
          <w:tcPr>
            <w:tcW w:type="dxa" w:w="1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7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API v1 with API key auth (/api/v1/…)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GET /parcels/{apn} → parcel + scores; POST /parcels/score-batch (async, job_id)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HMAC-signed webhook payloads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Events: deal.stage_changed, parcel.score_completed, site_alert.new_match, model.retrained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Webhook retry queue (Redis + ARQ)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Fire-and-forget with exponential backoff on delivery failure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API key management UI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Create / revoke API keys; usage stats per key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API documentation (OpenAPI / Swagger)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Auto-generated from FastAPI route decorators</w:t>
            </w:r>
          </w:p>
        </w:tc>
      </w:tr>
      <w:tr>
        <w:tc>
          <w:tcPr>
            <w:tcW w:type="dxa" w:w="32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Integration examples (Excel, Power BI, Tableau)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4"/>
                <w:szCs w:val="14"/>
              </w:rPr>
              <w:t xml:space="preserve">✕ NOT STARTED</w:t>
            </w:r>
          </w:p>
        </w:tc>
        <w:tc>
          <w:tcPr>
            <w:tcW w:type="dxa" w:w="47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Sample connectors for common BI tools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Phase 4 — Infrastructure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 Source</w:t>
            </w:r>
          </w:p>
        </w:tc>
        <w:tc>
          <w:tcPr>
            <w:tcW w:type="dxa" w:w="2400"/>
            <w:gridSpan w:val="1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Used For</w:t>
            </w:r>
          </w:p>
        </w:tc>
        <w:tc>
          <w:tcPr>
            <w:tcW w:type="dxa" w:w="2400"/>
            <w:gridSpan w:val="1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Access Method</w:t>
            </w:r>
          </w:p>
        </w:tc>
        <w:tc>
          <w:tcPr>
            <w:tcW w:type="dxa" w:w="1960"/>
            <w:gridSpan w:val="1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Redis + ARQ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ML retraining queue, webhook retry, nightly alerts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Self-hosted or Upstash Redis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~$10/mo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S3 / Cloudflare R2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Deal document storage, ML model artifacts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R2 preferred (free egress)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~$5–15/mo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Resend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Transactional email (invites, digests, alerts)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Resend API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~$20/mo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Supabase Pro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8GB DB + pgvector + Realtime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Upgrade from free tier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$25/mo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OpenAI Embeddings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Deal document vectors (text-embedding-3-large)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Only needed for RAG phase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~$0.10/1K docs</w:t>
            </w:r>
          </w:p>
        </w:tc>
      </w:tr>
      <w:tr>
        <w:tc>
          <w:tcPr>
            <w:tcW w:type="dxa" w:w="26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LlamaParse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High-fidelity PDF/DOCX extraction</w:t>
            </w:r>
          </w:p>
        </w:tc>
        <w:tc>
          <w:tcPr>
            <w:tcW w:type="dxa" w:w="2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Only needed for RAG ingestion</w:t>
            </w:r>
          </w:p>
        </w:tc>
        <w:tc>
          <w:tcPr>
            <w:tcW w:type="dxa" w:w="1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$3/1K pages</w:t>
            </w:r>
          </w:p>
        </w:tc>
      </w:tr>
    </w:tbl>
    <w:p>
      <w:r>
        <w:br w:type="page"/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Immediate Next Steps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8B95A8"/>
          <w:sz w:val="18"/>
          <w:szCs w:val="18"/>
        </w:rPr>
        <w:t xml:space="preserve">Critical items to unblock production-readiness and Phase 2 completion, in priority order: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4960"/>
      </w:tblGrid>
      <w:tr>
        <w:tc>
          <w:tcPr>
            <w:tcW w:type="dxa" w:w="4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00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Task</w:t>
            </w:r>
          </w:p>
        </w:tc>
        <w:tc>
          <w:tcPr>
            <w:tcW w:type="dxa" w:w="4960"/>
            <w:gridSpan w:val="1"/>
            <w:tcBorders>
              <w:top w:val="single" w:color="1E2435" w:sz="1"/>
              <w:left w:val="single" w:color="1E2435" w:sz="1"/>
              <w:bottom w:val="single" w:color="1E2435" w:sz="1"/>
              <w:right w:val="single" w:color="1E2435" w:sz="1"/>
            </w:tcBorders>
            <w:shd w:fill="1E24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 / Notes</w:t>
            </w:r>
          </w:p>
        </w:tc>
      </w:tr>
      <w:tr>
        <w:tc>
          <w:tcPr>
            <w:tcW w:type="dxa" w:w="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Migrate saved_parcels + collections to Supabase</w:t>
            </w:r>
          </w:p>
        </w:tc>
        <w:tc>
          <w:tcPr>
            <w:tcW w:type="dxa" w:w="4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In-memory store resets on every server restart — any data saved is lost. Supabase schema ready in supabase/migrations/</w:t>
            </w:r>
          </w:p>
        </w:tc>
      </w:tr>
      <w:tr>
        <w:tc>
          <w:tcPr>
            <w:tcW w:type="dxa" w:w="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Implement Supabase Auth + RLS</w:t>
            </w:r>
          </w:p>
        </w:tc>
        <w:tc>
          <w:tcPr>
            <w:tcW w:type="dxa" w:w="4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All API routes are currently open with no user isolation. Required before any real client use.</w:t>
            </w:r>
          </w:p>
        </w:tc>
      </w:tr>
      <w:tr>
        <w:tc>
          <w:tcPr>
            <w:tcW w:type="dxa" w:w="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Access score: Mapbox Isochrone API</w:t>
            </w:r>
          </w:p>
        </w:tc>
        <w:tc>
          <w:tcPr>
            <w:tcW w:type="dxa" w:w="4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Access is hardcoded at 12/20. Real score requires drive-time polygon + AADT traffic data from GDOT.</w:t>
            </w:r>
          </w:p>
        </w:tc>
      </w:tr>
      <w:tr>
        <w:tc>
          <w:tcPr>
            <w:tcW w:type="dxa" w:w="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Demographics score: Census ACS API</w:t>
            </w:r>
          </w:p>
        </w:tc>
        <w:tc>
          <w:tcPr>
            <w:tcW w:type="dxa" w:w="4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Demographics hardcoded at 12/20. Free Census Bureau API returns median HHI, population density by tract.</w:t>
            </w:r>
          </w:p>
        </w:tc>
      </w:tr>
      <w:tr>
        <w:tc>
          <w:tcPr>
            <w:tcW w:type="dxa" w:w="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Georgia SOS real scraper</w:t>
            </w:r>
          </w:p>
        </w:tc>
        <w:tc>
          <w:tcPr>
            <w:tcW w:type="dxa" w:w="4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LLC lookup currently returns mock data. ecorp.sos.ga.gov scraper needed for real owner piercing.</w:t>
            </w:r>
          </w:p>
        </w:tc>
      </w:tr>
      <w:tr>
        <w:tc>
          <w:tcPr>
            <w:tcW w:type="dxa" w:w="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Brief PDF export</w:t>
            </w:r>
          </w:p>
        </w:tc>
        <w:tc>
          <w:tcPr>
            <w:tcW w:type="dxa" w:w="4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Current export is plain text (.txt). Formatted PDF with header, KV cards, and branding needed for client deliverables.</w:t>
            </w:r>
          </w:p>
        </w:tc>
      </w:tr>
      <w:tr>
        <w:tc>
          <w:tcPr>
            <w:tcW w:type="dxa" w:w="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Comps functional filter controls</w:t>
            </w:r>
          </w:p>
        </w:tc>
        <w:tc>
          <w:tcPr>
            <w:tcW w:type="dxa" w:w="4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Radius/time filter chips are visual only — changing them doesn't re-fetch. Add params to comps API.</w:t>
            </w:r>
          </w:p>
        </w:tc>
      </w:tr>
      <w:tr>
        <w:tc>
          <w:tcPr>
            <w:tcW w:type="dxa" w:w="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Additional Gwinnett zone code mappings</w:t>
            </w:r>
          </w:p>
        </w:tc>
        <w:tc>
          <w:tcPr>
            <w:tcW w:type="dxa" w:w="4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RA200, PD, RSL, CRC, MBP, HB, NB, NS zones not yet in zoning-standards.ts lookup.</w:t>
            </w:r>
          </w:p>
        </w:tc>
      </w:tr>
      <w:tr>
        <w:tc>
          <w:tcPr>
            <w:tcW w:type="dxa" w:w="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Deal History RAG pipeline (Phase 2.4)</w:t>
            </w:r>
          </w:p>
        </w:tc>
        <w:tc>
          <w:tcPr>
            <w:tcW w:type="dxa" w:w="4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Ingest DeThomas deal documents → embeddings → pgvector. Unlocks the most differentiated feature.</w:t>
            </w:r>
          </w:p>
        </w:tc>
      </w:tr>
      <w:tr>
        <w:tc>
          <w:tcPr>
            <w:tcW w:type="dxa" w:w="4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Phase 3 kickoff: EIA HIFLD data ingest</w:t>
            </w:r>
          </w:p>
        </w:tc>
        <w:tc>
          <w:tcPr>
            <w:tcW w:type="dxa" w:w="4960"/>
            <w:gridSpan w:val="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6"/>
                <w:szCs w:val="16"/>
              </w:rPr>
              <w:t xml:space="preserve">Download HIFLD substations + transmission lines → PostGIS. Foundation for all DC scoring.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E2E8F0" w:sz="4"/>
        </w:pBdr>
        <w:spacing w:before="120" w:after="12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color w:val="8B95A8"/>
          <w:sz w:val="16"/>
          <w:szCs w:val="16"/>
        </w:rPr>
        <w:t xml:space="preserve">Pocket Developer  ·  Internal Build Document  ·  Not for distribution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0" w:after="0"/>
    </w:pPr>
    <w:r>
      <w:rPr>
        <w:rFonts w:ascii="Arial" w:cs="Arial" w:eastAsia="Arial" w:hAnsi="Arial"/>
        <w:color w:val="8B95A8"/>
        <w:sz w:val="14"/>
        <w:szCs w:val="14"/>
      </w:rPr>
      <w:t xml:space="preserve">Confidential  ·  Feb 2026</w:t>
    </w:r>
    <w:r>
      <w:rPr>
        <w:rFonts w:ascii="Arial" w:cs="Arial" w:eastAsia="Arial" w:hAnsi="Arial"/>
        <w:color w:val="8B95A8"/>
        <w:sz w:val="14"/>
        <w:szCs w:val="14"/>
      </w:rPr>
      <w:t xml:space="preserve">     Page </w:t>
    </w:r>
    <w:r>
      <w:rPr>
        <w:rFonts w:ascii="Arial" w:cs="Arial" w:eastAsia="Arial" w:hAnsi="Arial"/>
        <w:color w:val="8B95A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before="0" w:after="0"/>
    </w:pPr>
    <w:r>
      <w:rPr>
        <w:rFonts w:ascii="Arial" w:cs="Arial" w:eastAsia="Arial" w:hAnsi="Arial"/>
        <w:b/>
        <w:bCs/>
        <w:color w:val="8B95A8"/>
        <w:sz w:val="16"/>
        <w:szCs w:val="16"/>
      </w:rPr>
      <w:t xml:space="preserve">POCKET DEVELOPER</w:t>
    </w:r>
    <w:r>
      <w:rPr>
        <w:rFonts w:ascii="Arial" w:cs="Arial" w:eastAsia="Arial" w:hAnsi="Arial"/>
        <w:color w:val="E2E8F0"/>
        <w:sz w:val="16"/>
        <w:szCs w:val="16"/>
      </w:rPr>
      <w:t xml:space="preserve">   ·   </w:t>
    </w:r>
    <w:r>
      <w:rPr>
        <w:rFonts w:ascii="Arial" w:cs="Arial" w:eastAsia="Arial" w:hAnsi="Arial"/>
        <w:color w:val="8B95A8"/>
        <w:sz w:val="16"/>
        <w:szCs w:val="16"/>
      </w:rPr>
      <w:t xml:space="preserve">Implementation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2026-02-22T14:40:22.404Z</dcterms:created>
  <dcterms:modified xsi:type="dcterms:W3CDTF">2026-02-22T14:40:22.404Z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