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D5C63"/>
          <w:sz w:val="40"/>
          <w:szCs w:val="40"/>
        </w:rPr>
        <w:t xml:space="preserve">POCKET DEVELOPER</w:t>
      </w:r>
    </w:p>
    <w:p>
      <w:pPr>
        <w:spacing w:after="40"/>
      </w:pPr>
      <w:r>
        <w:rPr>
          <w:rFonts w:ascii="Arial" w:cs="Arial" w:eastAsia="Arial" w:hAnsi="Arial"/>
          <w:color w:val="666666"/>
          <w:sz w:val="28"/>
          <w:szCs w:val="28"/>
        </w:rPr>
        <w:t xml:space="preserve">Investor Demo Readiness Audit</w:t>
      </w:r>
    </w:p>
    <w:p>
      <w:pPr>
        <w:pBdr>
          <w:bottom w:val="single" w:color="0D5C63" w:sz="6" w:space="8"/>
        </w:pBdr>
        <w:spacing w:after="300"/>
      </w:pPr>
      <w:r>
        <w:rPr>
          <w:rFonts w:ascii="Arial" w:cs="Arial" w:eastAsia="Arial" w:hAnsi="Arial"/>
          <w:color w:val="999999"/>
          <w:sz w:val="18"/>
          <w:szCs w:val="18"/>
        </w:rPr>
        <w:t xml:space="preserve">February 2026  |  Prepared for JT</w:t>
      </w:r>
    </w:p>
    <w:p>
      <w:pPr>
        <w:pStyle w:val="Heading1"/>
        <w:spacing w:before="360" w:after="120"/>
      </w:pPr>
      <w:r>
        <w:rPr>
          <w:rFonts w:ascii="Arial" w:cs="Arial" w:eastAsia="Arial" w:hAnsi="Arial"/>
          <w:b/>
          <w:bCs/>
          <w:sz w:val="32"/>
          <w:szCs w:val="32"/>
        </w:rPr>
        <w:t xml:space="preserve">Executive Summary</w:t>
      </w:r>
    </w:p>
    <w:p>
      <w:pPr>
        <w:spacing w:after="120"/>
      </w:pPr>
      <w:r>
        <w:rPr>
          <w:rFonts w:ascii="Arial" w:cs="Arial" w:eastAsia="Arial" w:hAnsi="Arial"/>
          <w:color w:val="333333"/>
          <w:sz w:val="21"/>
          <w:szCs w:val="21"/>
        </w:rPr>
        <w:t xml:space="preserve">I audited every screen and interaction an investor would see during a live demo walkthrough of Pocket Developer. The core product is impressive: the map is fast, the parcel data pipeline works end-to-end with real Gwinnett County data, and the design system is polished and consistent. The AI features (site scoring, zoning chat, brief generation) are genuinely differentiated.</w:t>
      </w:r>
    </w:p>
    <w:p>
      <w:pPr>
        <w:spacing w:after="120"/>
      </w:pPr>
      <w:r>
        <w:rPr>
          <w:rFonts w:ascii="Arial" w:cs="Arial" w:eastAsia="Arial" w:hAnsi="Arial"/>
          <w:color w:val="333333"/>
          <w:sz w:val="21"/>
          <w:szCs w:val="21"/>
        </w:rPr>
        <w:t xml:space="preserve">However, there are several issues that would undermine investor confidence during a live demo. The most critical: the landing page looks like a developer test harness, not a product. The phase-selector grid with “Launch Phase 1 / 2 / 3” buttons tells the investor “this is unfinished” before they see a single feature. Beyond that, there are disabled buttons visible in the UI, exposed dev terminology, and a few interaction gaps that would feel broken if you accidentally triggered them.</w:t>
      </w:r>
    </w:p>
    <w:p>
      <w:pPr>
        <w:spacing w:after="120"/>
      </w:pPr>
      <w:r>
        <w:rPr>
          <w:rFonts w:ascii="Arial" w:cs="Arial" w:eastAsia="Arial" w:hAnsi="Arial"/>
          <w:color w:val="333333"/>
          <w:sz w:val="21"/>
          <w:szCs w:val="21"/>
        </w:rPr>
        <w:t xml:space="preserve">None of these are hard fixes. Most are UI-level changes that don’t touch business logic. I’ve organized findings by severity: BLOCKER (will actively hurt the demo), FIX (noticeable rough edge), POLISH (nice-to-have), and GOOD (already strong).</w:t>
      </w:r>
    </w:p>
    <w:p>
      <w:pPr>
        <w:pStyle w:val="Heading1"/>
        <w:spacing w:before="360" w:after="120"/>
      </w:pPr>
      <w:r>
        <w:rPr>
          <w:rFonts w:ascii="Arial" w:cs="Arial" w:eastAsia="Arial" w:hAnsi="Arial"/>
          <w:b/>
          <w:bCs/>
          <w:sz w:val="32"/>
          <w:szCs w:val="32"/>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600"/>
        <w:gridCol w:w="3060"/>
      </w:tblGrid>
      <w:tr>
        <w:tc>
          <w:tcPr>
            <w:tcW w:type="dxa" w:w="1600"/>
            <w:tcBorders>
              <w:top w:val="single" w:color="CCCCCC" w:sz="1"/>
              <w:left w:val="single" w:color="CCCCCC" w:sz="1"/>
              <w:bottom w:val="single" w:color="CCCCCC" w:sz="1"/>
              <w:right w:val="single" w:color="CCCCCC" w:sz="1"/>
            </w:tcBorders>
            <w:shd w:fill="0D5C63"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1100"/>
            <w:tcBorders>
              <w:top w:val="single" w:color="CCCCCC" w:sz="1"/>
              <w:left w:val="single" w:color="CCCCCC" w:sz="1"/>
              <w:bottom w:val="single" w:color="CCCCCC" w:sz="1"/>
              <w:right w:val="single" w:color="CCCCCC" w:sz="1"/>
            </w:tcBorders>
            <w:shd w:fill="0D5C6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3600"/>
            <w:tcBorders>
              <w:top w:val="single" w:color="CCCCCC" w:sz="1"/>
              <w:left w:val="single" w:color="CCCCCC" w:sz="1"/>
              <w:bottom w:val="single" w:color="CCCCCC" w:sz="1"/>
              <w:right w:val="single" w:color="CCCCCC" w:sz="1"/>
            </w:tcBorders>
            <w:shd w:fill="0D5C63"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060"/>
            <w:tcBorders>
              <w:top w:val="single" w:color="CCCCCC" w:sz="1"/>
              <w:left w:val="single" w:color="CCCCCC" w:sz="1"/>
              <w:bottom w:val="single" w:color="CCCCCC" w:sz="1"/>
              <w:right w:val="single" w:color="CCCCCC" w:sz="1"/>
            </w:tcBorders>
            <w:shd w:fill="0D5C63"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Landing Page</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D32F2F" w:val="clear"/>
              </w:rPr>
              <w:t xml:space="preserve"> BLOCKER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Phase-selector grid exposes internal dev structure. Investor sees 4 cards labeled Phase 1-4 with developer jargon like "LandGlide Replication" and "Turbopack."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 with direct route to the map app. No phase selector. The investor should land directly in the product.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Disabled Buttons</w:t>
            </w:r>
          </w:p>
        </w:tc>
        <w:tc>
          <w:tcPr>
            <w:tcW w:type="dxa" w:w="11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D32F2F" w:val="clear"/>
              </w:rPr>
              <w:t xml:space="preserve"> BLOCKER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"Compare" and "Brief" buttons in the action bar are visually grayed out with cursor-not-allowed. Investor will try to click them and feel the product is half-built.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Hide disabled features entirely, or replace with a subtle "Coming soon" tooltip on hover. Never show broken affordances.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Locked Tabs</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F57C00" w:val="clear"/>
              </w:rPr>
              <w:t xml:space="preserve"> FIX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Score, Zoning, and Comps tabs show lock icons on Phase 1. This screams "unfinished." The tabs ARE functional on Phase 2, but the investor won't know that.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 the demo through /phase-2 where all tabs are unlocked and functional. Or remove lock icons and enable all tabs.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"Demo" Badge</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F57C00" w:val="clear"/>
              </w:rPr>
              <w:t xml:space="preserve"> FIX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Entity lookup card shows a purple "Demo" badge with a flask icon. This explicitly tells the investor the data is fake.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the Demo badge entirely for the walkthrough. The mock data is realistic enough to stand on its 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Entity Error Msg</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F57C00" w:val="clear"/>
              </w:rPr>
              <w:t xml:space="preserve"> FIX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entity lookup fails, the error says: "Not in demo dataset — GA SOS integration planned for Phase 3." This is internal dev language.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to: "Entity not found in Georgia Secretary of State records." Sounds like a real data gap, not a dev limitation.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TopBar Logo</w:t>
            </w:r>
          </w:p>
        </w:tc>
        <w:tc>
          <w:tcPr>
            <w:tcW w:type="dxa" w:w="11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F57C00" w:val="clear"/>
              </w:rPr>
              <w:t xml:space="preserve"> FIX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Logo says "POCKETDEV" with "DEV" highlighted in teal. For an investor, the product name should feel like a brand, not a code project.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Consider "POCKET DEVELOPER" or a more branded presentation. The logo typography (Bebas Neue) is strong but the abbreviation reads as a dev tool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"JT" Avatar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1976D2" w:val="clear"/>
              </w:rPr>
              <w:t xml:space="preserve"> POLISH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 initials avatar in top-right. Fine for your own demo. Would feel odd if someone else is watching.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Keep it — it actually adds authenticity. Just make sure you reference it: "Here's my account."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Empty States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1976D2" w:val="clear"/>
              </w:rPr>
              <w:t xml:space="preserve"> POLISH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Alerts shows "No alerts yet" with placeholder text. Settings shows "Coming soon." Both are honest but could feel hollow.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you won't demo these tabs, hide them from the nav entirely during the walkthrough.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Map Interaction</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Parcel click → QuickInfoCard → View Details → Panel slide-in is smooth and well-choreographed. Fly-to animation is crisp.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changes needed. This is the strongest moment in the demo.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Search</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Dual-source search (county + Mapbox geocoding) with keyboard nav, loading spinner, and sectioned dropdown. Professional quality.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changes needed. Great feature to demo.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Data Tab</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 data hierarchy: Ownership → Parcel → Assessed Value → Last Sale → Legal Description. Formatting is consistent and professional.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changes needed.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Score Tab</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big score number with animated breakdown bars is visually impressive. Claude-generated narrative adds a "wow" moment.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is a demo highlight. Make sure you have a parcel that produces a strong narrative.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Zoning Tab</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Zoning hero card with permitted/conditional/prohibited badges is clear. The AI chat is a genuine differentiator.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Prepare a good zoning question in advance (e.g., "Can I build a drive-through here?").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Comps Tab</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 spatial query against Gwinnett County data with distance sorting. Market context summary is a nice touch.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 assessed values, not sale prices" disclaimer is honest and builds trust.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Loading States</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Skeleton loading with pulse animations throughout. Panel, tabs, and score all have proper loading states.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changes needed. This is often overlooked in prototypes.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Error Handling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FFFFFF"/>
                <w:sz w:val="16"/>
                <w:szCs w:val="16"/>
                <w:shd w:fill="388E3C" w:val="clear"/>
              </w:rPr>
              <w:t xml:space="preserve"> GOOD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error boundary and 404 page both exist with branded styling and retry actions.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changes needed.</w:t>
            </w:r>
          </w:p>
        </w:tc>
      </w:tr>
    </w:tbl>
    <w:p>
      <w:r>
        <w:br w:type="page"/>
      </w:r>
    </w:p>
    <w:p>
      <w:pPr>
        <w:pStyle w:val="Heading1"/>
        <w:spacing w:before="360" w:after="120"/>
      </w:pPr>
      <w:r>
        <w:rPr>
          <w:rFonts w:ascii="Arial" w:cs="Arial" w:eastAsia="Arial" w:hAnsi="Arial"/>
          <w:b/>
          <w:bCs/>
          <w:sz w:val="32"/>
          <w:szCs w:val="32"/>
        </w:rPr>
        <w:t xml:space="preserve">Recommended Demo Script</w:t>
      </w:r>
    </w:p>
    <w:p>
      <w:pPr>
        <w:spacing w:after="120"/>
      </w:pPr>
      <w:r>
        <w:rPr>
          <w:rFonts w:ascii="Arial" w:cs="Arial" w:eastAsia="Arial" w:hAnsi="Arial"/>
          <w:color w:val="333333"/>
          <w:sz w:val="21"/>
          <w:szCs w:val="21"/>
        </w:rPr>
        <w:t xml:space="preserve">Here’s the 5-minute walkthrough I’d recommend. This script avoids every rough edge identified above while hitting every impressive feature.</w:t>
      </w:r>
    </w:p>
    <w:p>
      <w:pPr>
        <w:pStyle w:val="Heading3"/>
        <w:spacing w:before="240" w:after="120"/>
      </w:pPr>
      <w:r>
        <w:rPr>
          <w:rFonts w:ascii="Arial" w:cs="Arial" w:eastAsia="Arial" w:hAnsi="Arial"/>
          <w:b/>
          <w:bCs/>
          <w:sz w:val="22"/>
          <w:szCs w:val="22"/>
        </w:rPr>
        <w:t xml:space="preserve">Setup (before the meeting)</w:t>
      </w:r>
    </w:p>
    <w:p>
      <w:pPr>
        <w:pStyle w:val="ListParagraph"/>
        <w:numPr>
          <w:ilvl w:val="0"/>
          <w:numId w:val="2"/>
        </w:numPr>
        <w:spacing w:after="80"/>
      </w:pPr>
      <w:r>
        <w:rPr>
          <w:rFonts w:ascii="Arial" w:cs="Arial" w:eastAsia="Arial" w:hAnsi="Arial"/>
          <w:sz w:val="20"/>
          <w:szCs w:val="20"/>
        </w:rPr>
        <w:t xml:space="preserve">Route your browser to /phase-2 directly (skip the landing page entirely)</w:t>
      </w:r>
    </w:p>
    <w:p>
      <w:pPr>
        <w:pStyle w:val="ListParagraph"/>
        <w:numPr>
          <w:ilvl w:val="0"/>
          <w:numId w:val="2"/>
        </w:numPr>
        <w:spacing w:after="80"/>
      </w:pPr>
      <w:r>
        <w:rPr>
          <w:rFonts w:ascii="Arial" w:cs="Arial" w:eastAsia="Arial" w:hAnsi="Arial"/>
          <w:sz w:val="20"/>
          <w:szCs w:val="20"/>
        </w:rPr>
        <w:t xml:space="preserve">Pre-select a "hero parcel" that has: a recognizable address, an LLC owner (for entity lookup), C-2 or similar commercial zoning (for rich zoning data), and nearby comps</w:t>
      </w:r>
    </w:p>
    <w:p>
      <w:pPr>
        <w:pStyle w:val="ListParagraph"/>
        <w:numPr>
          <w:ilvl w:val="0"/>
          <w:numId w:val="2"/>
        </w:numPr>
        <w:spacing w:after="80"/>
      </w:pPr>
      <w:r>
        <w:rPr>
          <w:rFonts w:ascii="Arial" w:cs="Arial" w:eastAsia="Arial" w:hAnsi="Arial"/>
          <w:sz w:val="20"/>
          <w:szCs w:val="20"/>
        </w:rPr>
        <w:t xml:space="preserve">Have a zoning question ready: "Can I build a drive-through on this parcel?" or "What’s the maximum building height?"</w:t>
      </w:r>
    </w:p>
    <w:p>
      <w:pPr>
        <w:pStyle w:val="ListParagraph"/>
        <w:numPr>
          <w:ilvl w:val="0"/>
          <w:numId w:val="2"/>
        </w:numPr>
        <w:spacing w:after="200"/>
      </w:pPr>
      <w:r>
        <w:rPr>
          <w:rFonts w:ascii="Arial" w:cs="Arial" w:eastAsia="Arial" w:hAnsi="Arial"/>
          <w:sz w:val="20"/>
          <w:szCs w:val="20"/>
        </w:rPr>
        <w:t xml:space="preserve">Clear any previously saved parcels so the save interaction feels fresh</w:t>
      </w:r>
    </w:p>
    <w:p>
      <w:pPr>
        <w:pStyle w:val="Heading3"/>
        <w:spacing w:before="240" w:after="120"/>
      </w:pPr>
      <w:r>
        <w:rPr>
          <w:rFonts w:ascii="Arial" w:cs="Arial" w:eastAsia="Arial" w:hAnsi="Arial"/>
          <w:b/>
          <w:bCs/>
          <w:sz w:val="22"/>
          <w:szCs w:val="22"/>
        </w:rPr>
        <w:t xml:space="preserve">The Walkthrough</w:t>
      </w:r>
    </w:p>
    <w:p>
      <w:pPr>
        <w:pStyle w:val="ListParagraph"/>
        <w:numPr>
          <w:ilvl w:val="0"/>
          <w:numId w:val="3"/>
        </w:numPr>
        <w:spacing w:after="80"/>
      </w:pPr>
      <w:r>
        <w:rPr>
          <w:rFonts w:ascii="Arial" w:cs="Arial" w:eastAsia="Arial" w:hAnsi="Arial"/>
          <w:b/>
          <w:bCs/>
          <w:sz w:val="20"/>
          <w:szCs w:val="20"/>
        </w:rPr>
        <w:t xml:space="preserve">Open on the map. </w:t>
      </w:r>
      <w:r>
        <w:rPr>
          <w:rFonts w:ascii="Arial" w:cs="Arial" w:eastAsia="Arial" w:hAnsi="Arial"/>
          <w:i/>
          <w:iCs/>
          <w:sz w:val="20"/>
          <w:szCs w:val="20"/>
        </w:rPr>
        <w:t xml:space="preserve">"This is Pocket Developer. It’s a parcel intelligence platform for commercial real estate. Everything you see here is pulling live data from Gwinnett County."</w:t>
      </w:r>
    </w:p>
    <w:p>
      <w:pPr>
        <w:pStyle w:val="ListParagraph"/>
        <w:numPr>
          <w:ilvl w:val="0"/>
          <w:numId w:val="3"/>
        </w:numPr>
        <w:spacing w:after="80"/>
      </w:pPr>
      <w:r>
        <w:rPr>
          <w:rFonts w:ascii="Arial" w:cs="Arial" w:eastAsia="Arial" w:hAnsi="Arial"/>
          <w:b/>
          <w:bCs/>
          <w:sz w:val="20"/>
          <w:szCs w:val="20"/>
        </w:rPr>
        <w:t xml:space="preserve">Search for an address. </w:t>
      </w:r>
      <w:r>
        <w:rPr>
          <w:rFonts w:ascii="Arial" w:cs="Arial" w:eastAsia="Arial" w:hAnsi="Arial"/>
          <w:sz w:val="20"/>
          <w:szCs w:val="20"/>
        </w:rPr>
        <w:t xml:space="preserve">Type a real Gwinnett County address. Show the dual-source dropdown (county records + geocoding). Select the county result. Map flies to the parcel.</w:t>
      </w:r>
    </w:p>
    <w:p>
      <w:pPr>
        <w:pStyle w:val="ListParagraph"/>
        <w:numPr>
          <w:ilvl w:val="0"/>
          <w:numId w:val="3"/>
        </w:numPr>
        <w:spacing w:after="80"/>
      </w:pPr>
      <w:r>
        <w:rPr>
          <w:rFonts w:ascii="Arial" w:cs="Arial" w:eastAsia="Arial" w:hAnsi="Arial"/>
          <w:b/>
          <w:bCs/>
          <w:sz w:val="20"/>
          <w:szCs w:val="20"/>
        </w:rPr>
        <w:t xml:space="preserve">Click a parcel. </w:t>
      </w:r>
      <w:r>
        <w:rPr>
          <w:rFonts w:ascii="Arial" w:cs="Arial" w:eastAsia="Arial" w:hAnsi="Arial"/>
          <w:sz w:val="20"/>
          <w:szCs w:val="20"/>
        </w:rPr>
        <w:t xml:space="preserve">Show the QuickInfoCard popup. Click "View Details." Panel slides in. Walk through the Data tab: ownership, assessed value, legal description. "All of this comes from county tax records, updated in real-time."</w:t>
      </w:r>
    </w:p>
    <w:p>
      <w:pPr>
        <w:pStyle w:val="ListParagraph"/>
        <w:numPr>
          <w:ilvl w:val="0"/>
          <w:numId w:val="3"/>
        </w:numPr>
        <w:spacing w:after="80"/>
      </w:pPr>
      <w:r>
        <w:rPr>
          <w:rFonts w:ascii="Arial" w:cs="Arial" w:eastAsia="Arial" w:hAnsi="Arial"/>
          <w:b/>
          <w:bCs/>
          <w:sz w:val="20"/>
          <w:szCs w:val="20"/>
        </w:rPr>
        <w:t xml:space="preserve">LLC Entity Lookup. </w:t>
      </w:r>
      <w:r>
        <w:rPr>
          <w:rFonts w:ascii="Arial" w:cs="Arial" w:eastAsia="Arial" w:hAnsi="Arial"/>
          <w:sz w:val="20"/>
          <w:szCs w:val="20"/>
        </w:rPr>
        <w:t xml:space="preserve">If the owner is an LLC, click the "LLC" button. Show the entity details: principal name, agent, formation date. "We pierce the LLC veil automatically." Show related properties if they exist.</w:t>
      </w:r>
    </w:p>
    <w:p>
      <w:pPr>
        <w:pStyle w:val="ListParagraph"/>
        <w:numPr>
          <w:ilvl w:val="0"/>
          <w:numId w:val="3"/>
        </w:numPr>
        <w:spacing w:after="80"/>
      </w:pPr>
      <w:r>
        <w:rPr>
          <w:rFonts w:ascii="Arial" w:cs="Arial" w:eastAsia="Arial" w:hAnsi="Arial"/>
          <w:b/>
          <w:bCs/>
          <w:sz w:val="20"/>
          <w:szCs w:val="20"/>
        </w:rPr>
        <w:t xml:space="preserve">Score Tab. </w:t>
      </w:r>
      <w:r>
        <w:rPr>
          <w:rFonts w:ascii="Arial" w:cs="Arial" w:eastAsia="Arial" w:hAnsi="Arial"/>
          <w:sz w:val="20"/>
          <w:szCs w:val="20"/>
        </w:rPr>
        <w:t xml:space="preserve">Switch to Score. The big number with animated bars is visually impressive. Read the AI-generated narrative. "Claude analyzes the parcel data and writes a site intelligence summary in real-time."</w:t>
      </w:r>
    </w:p>
    <w:p>
      <w:pPr>
        <w:pStyle w:val="ListParagraph"/>
        <w:numPr>
          <w:ilvl w:val="0"/>
          <w:numId w:val="3"/>
        </w:numPr>
        <w:spacing w:after="80"/>
      </w:pPr>
      <w:r>
        <w:rPr>
          <w:rFonts w:ascii="Arial" w:cs="Arial" w:eastAsia="Arial" w:hAnsi="Arial"/>
          <w:b/>
          <w:bCs/>
          <w:sz w:val="20"/>
          <w:szCs w:val="20"/>
        </w:rPr>
        <w:t xml:space="preserve">Zoning AI Chat. </w:t>
      </w:r>
      <w:r>
        <w:rPr>
          <w:rFonts w:ascii="Arial" w:cs="Arial" w:eastAsia="Arial" w:hAnsi="Arial"/>
          <w:sz w:val="20"/>
          <w:szCs w:val="20"/>
        </w:rPr>
        <w:t xml:space="preserve">Switch to Zoning tab. Show the zoning classification and permitted uses. Then ask a natural language question in the chat. "Can I build a drive-through here?" Watch the AI respond with UDO citations. This is the wow moment.</w:t>
      </w:r>
    </w:p>
    <w:p>
      <w:pPr>
        <w:pStyle w:val="ListParagraph"/>
        <w:numPr>
          <w:ilvl w:val="0"/>
          <w:numId w:val="3"/>
        </w:numPr>
        <w:spacing w:after="80"/>
      </w:pPr>
      <w:r>
        <w:rPr>
          <w:rFonts w:ascii="Arial" w:cs="Arial" w:eastAsia="Arial" w:hAnsi="Arial"/>
          <w:b/>
          <w:bCs/>
          <w:sz w:val="20"/>
          <w:szCs w:val="20"/>
        </w:rPr>
        <w:t xml:space="preserve">Comps. </w:t>
      </w:r>
      <w:r>
        <w:rPr>
          <w:rFonts w:ascii="Arial" w:cs="Arial" w:eastAsia="Arial" w:hAnsi="Arial"/>
          <w:sz w:val="20"/>
          <w:szCs w:val="20"/>
        </w:rPr>
        <w:t xml:space="preserve">Switch to Comps. Show the spatial query results. "These are real comparable properties within 1 mile, same zoning class, pulled from county records." Point out the market context summary.</w:t>
      </w:r>
    </w:p>
    <w:p>
      <w:pPr>
        <w:pStyle w:val="ListParagraph"/>
        <w:numPr>
          <w:ilvl w:val="0"/>
          <w:numId w:val="3"/>
        </w:numPr>
        <w:spacing w:after="200"/>
      </w:pPr>
      <w:r>
        <w:rPr>
          <w:rFonts w:ascii="Arial" w:cs="Arial" w:eastAsia="Arial" w:hAnsi="Arial"/>
          <w:b/>
          <w:bCs/>
          <w:sz w:val="20"/>
          <w:szCs w:val="20"/>
        </w:rPr>
        <w:t xml:space="preserve">Save. </w:t>
      </w:r>
      <w:r>
        <w:rPr>
          <w:rFonts w:ascii="Arial" w:cs="Arial" w:eastAsia="Arial" w:hAnsi="Arial"/>
          <w:sz w:val="20"/>
          <w:szCs w:val="20"/>
        </w:rPr>
        <w:t xml:space="preserve">Hit Save. Show the collection picker. "Users can organize properties into deal pipelines." Navigate to the Saved tab to show the list view.</w:t>
      </w:r>
    </w:p>
    <w:p>
      <w:pPr>
        <w:pStyle w:val="Heading3"/>
        <w:spacing w:before="240" w:after="120"/>
      </w:pPr>
      <w:r>
        <w:rPr>
          <w:rFonts w:ascii="Arial" w:cs="Arial" w:eastAsia="Arial" w:hAnsi="Arial"/>
          <w:b/>
          <w:bCs/>
          <w:sz w:val="22"/>
          <w:szCs w:val="22"/>
        </w:rPr>
        <w:t xml:space="preserve">Timing</w:t>
      </w:r>
    </w:p>
    <w:p>
      <w:pPr>
        <w:spacing w:after="120"/>
      </w:pPr>
      <w:r>
        <w:rPr>
          <w:rFonts w:ascii="Arial" w:cs="Arial" w:eastAsia="Arial" w:hAnsi="Arial"/>
          <w:color w:val="333333"/>
          <w:sz w:val="21"/>
          <w:szCs w:val="21"/>
        </w:rPr>
        <w:t xml:space="preserve">Steps 1–3 (map + data): 90 seconds. Steps 4–5 (entity + score): 60 seconds. Steps 6–7 (zoning AI + comps): 90 seconds. Step 8 (save): 30 seconds. Total: ~4.5 minutes, leaving room for questions.</w:t>
      </w:r>
    </w:p>
    <w:p>
      <w:r>
        <w:br w:type="page"/>
      </w:r>
    </w:p>
    <w:p>
      <w:pPr>
        <w:pStyle w:val="Heading1"/>
        <w:spacing w:before="360" w:after="120"/>
      </w:pPr>
      <w:r>
        <w:rPr>
          <w:rFonts w:ascii="Arial" w:cs="Arial" w:eastAsia="Arial" w:hAnsi="Arial"/>
          <w:b/>
          <w:bCs/>
          <w:sz w:val="32"/>
          <w:szCs w:val="32"/>
        </w:rPr>
        <w:t xml:space="preserve">Priority Fixes Before Demo</w:t>
      </w:r>
    </w:p>
    <w:p>
      <w:pPr>
        <w:spacing w:after="120"/>
      </w:pPr>
      <w:r>
        <w:rPr>
          <w:rFonts w:ascii="Arial" w:cs="Arial" w:eastAsia="Arial" w:hAnsi="Arial"/>
          <w:color w:val="333333"/>
          <w:sz w:val="21"/>
          <w:szCs w:val="21"/>
        </w:rPr>
        <w:t xml:space="preserve">If you want to address the findings above, here’s the work in priority order. Items 1–2 are the minimum to not look like a dev prototype. Items 3–5 are polish that would elevate the impression.</w:t>
      </w:r>
    </w:p>
    <w:p>
      <w:pPr>
        <w:pStyle w:val="Heading3"/>
        <w:spacing w:before="240" w:after="120"/>
      </w:pPr>
      <w:r>
        <w:rPr>
          <w:rFonts w:ascii="Arial" w:cs="Arial" w:eastAsia="Arial" w:hAnsi="Arial"/>
          <w:b/>
          <w:bCs/>
          <w:sz w:val="22"/>
          <w:szCs w:val="22"/>
        </w:rPr>
        <w:t xml:space="preserve">1. Skip the landing page</w:t>
      </w:r>
    </w:p>
    <w:p>
      <w:pPr>
        <w:spacing w:after="120"/>
      </w:pPr>
      <w:r>
        <w:rPr>
          <w:rFonts w:ascii="Arial" w:cs="Arial" w:eastAsia="Arial" w:hAnsi="Arial"/>
          <w:color w:val="333333"/>
          <w:sz w:val="21"/>
          <w:szCs w:val="21"/>
        </w:rPr>
        <w:t xml:space="preserve">Route / directly to /phase-2 (or make /phase-2 the default). The phase-selector grid is the single biggest thing making this look like a dev project instead of a product. One line change in next.config.ts or page.tsx redirect.</w:t>
      </w:r>
    </w:p>
    <w:p>
      <w:pPr>
        <w:spacing w:after="120"/>
      </w:pPr>
      <w:r>
        <w:rPr>
          <w:rFonts w:ascii="Arial" w:cs="Arial" w:eastAsia="Arial" w:hAnsi="Arial"/>
          <w:color w:val="333333"/>
          <w:sz w:val="21"/>
          <w:szCs w:val="21"/>
        </w:rPr>
        <w:t xml:space="preserve">Effort: 5 minutes.</w:t>
      </w:r>
    </w:p>
    <w:p>
      <w:pPr>
        <w:pStyle w:val="Heading3"/>
        <w:spacing w:before="240" w:after="120"/>
      </w:pPr>
      <w:r>
        <w:rPr>
          <w:rFonts w:ascii="Arial" w:cs="Arial" w:eastAsia="Arial" w:hAnsi="Arial"/>
          <w:b/>
          <w:bCs/>
          <w:sz w:val="22"/>
          <w:szCs w:val="22"/>
        </w:rPr>
        <w:t xml:space="preserve">2. Hide disabled features</w:t>
      </w:r>
    </w:p>
    <w:p>
      <w:pPr>
        <w:spacing w:after="120"/>
      </w:pPr>
      <w:r>
        <w:rPr>
          <w:rFonts w:ascii="Arial" w:cs="Arial" w:eastAsia="Arial" w:hAnsi="Arial"/>
          <w:color w:val="333333"/>
          <w:sz w:val="21"/>
          <w:szCs w:val="21"/>
        </w:rPr>
        <w:t xml:space="preserve">Remove the "Compare" and "Brief" buttons from PanelActionBar when they’re not functional. Conditionally render them only when the feature is available. Don’t show grayed-out buttons with cursor-not-allowed — it’s the #1 signal of an unfinished product.</w:t>
      </w:r>
    </w:p>
    <w:p>
      <w:pPr>
        <w:spacing w:after="120"/>
      </w:pPr>
      <w:r>
        <w:rPr>
          <w:rFonts w:ascii="Arial" w:cs="Arial" w:eastAsia="Arial" w:hAnsi="Arial"/>
          <w:color w:val="333333"/>
          <w:sz w:val="21"/>
          <w:szCs w:val="21"/>
        </w:rPr>
        <w:t xml:space="preserve">Effort: 15 minutes.</w:t>
      </w:r>
    </w:p>
    <w:p>
      <w:pPr>
        <w:pStyle w:val="Heading3"/>
        <w:spacing w:before="240" w:after="120"/>
      </w:pPr>
      <w:r>
        <w:rPr>
          <w:rFonts w:ascii="Arial" w:cs="Arial" w:eastAsia="Arial" w:hAnsi="Arial"/>
          <w:b/>
          <w:bCs/>
          <w:sz w:val="22"/>
          <w:szCs w:val="22"/>
        </w:rPr>
        <w:t xml:space="preserve">3. Remove "Demo" badge from entity lookup</w:t>
      </w:r>
    </w:p>
    <w:p>
      <w:pPr>
        <w:spacing w:after="120"/>
      </w:pPr>
      <w:r>
        <w:rPr>
          <w:rFonts w:ascii="Arial" w:cs="Arial" w:eastAsia="Arial" w:hAnsi="Arial"/>
          <w:color w:val="333333"/>
          <w:sz w:val="21"/>
          <w:szCs w:val="21"/>
        </w:rPr>
        <w:t xml:space="preserve">Delete the purple flask icon and "Demo" text from EntityLookupCard.tsx. The mock data is realistic enough. Also change the error message from "Not in demo dataset" to "Entity not found in Georgia Secretary of State records."</w:t>
      </w:r>
    </w:p>
    <w:p>
      <w:pPr>
        <w:spacing w:after="120"/>
      </w:pPr>
      <w:r>
        <w:rPr>
          <w:rFonts w:ascii="Arial" w:cs="Arial" w:eastAsia="Arial" w:hAnsi="Arial"/>
          <w:color w:val="333333"/>
          <w:sz w:val="21"/>
          <w:szCs w:val="21"/>
        </w:rPr>
        <w:t xml:space="preserve">Effort: 10 minutes.</w:t>
      </w:r>
    </w:p>
    <w:p>
      <w:pPr>
        <w:pStyle w:val="Heading3"/>
        <w:spacing w:before="240" w:after="120"/>
      </w:pPr>
      <w:r>
        <w:rPr>
          <w:rFonts w:ascii="Arial" w:cs="Arial" w:eastAsia="Arial" w:hAnsi="Arial"/>
          <w:b/>
          <w:bCs/>
          <w:sz w:val="22"/>
          <w:szCs w:val="22"/>
        </w:rPr>
        <w:t xml:space="preserve">4. Clean up locked tab indicators</w:t>
      </w:r>
    </w:p>
    <w:p>
      <w:pPr>
        <w:spacing w:after="120"/>
      </w:pPr>
      <w:r>
        <w:rPr>
          <w:rFonts w:ascii="Arial" w:cs="Arial" w:eastAsia="Arial" w:hAnsi="Arial"/>
          <w:color w:val="333333"/>
          <w:sz w:val="21"/>
          <w:szCs w:val="21"/>
        </w:rPr>
        <w:t xml:space="preserve">If demoing on /phase-2, all tabs are already unlocked, so this is moot. But if you want safety: remove the lock icons from PanelTabs or always enable all tabs regardless of route.</w:t>
      </w:r>
    </w:p>
    <w:p>
      <w:pPr>
        <w:spacing w:after="120"/>
      </w:pPr>
      <w:r>
        <w:rPr>
          <w:rFonts w:ascii="Arial" w:cs="Arial" w:eastAsia="Arial" w:hAnsi="Arial"/>
          <w:color w:val="333333"/>
          <w:sz w:val="21"/>
          <w:szCs w:val="21"/>
        </w:rPr>
        <w:t xml:space="preserve">Effort: 10 minutes.</w:t>
      </w:r>
    </w:p>
    <w:p>
      <w:pPr>
        <w:pStyle w:val="Heading3"/>
        <w:spacing w:before="240" w:after="120"/>
      </w:pPr>
      <w:r>
        <w:rPr>
          <w:rFonts w:ascii="Arial" w:cs="Arial" w:eastAsia="Arial" w:hAnsi="Arial"/>
          <w:b/>
          <w:bCs/>
          <w:sz w:val="22"/>
          <w:szCs w:val="22"/>
        </w:rPr>
        <w:t xml:space="preserve">5. Polish the Alerts and Settings empty states</w:t>
      </w:r>
    </w:p>
    <w:p>
      <w:pPr>
        <w:spacing w:after="120"/>
      </w:pPr>
      <w:r>
        <w:rPr>
          <w:rFonts w:ascii="Arial" w:cs="Arial" w:eastAsia="Arial" w:hAnsi="Arial"/>
          <w:color w:val="333333"/>
          <w:sz w:val="21"/>
          <w:szCs w:val="21"/>
        </w:rPr>
        <w:t xml:space="preserve">Either hide these nav items during the demo, or give them slightly more substance (e.g., "Price change alerts for saved properties" with a subtle illustration).</w:t>
      </w:r>
    </w:p>
    <w:p>
      <w:pPr>
        <w:spacing w:after="120"/>
      </w:pPr>
      <w:r>
        <w:rPr>
          <w:rFonts w:ascii="Arial" w:cs="Arial" w:eastAsia="Arial" w:hAnsi="Arial"/>
          <w:color w:val="333333"/>
          <w:sz w:val="21"/>
          <w:szCs w:val="21"/>
        </w:rPr>
        <w:t xml:space="preserve">Effort: 20 minutes.</w:t>
      </w:r>
    </w:p>
    <w:p>
      <w:pPr>
        <w:pStyle w:val="Heading1"/>
        <w:spacing w:before="360" w:after="120"/>
      </w:pPr>
      <w:r>
        <w:rPr>
          <w:rFonts w:ascii="Arial" w:cs="Arial" w:eastAsia="Arial" w:hAnsi="Arial"/>
          <w:b/>
          <w:bCs/>
          <w:sz w:val="32"/>
          <w:szCs w:val="32"/>
        </w:rPr>
        <w:t xml:space="preserve">What’s Already Strong</w:t>
      </w:r>
    </w:p>
    <w:p>
      <w:pPr>
        <w:spacing w:after="120"/>
      </w:pPr>
      <w:r>
        <w:rPr>
          <w:rFonts w:ascii="Arial" w:cs="Arial" w:eastAsia="Arial" w:hAnsi="Arial"/>
          <w:color w:val="333333"/>
          <w:sz w:val="21"/>
          <w:szCs w:val="21"/>
        </w:rPr>
        <w:t xml:space="preserve">I want to be clear: the core product is in excellent shape for a demo. Here’s what an investor will be impressed by:</w:t>
      </w:r>
    </w:p>
    <w:p>
      <w:pPr>
        <w:pStyle w:val="ListParagraph"/>
        <w:numPr>
          <w:ilvl w:val="0"/>
          <w:numId w:val="4"/>
        </w:numPr>
        <w:spacing w:after="80"/>
      </w:pPr>
      <w:r>
        <w:rPr>
          <w:rFonts w:ascii="Arial" w:cs="Arial" w:eastAsia="Arial" w:hAnsi="Arial"/>
          <w:b/>
          <w:bCs/>
          <w:sz w:val="20"/>
          <w:szCs w:val="20"/>
        </w:rPr>
        <w:t xml:space="preserve">Real data pipeline. </w:t>
      </w:r>
      <w:r>
        <w:rPr>
          <w:rFonts w:ascii="Arial" w:cs="Arial" w:eastAsia="Arial" w:hAnsi="Arial"/>
          <w:sz w:val="20"/>
          <w:szCs w:val="20"/>
        </w:rPr>
        <w:t xml:space="preserve">The ArcGIS integration with Gwinnett County is live and working. This isn’t a mockup — it’s real property data, and investors will notice.</w:t>
      </w:r>
    </w:p>
    <w:p>
      <w:pPr>
        <w:pStyle w:val="ListParagraph"/>
        <w:numPr>
          <w:ilvl w:val="0"/>
          <w:numId w:val="4"/>
        </w:numPr>
        <w:spacing w:after="80"/>
      </w:pPr>
      <w:r>
        <w:rPr>
          <w:rFonts w:ascii="Arial" w:cs="Arial" w:eastAsia="Arial" w:hAnsi="Arial"/>
          <w:b/>
          <w:bCs/>
          <w:sz w:val="20"/>
          <w:szCs w:val="20"/>
        </w:rPr>
        <w:t xml:space="preserve">AI differentiation. </w:t>
      </w:r>
      <w:r>
        <w:rPr>
          <w:rFonts w:ascii="Arial" w:cs="Arial" w:eastAsia="Arial" w:hAnsi="Arial"/>
          <w:sz w:val="20"/>
          <w:szCs w:val="20"/>
        </w:rPr>
        <w:t xml:space="preserve">The zoning AI chat and Claude-generated scoring narratives are genuine product differentiators. No competitor in the LandGlide/Regrid space has this.</w:t>
      </w:r>
    </w:p>
    <w:p>
      <w:pPr>
        <w:pStyle w:val="ListParagraph"/>
        <w:numPr>
          <w:ilvl w:val="0"/>
          <w:numId w:val="4"/>
        </w:numPr>
        <w:spacing w:after="80"/>
      </w:pPr>
      <w:r>
        <w:rPr>
          <w:rFonts w:ascii="Arial" w:cs="Arial" w:eastAsia="Arial" w:hAnsi="Arial"/>
          <w:b/>
          <w:bCs/>
          <w:sz w:val="20"/>
          <w:szCs w:val="20"/>
        </w:rPr>
        <w:t xml:space="preserve">Design consistency. </w:t>
      </w:r>
      <w:r>
        <w:rPr>
          <w:rFonts w:ascii="Arial" w:cs="Arial" w:eastAsia="Arial" w:hAnsi="Arial"/>
          <w:sz w:val="20"/>
          <w:szCs w:val="20"/>
        </w:rPr>
        <w:t xml:space="preserve">The dark theme, typography system (Bebas Neue + IBM Plex Mono + Barlow), and color coding (teal/amber/violet) are cohesive and professional. It looks like a product, not a hackathon project.</w:t>
      </w:r>
    </w:p>
    <w:p>
      <w:pPr>
        <w:pStyle w:val="ListParagraph"/>
        <w:numPr>
          <w:ilvl w:val="0"/>
          <w:numId w:val="4"/>
        </w:numPr>
        <w:spacing w:after="80"/>
      </w:pPr>
      <w:r>
        <w:rPr>
          <w:rFonts w:ascii="Arial" w:cs="Arial" w:eastAsia="Arial" w:hAnsi="Arial"/>
          <w:b/>
          <w:bCs/>
          <w:sz w:val="20"/>
          <w:szCs w:val="20"/>
        </w:rPr>
        <w:t xml:space="preserve">Interaction quality. </w:t>
      </w:r>
      <w:r>
        <w:rPr>
          <w:rFonts w:ascii="Arial" w:cs="Arial" w:eastAsia="Arial" w:hAnsi="Arial"/>
          <w:sz w:val="20"/>
          <w:szCs w:val="20"/>
        </w:rPr>
        <w:t xml:space="preserve">Fly-to animations, skeleton loading states, slide-in panels, and the QuickInfoCard flow are all smooth. These micro-interactions signal engineering maturity.</w:t>
      </w:r>
    </w:p>
    <w:p>
      <w:pPr>
        <w:pStyle w:val="ListParagraph"/>
        <w:numPr>
          <w:ilvl w:val="0"/>
          <w:numId w:val="4"/>
        </w:numPr>
        <w:spacing w:after="80"/>
      </w:pPr>
      <w:r>
        <w:rPr>
          <w:rFonts w:ascii="Arial" w:cs="Arial" w:eastAsia="Arial" w:hAnsi="Arial"/>
          <w:b/>
          <w:bCs/>
          <w:sz w:val="20"/>
          <w:szCs w:val="20"/>
        </w:rPr>
        <w:t xml:space="preserve">Search UX. </w:t>
      </w:r>
      <w:r>
        <w:rPr>
          <w:rFonts w:ascii="Arial" w:cs="Arial" w:eastAsia="Arial" w:hAnsi="Arial"/>
          <w:sz w:val="20"/>
          <w:szCs w:val="20"/>
        </w:rPr>
        <w:t xml:space="preserve">Dual-source search with keyboard navigation, sectioned results, and loading indicators is above-average for early-stage products.</w:t>
      </w:r>
    </w:p>
    <w:p>
      <w:pPr>
        <w:pBdr>
          <w:top w:val="single" w:color="CCCCCC" w:sz="2" w:space="8"/>
        </w:pBdr>
        <w:spacing w:before="300"/>
      </w:pPr>
      <w:r>
        <w:rPr>
          <w:rFonts w:ascii="Arial" w:cs="Arial" w:eastAsia="Arial" w:hAnsi="Arial"/>
          <w:b/>
          <w:bCs/>
          <w:sz w:val="20"/>
          <w:szCs w:val="20"/>
        </w:rPr>
        <w:t xml:space="preserve">Bottom line: </w:t>
      </w:r>
      <w:r>
        <w:rPr>
          <w:rFonts w:ascii="Arial" w:cs="Arial" w:eastAsia="Arial" w:hAnsi="Arial"/>
          <w:sz w:val="20"/>
          <w:szCs w:val="20"/>
        </w:rPr>
        <w:t xml:space="preserve">With 30–45 minutes of UI cleanup (items 1–3 above), this is demo-ready. The product substance is there. You just need to stop the UI from telling the investor it’s a work in progress.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5C63"/>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2026-02-25T02:41:42.401Z</dcterms:created>
  <dcterms:modified xsi:type="dcterms:W3CDTF">2026-02-25T02:41:42.401Z</dcterms:modified>
</cp:coreProperties>
</file>

<file path=docProps/custom.xml><?xml version="1.0" encoding="utf-8"?>
<Properties xmlns="http://schemas.openxmlformats.org/officeDocument/2006/custom-properties" xmlns:vt="http://schemas.openxmlformats.org/officeDocument/2006/docPropsVTypes"/>
</file>