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color w:val="1F4E79"/>
          <w:sz w:val="52"/>
          <w:szCs w:val="52"/>
        </w:rPr>
        <w:t xml:space="preserve">UFO V2 Migration</w:t>
      </w:r>
    </w:p>
    <w:p>
      <w:pPr>
        <w:spacing w:after="160"/>
        <w:jc w:val="center"/>
      </w:pPr>
      <w:r>
        <w:rPr>
          <w:b/>
          <w:bCs/>
          <w:color w:val="2E75B6"/>
          <w:sz w:val="44"/>
          <w:szCs w:val="44"/>
        </w:rPr>
        <w:t xml:space="preserve">Implementation Checklist</w:t>
      </w:r>
    </w:p>
    <w:p>
      <w:pPr>
        <w:spacing w:after="800"/>
        <w:jc w:val="center"/>
      </w:pPr>
      <w:r>
        <w:rPr>
          <w:i/>
          <w:iCs/>
          <w:color w:val="595959"/>
          <w:sz w:val="22"/>
          <w:szCs w:val="22"/>
        </w:rPr>
        <w:t xml:space="preserve">Every step across all seven phases (P0 → P6), with completed work checked off and remaining work itemized.</w:t>
      </w:r>
    </w:p>
    <w:p>
      <w:pPr>
        <w:spacing w:after="200"/>
        <w:jc w:val="center"/>
      </w:pPr>
      <w:r>
        <w:rPr>
          <w:color w:val="595959"/>
          <w:sz w:val="24"/>
          <w:szCs w:val="24"/>
        </w:rPr>
        <w:t xml:space="preserve">☑ = complete  ·  ☐ = pending</w:t>
      </w:r>
    </w:p>
    <w:p>
      <w:pPr>
        <w:spacing w:after="200"/>
        <w:jc w:val="center"/>
      </w:pPr>
      <w:r>
        <w:rPr>
          <w:color w:val="595959"/>
          <w:sz w:val="22"/>
          <w:szCs w:val="22"/>
        </w:rPr>
        <w:t xml:space="preserve">Green rows are work already complete in the workspace.</w:t>
      </w:r>
    </w:p>
    <w:p>
      <w:pPr>
        <w:spacing w:after="1200"/>
        <w:jc w:val="center"/>
      </w:pPr>
      <w:r>
        <w:rPr>
          <w:color w:val="595959"/>
          <w:sz w:val="22"/>
          <w:szCs w:val="22"/>
        </w:rPr>
        <w:t xml:space="preserve">Yellow rows are in progress · Grey rows are scheduled but not started.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Owner: Solution Architecture · Date: 12 May 2026 · Version: 1.0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How to Use This Checklist</w:t>
      </w:r>
    </w:p>
    <w:p>
      <w:pPr>
        <w:spacing w:after="120" w:line="300"/>
      </w:pPr>
      <w:r>
        <w:t xml:space="preserve">This is the master implementation tracker for the UFO V2 migration. It is organized by phase (P0 → P6) as defined in the Initial Project Review §6. Each phase contains a checklist table where each row is one concrete action; the leftmost column shows status, the rightmost cross-references the design document that justifies it.</w:t>
      </w:r>
    </w:p>
    <w:p>
      <w:pPr>
        <w:spacing w:after="120" w:line="300"/>
      </w:pPr>
      <w:r>
        <w:t xml:space="preserve">Update protocol: when an item is completed, change its marker from ☐ to ☑, change the row fill from grey to green, and add the completion date in the Notes column. Any item that becomes blocked stays at ☐ but moves to a yellow row with the blocker described in Notes.</w:t>
      </w:r>
    </w:p>
    <w:p>
      <w:pPr>
        <w:spacing w:after="120" w:line="300"/>
      </w:pPr>
      <w:r>
        <w:t xml:space="preserve">Phases run mostly sequentially with the explicit parallels called out in §6.2 of the Initial Project Review (P3 can begin in parallel with P2 once the Bronze layer is stable).</w:t>
      </w:r>
    </w:p>
    <w:p>
      <w:pPr>
        <w:pStyle w:val="Heading1"/>
        <w:spacing w:after="200" w:before="360"/>
      </w:pPr>
      <w:r>
        <w:t xml:space="preserve">2. Status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1500"/>
        <w:gridCol w:w="266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Theme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Items Done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Items Pending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Stabilize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Pending — execute when V2 work is approved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Bronze ingest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 — code + design complete; Foundry binding remaining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 + parity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 — parity harness complete; Silver transforms remaining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Ontology re-shape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 — proposal authored; Foundry-side creation remaining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 V2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 — Comments spike complete; 7 modules remaining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Incrementality &amp; scale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Cutover &amp; decommission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Cross-cutting documentation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planned design documents authored</w:t>
            </w:r>
          </w:p>
        </w:tc>
      </w:tr>
    </w:tbl>
    <w:p>
      <w:pPr>
        <w:pStyle w:val="Heading1"/>
        <w:spacing w:after="200" w:before="360"/>
      </w:pPr>
      <w:r>
        <w:t xml:space="preserve">3. Phase 0 — Stabilize</w:t>
      </w:r>
    </w:p>
    <w:p>
      <w:pPr>
        <w:spacing w:after="120" w:line="300"/>
      </w:pPr>
      <w:r>
        <w:t xml:space="preserve">Lock current state, install tool-chain, capture baseline metrics. Prerequisites for everything that follows.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 V1 ontology branch and snapshot for rollback.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Pre-merge safety net.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 Functions V2 toolchain in CI (TypeScript 5, vitest 1, Foundry Functions V2 build target).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 equivalent already validated in the Comments spike.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Foundry Code Repository validation builds on both repos.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DevOps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Foundry-side green-build gate.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Capture V1 baseline metrics: build latency, build cost, dashboard query SLO.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Inputs to the §10 cutover decision.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V1 dataset row counts on the supplied sample CSVs.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 the floor for the §P1 reconciliation tolerance.</w:t>
            </w:r>
          </w:p>
        </w:tc>
      </w:tr>
    </w:tbl>
    <w:p>
      <w:pPr>
        <w:pStyle w:val="Heading1"/>
        <w:spacing w:after="200" w:before="360"/>
      </w:pPr>
      <w:r>
        <w:t xml:space="preserve">4. Phase 1 — V2 Bronze Ingest</w:t>
      </w:r>
    </w:p>
    <w:p>
      <w:pPr>
        <w:spacing w:after="120" w:line="300"/>
      </w:pPr>
      <w:r>
        <w:t xml:space="preserve">Wire the five V2 source files into Bronze datasets with TZ normalization. Pure ingest layer — no business logic. The package is built; only Foundry-side bindings remain.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v2_bronze sibling package alongside V1 (DataTransformationRepository/v2_bronze/).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_bronze_utils.py — TZ-aware timestamp parser, array parsers, schema-cast helpers, RID registry, DQ-column helper.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bronze_techrequest_index.py (47 → 50 cols).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bronze_dossier_metadata.py (96 → 99 cols, 7 TZ pairs).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bronze_messages_metadata.py (55 → 58 cols, 11 TZ pairs).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bronze_manufacturing_quality_reference.py (6 → 9 cols).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bronze_linked_dossier.py (8 → 11 cols).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Smoke-test against supplied sample CSVs — row counts match raw + 3 DQ columns; TZ math verified on four sources.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Phase 1 Bronze Design Note (.docx).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the five V2 raw datasets in Foundry by uploading CSVs (or pointing at upstream Skywise feeds).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 / 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action.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the five empty Bronze datasets in Foundry — Foundry assigns each a RID.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action.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Replace the ten PLACEHOLDER values in _bronze_utils.RIDS with the real Foundry RIDs.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One-line edits per RID. See §5.2 of the Bronze Design Note.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the build schedule — run each compute() driver after the upstream raw dataset refreshes.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schedule definition.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Reconcile Bronze row counts against V1 on the supplied sample — within agreed tolerance.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criterion for P1.</w:t>
            </w:r>
          </w:p>
        </w:tc>
      </w:tr>
    </w:tbl>
    <w:p>
      <w:pPr>
        <w:pStyle w:val="Heading1"/>
        <w:spacing w:after="200" w:before="360"/>
      </w:pPr>
      <w:r>
        <w:t xml:space="preserve">5. Phase 2 — Silver + Parity</w:t>
      </w:r>
    </w:p>
    <w:p>
      <w:pPr>
        <w:spacing w:after="120" w:line="300"/>
      </w:pPr>
      <w:r>
        <w:t xml:space="preserve">Re-implement the V1 logic on V2 inputs using DataFrame APIs, and stand up the V1↔V2 parity harness. The harness is done; Silver transforms remain.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 v2_parity sibling package (DataTransformationRepository/v2_parity/).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_parity_utils.py — held-out sampler, six comparators (string / bool / int / array / timestamp / date), V1↔V2 FIELD_MAP, diff and summary schemas, build_diff / build_summary.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parity_ufo_entry.py — driver wiring V1 UfoEntry vs V2 Bronze on dossier_internal_id.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Smoke-test parity harness — 30/30 expected mismatches detected, single-Spark-job execution.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Parity Harness Design Note (.docx) — datasets, join key, comparators, outputs explained.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silver_ufo_entry.py — Bronze techrequest_index + dossier_metadata → V1-shaped Ufoentry.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Re-implements V1 UFOEntries.py using DataFrame APIs.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silver_ufo_message.py — Bronze messages_metadata → V1-shaped MessageKPI.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Re-implements V1 MessageParsing.py.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silver_ufo_approval_doc.py — Re-implements V1 ApprDoc.py.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silver_ufo_path.py — Re-implements V1 UFOPath.py.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silver_ufo_icao.py — Re-implements V1 ICAOObjects.py.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operator-ICAO patch reference table (replaces hard-coded USA → AAL).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Rebind v2_parity RIDS['v2.bronze.techrequest_index'] to silver.ufo_entry.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One-line edit when Silver lands.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parity harness on production sample — achieve ≥ 99.5% match_pct on prioritization-relevant fields.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criterion for P2.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Update FIELD_MAP to add any newly Silver-derived fields (e.g. global_priority_score, escalation flags) for end-to-end coverage.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6. Phase 3 — Ontology Re-shape</w:t>
      </w:r>
    </w:p>
    <w:p>
      <w:pPr>
        <w:spacing w:after="120" w:line="300"/>
      </w:pPr>
      <w:r>
        <w:t xml:space="preserve">Introduce the TechRequestDossier interface, four new object types, eleven link types, three struct types, six value types, and six shared properties. The proposal is authored; everything else is Foundry-side creation.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Phase 3 Ontology Proposal — interface, value types, shared properties, struct types, object types, link types, backing-dataset map, migration plan.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six value types in Ontology Manager: vt_icao_code, vt_ata_chapter, vt_ata_reference, vt_aircraft_msn, vt_dossier_id, vt_dossier_internal_id.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§2.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six shared property types: sp_dossier_id, sp_dossier_internal_id, sp_operator_code_icao, sp_ata_chapter, sp_ata, sp_aircraft_msn.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§3.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three struct types: st_comment_entry, st_action_log_entry, st_priority_parameter_config.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§4.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the TechRequestDossier interface with its six members.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§5.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object type ufo_entry (V2 re-shape, 41 properties) and bind to bronze.techrequest_index.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§6.1.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object type ufo_post_treatment (22 properties) and bind to bronze.dossier_metadata.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§6.2.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object type ufo_interruption (20 properties) and bind to bronze.dossier_metadata.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§6.3.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object type ufo_manufacturing_quality_rfi (6 properties).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§6.4.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object type ufo_company (9 properties).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§6.5.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eleven link types — including lt_entry_to_linked_dossier with its two link properties (skywise_link_id, linked_type).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Proposal §7.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Ontology Proposal for review.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review workflow.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Merge ontology proposal to main branch.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criterion for P3.</w:t>
            </w:r>
          </w:p>
        </w:tc>
      </w:tr>
    </w:tbl>
    <w:p>
      <w:pPr>
        <w:pStyle w:val="Heading1"/>
        <w:spacing w:after="200" w:before="360"/>
      </w:pPr>
      <w:r>
        <w:t xml:space="preserve">7. Phase 4 — Functions V2</w:t>
      </w:r>
    </w:p>
    <w:p>
      <w:pPr>
        <w:spacing w:after="120" w:line="300"/>
      </w:pPr>
      <w:r>
        <w:t xml:space="preserve">Port the V1 TypeScript ontology functions to Functions V2 using the pure-logic / adapter pattern proven by the Comments spike. Each port follows the eight-step template in §10 of the Functions V2 Spike Design Note.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Scaffold UFO_OntologyObject_Functions_V2/ sibling package — package.json, tsconfig.json with experimentalDecorators, vitest.config.ts with @foundry/* alias.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foundry-stubs.ts — type stubs satisfying @foundry/functions-api and @foundry/ontology-api locally.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Comments.ts — types / dictionary / parse / views / adapter modules; pure-logic / Foundry-adapter split.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30 vitest cases across parse.test.ts and views.test.ts; dev loop passes (tsc --noEmit &amp;&amp; vitest run).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 — 30/30 in 374 ms.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 Functions V2 Spike Design Note (.docx).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FSRFunctions.ts → fsr/{identity,favorites}.ts.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#2 in the spike's replication template.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fsrTeam.ts + Misc.ts → fsr/teams.ts.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#3.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restoration.ts → dashboard/restoration.ts.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#4.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reportGenerator.ts → reporting/escalation_digest.ts.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#5.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MyFunctions.priorityDriver + supporting → prioritization/algorithm.ts (largest single port).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#6 — high complexity (~1,350 lines).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MyFunctions.fsrEntryDriver / stored-action replay → fsr/edit.ts.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#7.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Port escalate / deEscalate / createEscalationObject → escalation/lifecycle.ts.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Order #8.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V2 functions repo to Foundry Code Repository and run end-to-end smoke test against a held-out object set.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 / 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Foundry-side validation.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Drop parse/serialize lines in every adapter once P3 ontology lands and entry.comments is Array&lt;st_comment_entry&gt;.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spike doc §8.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Enable vitest --coverage as a CI gate.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Once total suite exceeds ~100 cases.</w:t>
            </w:r>
          </w:p>
        </w:tc>
      </w:tr>
    </w:tbl>
    <w:p>
      <w:pPr>
        <w:pStyle w:val="Heading1"/>
        <w:spacing w:after="200" w:before="360"/>
      </w:pPr>
      <w:r>
        <w:t xml:space="preserve">8. Phase 5 — Incrementality &amp; Scale</w:t>
      </w:r>
    </w:p>
    <w:p>
      <w:pPr>
        <w:spacing w:after="120" w:line="300"/>
      </w:pPr>
      <w:r>
        <w:t xml:space="preserve">Switch the Gold (and selectively Silver) transforms to incremental + APPEND with primary keys; partition for production volumes; tune Spark configurations.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ufo_entry_gold transform to @incremental + APPEND keyed on dossier_id.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incremental decorator.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ufo_message_gold to @incremental + APPEND keyed on message_id.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Switch ufo_approval_document_gold to @incremental + APPEND.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Partition Gold datasets by aircraft_program and operator_code_icao.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Optimizes the most common Workshop filter axes.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Tune Spark configs for production traffic — driver memory, executor count, AQE settings.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Verify build cost ≤ 50% of the V1 baseline captured in P0.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criterion for P5.</w:t>
            </w:r>
          </w:p>
        </w:tc>
      </w:tr>
    </w:tbl>
    <w:p>
      <w:pPr>
        <w:pStyle w:val="Heading1"/>
        <w:spacing w:after="200" w:before="360"/>
      </w:pPr>
      <w:r>
        <w:t xml:space="preserve">9. Phase 6 — Cutover &amp; Decommission</w:t>
      </w:r>
    </w:p>
    <w:p>
      <w:pPr>
        <w:spacing w:after="120" w:line="300"/>
      </w:pPr>
      <w:r>
        <w:t xml:space="preserve">Dual-write, dashboard migration, V1 deprecation, V1 archival. Final phase.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cutover envelope — dual-write start date, Workshop freeze window, V1 quiesce date.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/ 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Carried over from Scope Worksheet §4.2.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 dual-write window — V1 and V2 both populated.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Workshop dashboards to V2 ontology bindings.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FSR Ops / 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Initial Review §1.3 R5.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Migrate FSR.favorites string array → Link Type rows (per Initial Review §7 risk).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One-time data migration.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Quiesce V1 datasets — no further V1 writes.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Deprecate V1 transforms in the DataTransformationRepository — leave files in place but unschedule.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SW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Preserves historical reproducibility.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Archive V1 ontology fields (read-only) and update the parity harness to read from V1 archives if needed.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Foundry Admin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 off run-book to Ops, update alerts, and close out the migration.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Exit criterion for P6.</w:t>
            </w:r>
          </w:p>
        </w:tc>
      </w:tr>
    </w:tbl>
    <w:p>
      <w:pPr>
        <w:pStyle w:val="Heading1"/>
        <w:spacing w:after="200" w:before="360"/>
      </w:pPr>
      <w:r>
        <w:t xml:space="preserve">10. Cross-cutting &amp; Operational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1500"/>
        <w:gridCol w:w="1900"/>
      </w:tblGrid>
      <w:tr>
        <w:trPr>
          <w:tblHeader/>
        </w:trP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/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Step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Reference / Notes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Project Review authored (current state, scope, risks, target architecture, phased plan).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 &amp; Phasing Confirmation Worksheet authored — drives §1/§5/§6 review with stakeholders, with a candidate P3 object-type table.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Bronze Design Note authored.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Parity Harness Design Note authored.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3 Ontology Proposal authored.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 V2 Spike Design Note authored.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☑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Implementation Checklist authored — this document.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 Architecture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A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Completed 12 May 2026.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 off all design documents in their §Acceptance sections.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Stakeholders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 the sign-off tables already present.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 up the V2 build-cost / parity-percentage monitoring dashboard.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Inputs to the P5 exit criterion.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parity alert thresholds (suggested: alert if any field drops below 99.5% for two consecutive runs).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Eng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 Parity Design Note §8.1.</w:t>
            </w:r>
          </w:p>
        </w:tc>
      </w:tr>
      <w:tr>
        <w:tc>
          <w:tcPr>
            <w:tcW w:type="dxa" w:w="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☐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Document the FSR community communication plan and target dates.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Product / FSR Ops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200" w:before="360"/>
      </w:pPr>
      <w:r>
        <w:t xml:space="preserve">11. Deliverables Produced To Date</w:t>
      </w:r>
    </w:p>
    <w:p>
      <w:pPr>
        <w:pStyle w:val="Heading2"/>
        <w:spacing w:after="160" w:before="280"/>
      </w:pPr>
      <w:r>
        <w:t xml:space="preserve">11.1 Design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5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Location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UFO_V2_Initial_Project_Review.docx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Survey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_ProjectReview/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UFO_V2_Scope_Confirmation_Worksheet.docx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Decision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_ProjectReview/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UFO_V2_Phase1_Bronze_Design_Note.docx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_ProjectReview/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UFO_V2_Parity_Harness_Design_Note.docx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P1→P2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_ProjectReview/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UFO_V2_Phase3_Ontology_Proposal.docx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_ProjectReview/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UFO_V2_FunctionsV2_Spike_Comments.docx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spike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_ProjectReview/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UFO_V2_Implementation_Checklist.docx (this document)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_ProjectReview/</w:t>
            </w:r>
          </w:p>
        </w:tc>
      </w:tr>
    </w:tbl>
    <w:p>
      <w:pPr>
        <w:pStyle w:val="Heading2"/>
        <w:spacing w:after="160" w:before="280"/>
      </w:pPr>
      <w:r>
        <w:t xml:space="preserve">11.2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400"/>
        <w:gridCol w:w="1500"/>
        <w:gridCol w:w="28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Location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v2_bronze/__init__.py + _bronze_utils.py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DataTransformationRepository/v2_bronze/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v2_bronze/bronze_techrequest_index.py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DataTransformationRepository/v2_bronze/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v2_bronze/bronze_dossier_metadata.py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DataTransformationRepository/v2_bronze/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v2_bronze/bronze_messages_metadata.py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DataTransformationRepository/v2_bronze/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v2_bronze/bronze_manufacturing_quality_reference.py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DataTransformationRepository/v2_bronze/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v2_bronze/bronze_linked_dossier.py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DataTransformationRepository/v2_bronze/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v2_parity/__init__.py + _parity_utils.py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P1→P2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DataTransformationRepository/v2_parity/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v2_parity/parity_ufo_entry.py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P1→P2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DataTransformationRepository/v2_parity/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UFO_OntologyObject_Functions_V2/ — comments module (types, dictionary, parse, views, adapter, index)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spike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UFO_OntologyObject_Functions_V2/src/comments/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UFO_OntologyObject_Functions_V2/ — tests (parse.test.ts, views.test.ts, fixtures.ts)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spike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UFO_OntologyObject_Functions_V2/test/comments/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UFO_OntologyObject_Functions_V2/ — package.json, tsconfig.json, vitest.config.ts, foundry-stubs.ts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P4 spike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UFO_OntologyObject_Functions_V2/</w:t>
            </w:r>
          </w:p>
        </w:tc>
      </w:tr>
    </w:tbl>
    <w:p>
      <w:pPr>
        <w:pStyle w:val="Heading2"/>
        <w:spacing w:after="160" w:before="280"/>
      </w:pPr>
      <w:r>
        <w:t xml:space="preserve">11.3 Untouched V1 assets — verified by hash</w:t>
      </w:r>
    </w:p>
    <w:p>
      <w:pPr>
        <w:spacing w:after="120" w:line="300"/>
      </w:pPr>
      <w:r>
        <w:t xml:space="preserve">Every V1 file's MD5 hash matches the pre-spike state — recorded in each design note. The V1 ontology and pipeline continue to operate unchanged.</w:t>
      </w:r>
    </w:p>
    <w:p>
      <w:pPr>
        <w:pStyle w:val="Heading1"/>
        <w:spacing w:after="200" w:before="360"/>
      </w:pPr>
      <w:r>
        <w:t xml:space="preserve">12. Sign-off Log</w:t>
      </w:r>
    </w:p>
    <w:p>
      <w:pPr>
        <w:spacing w:after="120" w:line="300"/>
      </w:pPr>
      <w:r>
        <w:t xml:space="preserve">Each design document carries its own §Acceptance / sign-off section. This log is the single place to mark when each phase has been signed off and is therefore moving to the next phase. Update as phases close.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3200"/>
        <w:gridCol w:w="28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Theme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Signed off by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4E79"/>
              </w:rPr>
              <w:t xml:space="preserve">Date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Stabilize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 Bronze ingest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Silver + parity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Ontology re-shape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Functions V2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Incrementality &amp; scale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Cutover &amp; decommission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line="300"/>
      </w:pPr>
      <w:r>
        <w:rPr>
          <w:b/>
          <w:bCs/>
        </w:rPr>
        <w:t xml:space="preserve">End of checklist. </w:t>
      </w:r>
      <w:r>
        <w:t xml:space="preserve">Re-export this document after each significant milestone so the working copy in the repo always reflects current state.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95959"/>
        <w:sz w:val="18"/>
        <w:szCs w:val="18"/>
      </w:rPr>
      <w:t xml:space="preserve">Solution Architecture · v1.0 · 12 May 2026</w:t>
    </w:r>
    <w:r>
      <w:rPr>
        <w:sz w:val="18"/>
        <w:szCs w:val="18"/>
      </w:rPr>
      <w:t xml:space="preserve">	</w:t>
    </w: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595959"/>
        <w:sz w:val="18"/>
        <w:szCs w:val="18"/>
      </w:rPr>
      <w:t xml:space="preserve">UFO V2 Migration · Implementation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UFO V2 Migration — Implementation Checklist</dc:title>
  <dc:creator>Solution Architecture</dc:creator>
  <dc:description>Master implementation checklist for the UFO V2 migration. All seven phases. Completed and pending items.</dc:description>
  <cp:lastModifiedBy>Un-named</cp:lastModifiedBy>
  <cp:revision>1</cp:revision>
  <dcterms:created xsi:type="dcterms:W3CDTF">2026-05-12T17:25:09.635Z</dcterms:created>
  <dcterms:modified xsi:type="dcterms:W3CDTF">2026-05-12T17:25:09.638Z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