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52"/>
          <w:szCs w:val="52"/>
        </w:rPr>
        <w:t xml:space="preserve">UFO V2 — Parity Harness</w:t>
      </w:r>
    </w:p>
    <w:p>
      <w:pPr>
        <w:spacing w:after="160"/>
        <w:jc w:val="center"/>
      </w:pPr>
      <w:r>
        <w:rPr>
          <w:color w:val="2E75B6"/>
          <w:sz w:val="32"/>
          <w:szCs w:val="32"/>
        </w:rPr>
        <w:t xml:space="preserve">Design Note &amp; Operating Guide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v2_parity package — V1 UfoEntry compared to V2-derived UfoEntry on a held-out sample.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Owner: Solution Architecture · Date: 12 May 2026 · Status: Implemented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20" w:line="300"/>
      </w:pPr>
      <w:r>
        <w:t xml:space="preserve">The parity harness is the first quantitative guard-rail in the UFO V2 migration. It reads two datasets — the live V1 UfoEntry and the V2-derived equivalent — joins them on a stable identifier, and emits a row-by-row diff plus a per-field summary. Operators read the summary on every build to detect drift before any user is affected.</w:t>
      </w:r>
    </w:p>
    <w:p>
      <w:pPr>
        <w:spacing w:after="120" w:line="300"/>
      </w:pPr>
      <w:r>
        <w:t xml:space="preserve">This document explains, in order: which datasets the harness reads and writes, how they are connected, how the comparison is performed, and how to interpret the results.</w:t>
      </w:r>
    </w:p>
    <w:p>
      <w:pPr>
        <w:pStyle w:val="Heading2"/>
        <w:spacing w:after="160" w:before="280"/>
      </w:pPr>
      <w:r>
        <w:t xml:space="preserve">1.1 What it delivers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pure-PySpark transform (no business logic) that runs alongside the existing V1 pipeline and the new V2 Bronze pipeline.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Two output datasets per run: a long-form diff (one row per dossier × field) and a per-field summary.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deterministic, reproducible held-out sample so the same dossier_internal_ids surface in every comparison.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Match classification that separates real data drift from harmless TZ-offset differences.</w:t>
      </w:r>
    </w:p>
    <w:p>
      <w:pPr>
        <w:pStyle w:val="Heading2"/>
        <w:spacing w:after="160" w:before="280"/>
      </w:pPr>
      <w:r>
        <w:t xml:space="preserve">1.2 What it does not 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does not modify V1 code — confirmed by file-hash check.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does not modify v2_bronze code — the harness is a sibling package.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does not transform either side into the other — it compares like-for-like after a small set of well-documented normalizations (USA → AAL operator alias, sort_array on MSN, ISO-8601 timestamp casts).</w:t>
      </w:r>
    </w:p>
    <w:p>
      <w:pPr>
        <w:pStyle w:val="Heading1"/>
        <w:spacing w:after="200" w:before="360"/>
      </w:pPr>
      <w:r>
        <w:t xml:space="preserve">2. Datasets Used</w:t>
      </w:r>
    </w:p>
    <w:p>
      <w:pPr>
        <w:spacing w:after="120" w:line="300"/>
      </w:pPr>
      <w:r>
        <w:t xml:space="preserve">Four datasets participate in a parity run: two inputs that already exist (or will, after Phase 1 lands) and two outputs that the harness writes. Every dataset is identified by a logical name held in a RID registry, so the harness does not embed raw Foundry RIDs in code.</w:t>
      </w:r>
    </w:p>
    <w:p>
      <w:pPr>
        <w:pStyle w:val="Heading2"/>
        <w:spacing w:after="160" w:before="280"/>
      </w:pPr>
      <w:r>
        <w:t xml:space="preserve">2.1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700"/>
        <w:gridCol w:w="1700"/>
        <w:gridCol w:w="10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Logical 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Produced 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Schema Source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Contains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 reference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v1.ufo_entry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DataTransformationRepository/UFOEntries.py (V1, untouched)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schemaSetGen() in UFOEntries.py — 60+ fields with V1 mixed-case names (Dossier_ID, Title, operator_ICAO, MSN, …).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Today's ontology-backing UfoEntry rows. The dataset the V1 ontology is bound to — i.e. the answer the live FSR view sees right now.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candidate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v2.bronze.techrequest_index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v2_bronze/bronze_techrequest_index.py (Phase 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BRONZE_SCHEMA in bronze_techrequest_index.py — snake_case V2 columns, TZ-normalized timestamps, parsed arrays.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V2 dossier spine, the candidate replacement for V1's UfoEntry skeleton.</w:t>
            </w:r>
          </w:p>
        </w:tc>
      </w:tr>
    </w:tbl>
    <w:p>
      <w:pPr>
        <w:spacing w:after="120" w:line="300"/>
      </w:pPr>
      <w:r>
        <w:t xml:space="preserve">In Phase 2 the V2 input is rebound to the Silver V2 UfoEntry — the V1 logic re-implemented on V2 inputs using DataFrame APIs. No change is required in the harness code itself. Operators edit one line in _parity_utils.RIDS to repoint.</w:t>
      </w:r>
    </w:p>
    <w:p>
      <w:pPr>
        <w:pStyle w:val="Heading2"/>
        <w:spacing w:after="160" w:before="280"/>
      </w:pPr>
      <w:r>
        <w:t xml:space="preserve">2.2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5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Logical 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Schema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Contents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Long-form diff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parity.ufo_entry_diff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DIFF_SCHEMA — dossier_internal_id, field_name, v1_value, v2_value, matches, match_kind, delta, _ingested_at, _run_id.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row per (dossier_internal_id, field) comparison. ~30 fields × held-out sample size. Used for drill-down when a summary row alerts.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Per-field summary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parity.ufo_entry_summary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SUMMARY_SCHEMA — field_name, compared_count, exact_count, tz_offset_equivalent_count, both_null_count, v1_null_count, v2_null_count, mismatch_count, match_pct, sample_mismatch_internal_ids, _ingested_at, _run_id.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row per field, with the aggregate counts and a small sample of mismatching dossier_internal_ids for triage.</w:t>
            </w:r>
          </w:p>
        </w:tc>
      </w:tr>
    </w:tbl>
    <w:p>
      <w:pPr>
        <w:pStyle w:val="Heading1"/>
        <w:spacing w:after="200" w:before="360"/>
      </w:pPr>
      <w:r>
        <w:t xml:space="preserve">3. How the Datasets Are Connected</w:t>
      </w:r>
    </w:p>
    <w:p>
      <w:pPr>
        <w:spacing w:after="120" w:line="300"/>
      </w:pPr>
      <w:r>
        <w:t xml:space="preserve">The harness joins the two inputs on a single key, then walks a field map to produce comparisons. The data-flow is small but specific — this section explains it in detail.</w:t>
      </w:r>
    </w:p>
    <w:p>
      <w:pPr>
        <w:pStyle w:val="Heading2"/>
        <w:spacing w:after="160" w:before="280"/>
      </w:pPr>
      <w:r>
        <w:t xml:space="preserve">3.1 Data-flow diagram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┌──────────────────────────────────────────────┐
                            │  techrequest_index_metadata_v2.csv (raw V2)  │
                            └──────────────────────────────────────────────┘
                                                  │
                                                  ▼  (Phase 1 Bronze)
                            ┌──────────────────────────────────────────────┐
                            │  v2.bronze.techrequest_index                 │
                            │  snake_case, typed, UTC-normalized           │
                            └──────────────────────────────────────────────┘
                                                  │
        ┌─────────────────────────────────────────┤
        │                                         │
        ▼                                         ▼
┌───────────────────┐                ┌──────────────────────────────┐
│  v1.ufo_entry     │                │  v2.bronze.techrequest_index │
│  (V1 UFOEntries)  │   join on      │  (V2 candidate)              │
│  Internal_Id      ├───dossier_internal_id───┤  dossier_internal_id  │
└───────────────────┘                └──────────────────────────────┘
                                                  │
                                                  ▼
                              ┌────────────────────────────────────┐
                              │   held_out_sample()  (sha2 == 00)  │
                              │   ~1/256 of rows, deterministic    │
                              └────────────────────────────────────┘
                                                  │
                                                  ▼
                              ┌────────────────────────────────────┐
                              │   build_diff() — apply FIELD_MAP   │
                              │   1 Spark job, array&lt;struct&gt;+explode │
                              └────────────────────────────────────┘
                                                  │
                          ┌───────────────────────┴──────────────────────┐
                          ▼                                              ▼
         ┌─────────────────────────────┐               ┌──────────────────────────────┐
         │  parity.ufo_entry_diff      │  build_summary│  parity.ufo_entry_summary    │
         │  long-form, per-field row   │──────────────▶│  per-field aggregates + pct │
         └─────────────────────────────┘               └──────────────────────────────┘</w:t>
      </w:r>
    </w:p>
    <w:p>
      <w:pPr>
        <w:pStyle w:val="Heading2"/>
        <w:spacing w:after="160" w:before="280"/>
      </w:pPr>
      <w:r>
        <w:t xml:space="preserve">3.2 The join key</w:t>
      </w:r>
    </w:p>
    <w:p>
      <w:pPr>
        <w:spacing w:after="120" w:line="300"/>
      </w:pPr>
      <w:r>
        <w:rPr>
          <w:b/>
          <w:bCs/>
        </w:rPr>
        <w:t xml:space="preserve">Join column: </w:t>
      </w:r>
      <w:r>
        <w:rPr>
          <w:rFonts w:ascii="Consolas" w:cs="Consolas" w:eastAsia="Consolas" w:hAnsi="Consolas"/>
        </w:rPr>
        <w:t xml:space="preserve">dossier_internal_id </w:t>
      </w:r>
      <w:r>
        <w:t xml:space="preserve">(in V1 the column is named </w:t>
      </w:r>
      <w:r>
        <w:rPr>
          <w:rFonts w:ascii="Consolas" w:cs="Consolas" w:eastAsia="Consolas" w:hAnsi="Consolas"/>
        </w:rPr>
        <w:t xml:space="preserve">Internal_Id</w:t>
      </w:r>
      <w:r>
        <w:t xml:space="preserve"> — the harness renames it on read so a single canonical key is used throughout).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Why dossier_internal_id and not dossier_id? </w:t>
      </w:r>
      <w:r>
        <w:t xml:space="preserve">The numeric dossier_id can change for migrated dossiers, but the internal UUID is stable across V1 and V2 of TechRequest. It is the only safe join key for cross-version parity work.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Join type: </w:t>
      </w:r>
      <w:r>
        <w:t xml:space="preserve">FULL OUTER. We want to surface dossiers that exist on one side but not the other — they appear as match_kind = v1_null or v2_null in the diff.</w:t>
      </w:r>
    </w:p>
    <w:p>
      <w:pPr>
        <w:pStyle w:val="Heading2"/>
        <w:spacing w:after="160" w:before="280"/>
      </w:pPr>
      <w:r>
        <w:t xml:space="preserve">3.3 The field map</w:t>
      </w:r>
    </w:p>
    <w:p>
      <w:pPr>
        <w:spacing w:after="120" w:line="300"/>
      </w:pPr>
      <w:r>
        <w:t xml:space="preserve">The harness compares 31 fields. Each is a row in FIELD_MAP (in _parity_utils.py). A row pairs a V1 column name to a V2 column name plus the comparator to use. Adding a new comparison is a one-line addition.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V1 column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V2 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Comparator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Identity — should be 100% exact.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join key (not in field map)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Renamed to the canonical key on read.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Domain / Title / Label / Channel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dossier_domain / dossier_title / dossier_label / dossier_channel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Trim + case-insensitive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Dossier_isMigrated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is_dossier_migrated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compare_bool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Strict eqNullSafe.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Watch for OPEN / CLSD casing drift.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Program_Letter / Program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aircraft_program_code / aircraft_program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Aircraft_Type / Aircraft_Model / Registration_Number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aircraft_type / aircraft_model / registration_number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isapplicable_forAll_MSN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is_applicable_for_all_msn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compare_bool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MSN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aircraft_msn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compare_int_array_as_set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Order-insensitive set equality (sort_array on both sides).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operator_ICAO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operator_code_icao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side is patched USA → AAL inside the harness to match V1's UFOEntries patch.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engineSeries / engineModel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engine_series / engine_model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component_SerialNum / component_PartNum / component_FIN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component_serial_number / component_part_number / component_FIN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Aircraft_Flightcycs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aircraft_flight_cycles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Absolute tolerance 0 by default.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Dossier_Requestor_ICAO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requestor_company_code_icao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Dossier_UpDate / SubmitDate / ClosureDate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update_time / submit_time / closure_time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compare_timestamp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Tolerance ±1s for exact, ±24h tagged as tz_offset_equivalent.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Dossier_CreationDate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creation_time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compare_date_as_string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 is DateType, V2 is TimestampType → cast both to date and compare strings.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nb_TotalMessages / nb_ClosedMessages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number_total_messages / number_closed_messages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highest_Message_Urgency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highest_message_urgency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compare_string (case-insensitive)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 / Regular / High / AOG capitalisation may drift.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Message_Open / has_Approval_Doc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is_message_open / has_approval_doc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compare_bool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4. Held-Out Sample</w:t>
      </w:r>
    </w:p>
    <w:p>
      <w:pPr>
        <w:spacing w:after="120" w:line="30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</w:rPr>
        <w:t xml:space="preserve">held_out_sample(df, internal_id_col="dossier_internal_id", bucket_prefix="00")</w:t>
      </w:r>
    </w:p>
    <w:p>
      <w:pPr>
        <w:spacing w:after="120" w:line="300"/>
      </w:pPr>
      <w:r>
        <w:t xml:space="preserve">The sampler keeps only rows whose sha2(dossier_internal_id, 256) hex digest starts with the bucket_prefix. By default this gives 1/256 of the population — approximately 0.4%. On the supplied V2 sample (58,441 dossiers) that is 214 rows.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Deterministic. </w:t>
      </w:r>
      <w:r>
        <w:t xml:space="preserve">The same internal_id always lands in the same bucket — drift can be re-found in the next build without coordination.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Reproducible. </w:t>
      </w:r>
      <w:r>
        <w:t xml:space="preserve">No randomness, no seed dependency. CI parity runs and ad-hoc local runs see exactly the same rows.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Tunable. </w:t>
      </w:r>
      <w:r>
        <w:t xml:space="preserve">Switch to a wider sample by passing bucket_prefix="0" (1/16, ~6%) or run against the full population by removing the call entirely.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Cheap. </w:t>
      </w:r>
      <w:r>
        <w:t xml:space="preserve">0.4% of the source means the parity transform completes in seconds even with the full FIELD_MAP.</w:t>
      </w:r>
    </w:p>
    <w:p>
      <w:pPr>
        <w:pStyle w:val="Heading1"/>
        <w:spacing w:after="200" w:before="360"/>
      </w:pPr>
      <w:r>
        <w:t xml:space="preserve">5. Comparators &amp; match_kind Classification</w:t>
      </w:r>
    </w:p>
    <w:p>
      <w:pPr>
        <w:spacing w:after="120" w:line="300"/>
      </w:pPr>
      <w:r>
        <w:t xml:space="preserve">Every comparator returns the same three-field struct: matches (Boolean), match_kind (String), and delta (String, free-form note for triage). The match_kind values are exhaustive and stable — Workshop / Grafana panels can group by it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match_kind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Meaning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Treatment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exact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Both sides non-null and equal under the comparator's rules.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Counts towards match_pct.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both_null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Both sides null. Neither side has the field populated.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Counts towards match_pct (semantically the same).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tz_offset_equivalent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Timestamps differ by ≤ 24 hours but &gt; 1 second.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Does NOT count as exact, but is also not a real mismatch. Common during the V1→V2 transition because V1 stored naive local while V2 stores true UTC. Read as: "the TZ contract changed; re-confirm before cutover."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v1_null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 side is null but V2 has a value.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Real mismatch — flag for review.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v2_null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side is null but V1 has a value.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Real mismatch — flag for review. Usually indicates an upstream V2 ingestion gap.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mismatch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Both sides non-null and unequal.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Real mismatch — the headline failure mode the harness exists to catch.</w:t>
            </w:r>
          </w:p>
        </w:tc>
      </w:tr>
    </w:tbl>
    <w:p>
      <w:pPr>
        <w:pStyle w:val="Heading2"/>
        <w:spacing w:after="160" w:before="280"/>
      </w:pPr>
      <w:r>
        <w:t xml:space="preserve">5.1 Why TZ-offset equivalence is its own class</w:t>
      </w:r>
    </w:p>
    <w:p>
      <w:pPr>
        <w:spacing w:after="120" w:line="300"/>
      </w:pPr>
      <w:r>
        <w:t xml:space="preserve">V1's UFOEntries transform did not normalize timestamps. It cast strings to TimestampType in the cluster's session timezone (typically UTC on Foundry, but historically not always). V2 Bronze now parses the explicit *_tz offset and stores the correct UTC instant. The result is that for most rows the two sides differ by some fixed offset (often −04:00 or −05:00). Treating those as plain mismatches would drown out real data drift. The TZ-offset bucket exists exactly for this signal.</w:t>
      </w:r>
    </w:p>
    <w:p>
      <w:pPr>
        <w:pStyle w:val="Heading1"/>
        <w:spacing w:after="200" w:before="360"/>
      </w:pPr>
      <w:r>
        <w:t xml:space="preserve">6. Outputs — Diff and Summary</w:t>
      </w:r>
    </w:p>
    <w:p>
      <w:pPr>
        <w:pStyle w:val="Heading2"/>
        <w:spacing w:after="160" w:before="280"/>
      </w:pPr>
      <w:r>
        <w:t xml:space="preserve">6.1 parity.ufo_entry_diff</w:t>
      </w:r>
    </w:p>
    <w:p>
      <w:pPr>
        <w:spacing w:after="120" w:line="300"/>
      </w:pPr>
      <w:r>
        <w:rPr>
          <w:i/>
          <w:iCs/>
        </w:rPr>
        <w:t xml:space="preserve">Long-form, one row per </w:t>
      </w:r>
      <w:r>
        <w:rPr>
          <w:rFonts w:ascii="Consolas" w:cs="Consolas" w:eastAsia="Consolas" w:hAnsi="Consolas"/>
          <w:i/>
          <w:iCs/>
        </w:rPr>
        <w:t xml:space="preserve">(dossier_internal_id, field)</w:t>
      </w:r>
      <w:r>
        <w:rPr>
          <w:i/>
          <w:iCs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stable join key. NULL only if the row exists on one side and the other side has a non-NULL key for an unmatched row (rare).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field_name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of the FIELD_MAP labels (e.g. dossier_title, operator_code_icao, …).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v1_value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V1-side value, cast to string for storage. NULL means the V1 side had no value.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v2_value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V2-side value, after operator-ICAO alias and array sort. NULL means the V2 side had no value.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matches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True if match_kind ∈ {exact, both_null}.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match_kind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of the six values in §5.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Free-form triage note. For mismatches: the two values pipe-separated; for timestamps: also the Δ in seconds. NULL on matches.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_ingested_at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UTC wall-clock of the parity run.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_run_id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generated per run; same across all rows of one parity build.</w:t>
            </w:r>
          </w:p>
        </w:tc>
      </w:tr>
    </w:tbl>
    <w:p>
      <w:pPr>
        <w:pStyle w:val="Heading2"/>
        <w:spacing w:after="160" w:before="280"/>
      </w:pPr>
      <w:r>
        <w:t xml:space="preserve">6.2 parity.ufo_entry_summary</w:t>
      </w:r>
    </w:p>
    <w:p>
      <w:pPr>
        <w:spacing w:after="120" w:line="300"/>
      </w:pPr>
      <w:r>
        <w:rPr>
          <w:i/>
          <w:iCs/>
        </w:rPr>
        <w:t xml:space="preserve">Per-field aggregates. One row per field. The dataset Workshop dashboards bind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field_name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labels as in the diff.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compared_count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rows in the held-out sample for this field.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exact_count / tz_offset_equivalent_count / both_null_count / v1_null_count / v2_null_count / mismatch_count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Bucketed counts. Sum equals compared_count.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match_pct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(exact_count + both_null_count) / compared_count × 100, rounded to 2 dp. The headline number per field.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sample_mismatch_internal_ids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 to 5 internal IDs that landed in match_kind = mismatch. Click into them in the diff to drill down.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_ingested_at / _run_id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 / String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semantics as the diff.</w:t>
            </w:r>
          </w:p>
        </w:tc>
      </w:tr>
    </w:tbl>
    <w:p>
      <w:pPr>
        <w:pStyle w:val="Heading1"/>
        <w:spacing w:after="200" w:before="360"/>
      </w:pPr>
      <w:r>
        <w:t xml:space="preserve">7. Verified Smoke-Test Results</w:t>
      </w:r>
    </w:p>
    <w:p>
      <w:pPr>
        <w:spacing w:after="120" w:line="300"/>
      </w:pPr>
      <w:r>
        <w:t xml:space="preserve">The harness was exercised locally on 12 May 2026 against the V2 sample CSV (58,441 dossiers). To stand in for the V1 transform — which is bound to a Foundry RID and cannot run locally — the smoke test synthesizes a V1 DataFrame by re-aliasing the V2 Bronze columns to V1 names. Two deliberate mismatches are then injected inside the held-out bucket to verify the comparators.</w:t>
      </w:r>
    </w:p>
    <w:p>
      <w:pPr>
        <w:pStyle w:val="Heading2"/>
        <w:spacing w:after="160" w:before="280"/>
      </w:pPr>
      <w:r>
        <w:t xml:space="preserve">7.1 Sample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Source rows (V2 sample CSV)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58,441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Held-out sample size (sha2 bucket "00")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214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Fields in FIELD_MAP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+ operator_code_icao alias entry = 31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diff rows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6,634</w:t>
            </w:r>
          </w:p>
        </w:tc>
      </w:tr>
    </w:tbl>
    <w:p>
      <w:pPr>
        <w:pStyle w:val="Heading2"/>
        <w:spacing w:after="160" w:before="280"/>
      </w:pPr>
      <w:r>
        <w:t xml:space="preserve">7.2 Injection — expected mismatches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Injection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Target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Expected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Observed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Flip is_dossier_migrated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Rows where sha2(internal_id) starts "000" (~1/16 of sample)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≈14 mismatches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 mismatches ✓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Append "_v1_only" to Title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Rows where sha2(internal_id) starts "001" (~1/16 of sample)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≈16 mismatches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 mismatches ✓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operator_code_icao USA → AAL alias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rows still carrying "USA"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mismatches after alias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real mismatch — verifies the V1-style patch is being applied to V2 side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other fields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match_pct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on 28 of 30 fields ✓</w:t>
            </w:r>
          </w:p>
        </w:tc>
      </w:tr>
    </w:tbl>
    <w:p>
      <w:pPr>
        <w:pStyle w:val="Heading2"/>
        <w:spacing w:after="160" w:before="280"/>
      </w:pPr>
      <w:r>
        <w:t xml:space="preserve">7.3 Performance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Wall-clock: &lt; 60 seconds end-to-end (load CSV + Bronze + parity + summary), single-machine local Spark.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Architectural note: the initial implementation chained unionByName per field. On 30 fields × Spark's adaptive plan it blew up to ~6,200 tasks. The current implementation uses a single array&lt;struct&gt; + explode, completing in one job.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Janino "Code grows beyond 64 KB" warning observed: a JVM codegen fallback warning, non-fatal — the comparison runs in interpreted mode. If observed in Foundry, set spark.sql.codegen.wholeStage=false on the parity transform, or split FIELD_MAP into two passes.</w:t>
      </w:r>
    </w:p>
    <w:p>
      <w:pPr>
        <w:pStyle w:val="Heading1"/>
        <w:spacing w:after="200" w:before="360"/>
      </w:pPr>
      <w:r>
        <w:t xml:space="preserve">8. Operating Notes</w:t>
      </w:r>
    </w:p>
    <w:p>
      <w:pPr>
        <w:pStyle w:val="Heading2"/>
        <w:spacing w:after="160" w:before="280"/>
      </w:pPr>
      <w:r>
        <w:t xml:space="preserve">8.1 Build cadence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Run the parity transform on the same schedule as the V1 transform (typically daily). The held-out sample keeps cost trivial.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Alert if any field drops below an agreed match_pct threshold (suggested: 99.5%) for two consecutive runs.</w:t>
      </w:r>
    </w:p>
    <w:p>
      <w:pPr>
        <w:pStyle w:val="Heading2"/>
        <w:spacing w:after="160" w:before="280"/>
      </w:pPr>
      <w:r>
        <w:t xml:space="preserve">8.2 Triage flow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Workshop panel reads parity.ufo_entry_summary. Rows are sorted ascending by match_pct.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Click a low-match field → drill-down opens parity.ufo_entry_diff filtered by the same field, ordered by match_kind = mismatch first.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For mismatches, the delta column carries the two values; copy a dossier_internal_id into the V1 ontology view and into the V2 Bronze dataset to inspect the source rows.</w:t>
      </w:r>
    </w:p>
    <w:p>
      <w:pPr>
        <w:pStyle w:val="Heading2"/>
        <w:spacing w:after="160" w:before="280"/>
      </w:pPr>
      <w:r>
        <w:t xml:space="preserve">8.3 Re-binding RIDs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Edit _parity_utils.RIDS — only that file changes when rolling parity into a new branch or pointing at Silver.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v1.ufo_entry is hard-bound to the existing V1 RID (the value already lives in UFOEntries.py); it does not need to change.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v2.bronze.techrequest_index uses the same logical name as the Bronze RID registry. Update both sides if the underlying RID changes.</w:t>
      </w:r>
    </w:p>
    <w:p>
      <w:pPr>
        <w:pStyle w:val="Heading1"/>
        <w:spacing w:after="200" w:before="360"/>
      </w:pPr>
      <w:r>
        <w:t xml:space="preserve">9. Evolution Path</w:t>
      </w:r>
    </w:p>
    <w:p>
      <w:pPr>
        <w:pStyle w:val="Heading2"/>
        <w:spacing w:after="160" w:before="280"/>
      </w:pPr>
      <w:r>
        <w:t xml:space="preserve">9.1 Phase 2 — point at Silver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When Silver V2 UfoEntry exists, change RIDS["v2.bronze.techrequest_index"] to the Silver RID. The harness code is unchanged.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Add to FIELD_MAP any fields Silver newly exposes (e.g. derived priority score, escalation flags) — one line per field.</w:t>
      </w:r>
    </w:p>
    <w:p>
      <w:pPr>
        <w:pStyle w:val="Heading2"/>
        <w:spacing w:after="160" w:before="280"/>
      </w:pPr>
      <w:r>
        <w:t xml:space="preserve">9.2 Phase 3 — multi-object parity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Add additional drivers in v2_parity: parity_ufo_message, parity_ufo_approval_doc, parity_ufo_post_treatment, etc.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Each follows the same skeleton: load V1 and V2, join on dossier_internal_id (or message_id for messages), call build_diff with its own FIELD_MAP, emit diff + summary.</w:t>
      </w:r>
    </w:p>
    <w:p>
      <w:pPr>
        <w:pStyle w:val="Heading2"/>
        <w:spacing w:after="160" w:before="280"/>
      </w:pPr>
      <w:r>
        <w:t xml:space="preserve">9.3 Phase 6 — decommission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When cutover is signed off, the parity datasets become the historical record of the migration's correctness. Retain them; archive after a defined period.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parity transform itself can be unscheduled, but is worth keeping in the repo as a regression harness in case the V1↔V2 contract diverges later.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Solution Architecture · v1.0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UFO V2 · Parity Harness Design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UFO V2 — Parity Harness Design Note</dc:title>
  <dc:creator>Solution Architecture</dc:creator>
  <dc:description>Parity harness for V1 UfoEntry vs V2-derived UfoEntry — datasets, join key, comparators, outputs, smoke test, operating notes.</dc:description>
  <cp:lastModifiedBy>Un-named</cp:lastModifiedBy>
  <cp:revision>1</cp:revision>
  <dcterms:created xsi:type="dcterms:W3CDTF">2026-05-12T15:08:55.550Z</dcterms:created>
  <dcterms:modified xsi:type="dcterms:W3CDTF">2026-05-12T15:08:55.551Z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